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D340D" w14:textId="4F2860BE" w:rsidR="006E1E37" w:rsidRPr="004F2589" w:rsidRDefault="009E0861" w:rsidP="00F2424F">
      <w:pPr>
        <w:pStyle w:val="Encabezado"/>
        <w:spacing w:line="360" w:lineRule="auto"/>
        <w:jc w:val="both"/>
        <w:rPr>
          <w:rFonts w:ascii="Palatino Linotype" w:hAnsi="Palatino Linotype" w:cs="Tahoma"/>
          <w:b/>
        </w:rPr>
      </w:pPr>
      <w:r w:rsidRPr="006A7606">
        <w:rPr>
          <w:rFonts w:ascii="Palatino Linotype" w:hAnsi="Palatino Linotype" w:cs="Tahoma"/>
          <w:b/>
        </w:rPr>
        <w:t>VOTO PARTICULAR QUE FORMULA EL COMISIONAD</w:t>
      </w:r>
      <w:r w:rsidR="00320769" w:rsidRPr="006A7606">
        <w:rPr>
          <w:rFonts w:ascii="Palatino Linotype" w:hAnsi="Palatino Linotype" w:cs="Tahoma"/>
          <w:b/>
        </w:rPr>
        <w:t>O LUIS GUSTAVO PARRA NORIEGA, A</w:t>
      </w:r>
      <w:r w:rsidRPr="006A7606">
        <w:rPr>
          <w:rFonts w:ascii="Palatino Linotype" w:hAnsi="Palatino Linotype" w:cs="Tahoma"/>
          <w:b/>
        </w:rPr>
        <w:t xml:space="preserve"> LA RESO</w:t>
      </w:r>
      <w:r w:rsidR="00D32C2C" w:rsidRPr="006A7606">
        <w:rPr>
          <w:rFonts w:ascii="Palatino Linotype" w:hAnsi="Palatino Linotype" w:cs="Tahoma"/>
          <w:b/>
        </w:rPr>
        <w:t xml:space="preserve">LUCIÓN DEL RECURSO DE REVISIÓN </w:t>
      </w:r>
      <w:r w:rsidR="004F2589" w:rsidRPr="004F2589">
        <w:rPr>
          <w:rFonts w:ascii="Palatino Linotype" w:hAnsi="Palatino Linotype" w:cs="Arial"/>
          <w:b/>
          <w:bCs/>
          <w:lang w:eastAsia="es-MX"/>
        </w:rPr>
        <w:t>00</w:t>
      </w:r>
      <w:r w:rsidR="00A8746F">
        <w:rPr>
          <w:rFonts w:ascii="Palatino Linotype" w:hAnsi="Palatino Linotype" w:cs="Arial"/>
          <w:b/>
          <w:bCs/>
          <w:lang w:eastAsia="es-MX"/>
        </w:rPr>
        <w:t>954</w:t>
      </w:r>
      <w:r w:rsidR="004F2589" w:rsidRPr="004F2589">
        <w:rPr>
          <w:rFonts w:ascii="Palatino Linotype" w:hAnsi="Palatino Linotype" w:cs="Arial"/>
          <w:b/>
          <w:bCs/>
          <w:lang w:eastAsia="es-MX"/>
        </w:rPr>
        <w:t>/INFOEM/IP/RR/2021</w:t>
      </w:r>
      <w:r w:rsidR="00994D26" w:rsidRPr="006A7606">
        <w:rPr>
          <w:rFonts w:ascii="Palatino Linotype" w:hAnsi="Palatino Linotype" w:cs="Tahoma"/>
          <w:b/>
        </w:rPr>
        <w:t xml:space="preserve">, PROMOVIDO EN </w:t>
      </w:r>
      <w:r w:rsidR="004F2589" w:rsidRPr="006A7606">
        <w:rPr>
          <w:rFonts w:ascii="Palatino Linotype" w:hAnsi="Palatino Linotype" w:cs="Tahoma"/>
          <w:b/>
        </w:rPr>
        <w:t xml:space="preserve">CONTRA </w:t>
      </w:r>
      <w:r w:rsidR="00A8746F">
        <w:rPr>
          <w:rFonts w:ascii="Palatino Linotype" w:hAnsi="Palatino Linotype" w:cs="Tahoma"/>
          <w:b/>
        </w:rPr>
        <w:t>DEL AYUNTAMIENTO DE PAPALOTLA</w:t>
      </w:r>
      <w:r w:rsidR="004F2589" w:rsidRPr="004F2589">
        <w:rPr>
          <w:rFonts w:ascii="Palatino Linotype" w:hAnsi="Palatino Linotype" w:cs="Tahoma"/>
          <w:b/>
        </w:rPr>
        <w:t>.</w:t>
      </w:r>
    </w:p>
    <w:p w14:paraId="2CAF43DD" w14:textId="77777777" w:rsidR="004F2589" w:rsidRPr="004F2589" w:rsidRDefault="004F2589" w:rsidP="004F2589">
      <w:pPr>
        <w:pStyle w:val="Encabezado"/>
        <w:spacing w:line="360" w:lineRule="auto"/>
        <w:ind w:right="-250"/>
        <w:jc w:val="both"/>
        <w:rPr>
          <w:rFonts w:ascii="Palatino Linotype" w:hAnsi="Palatino Linotype" w:cs="Tahoma"/>
          <w:b/>
        </w:rPr>
      </w:pPr>
    </w:p>
    <w:p w14:paraId="3F72CB9C" w14:textId="6F6C25F8" w:rsidR="00B7176A" w:rsidRPr="006A7606" w:rsidRDefault="006A7606" w:rsidP="003A0DE6">
      <w:pPr>
        <w:spacing w:after="0" w:line="360" w:lineRule="auto"/>
        <w:jc w:val="both"/>
        <w:rPr>
          <w:rFonts w:ascii="Palatino Linotype" w:hAnsi="Palatino Linotype" w:cs="Tahoma"/>
        </w:rPr>
      </w:pPr>
      <w:r w:rsidRPr="006A7606">
        <w:rPr>
          <w:rFonts w:ascii="Palatino Linotype" w:hAnsi="Palatino Linotype" w:cs="Tahoma"/>
        </w:rPr>
        <w:t>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y 48, fracción I, de los Lineamientos para el funcionamiento del Pleno y las Comisiones del Instituto de Transparencia, Acceso a la Información Pública y Protección de Datos Personales del Estado de México y Municipios</w:t>
      </w:r>
      <w:r w:rsidR="009E0861" w:rsidRPr="006A7606">
        <w:rPr>
          <w:rFonts w:ascii="Palatino Linotype" w:hAnsi="Palatino Linotype" w:cs="Tahoma"/>
        </w:rPr>
        <w:t xml:space="preserve">, emito el presente </w:t>
      </w:r>
      <w:r w:rsidR="009E0861" w:rsidRPr="006A7606">
        <w:rPr>
          <w:rFonts w:ascii="Palatino Linotype" w:hAnsi="Palatino Linotype" w:cs="Tahoma"/>
          <w:b/>
        </w:rPr>
        <w:t>Voto Particular</w:t>
      </w:r>
      <w:r w:rsidR="009E0861" w:rsidRPr="006A7606">
        <w:rPr>
          <w:rFonts w:ascii="Palatino Linotype" w:hAnsi="Palatino Linotype" w:cs="Tahoma"/>
        </w:rPr>
        <w:t xml:space="preserve"> </w:t>
      </w:r>
      <w:r w:rsidR="00525F49" w:rsidRPr="006A7606">
        <w:rPr>
          <w:rFonts w:ascii="Palatino Linotype" w:hAnsi="Palatino Linotype" w:cs="Tahoma"/>
        </w:rPr>
        <w:t>a</w:t>
      </w:r>
      <w:r w:rsidR="009E0861" w:rsidRPr="006A7606">
        <w:rPr>
          <w:rFonts w:ascii="Palatino Linotype" w:hAnsi="Palatino Linotype" w:cs="Tahoma"/>
        </w:rPr>
        <w:t xml:space="preserve"> la</w:t>
      </w:r>
      <w:r w:rsidR="001C2D5C" w:rsidRPr="006A7606">
        <w:rPr>
          <w:rFonts w:ascii="Palatino Linotype" w:hAnsi="Palatino Linotype" w:cs="Tahoma"/>
        </w:rPr>
        <w:t xml:space="preserve"> Resolución del </w:t>
      </w:r>
      <w:r w:rsidR="009E0861" w:rsidRPr="006A7606">
        <w:rPr>
          <w:rFonts w:ascii="Palatino Linotype" w:hAnsi="Palatino Linotype" w:cs="Tahoma"/>
        </w:rPr>
        <w:t>Recurso</w:t>
      </w:r>
      <w:r w:rsidR="001C2D5C" w:rsidRPr="006A7606">
        <w:rPr>
          <w:rFonts w:ascii="Palatino Linotype" w:hAnsi="Palatino Linotype" w:cs="Tahoma"/>
        </w:rPr>
        <w:t xml:space="preserve"> </w:t>
      </w:r>
      <w:r w:rsidR="009E0861" w:rsidRPr="006A7606">
        <w:rPr>
          <w:rFonts w:ascii="Palatino Linotype" w:hAnsi="Palatino Linotype" w:cs="Tahoma"/>
        </w:rPr>
        <w:t xml:space="preserve">de Revisión </w:t>
      </w:r>
      <w:r w:rsidR="004F2589" w:rsidRPr="004F2589">
        <w:rPr>
          <w:rFonts w:ascii="Palatino Linotype" w:hAnsi="Palatino Linotype" w:cs="Arial"/>
          <w:b/>
          <w:bCs/>
          <w:lang w:val="es-MX" w:eastAsia="es-MX"/>
        </w:rPr>
        <w:t>00</w:t>
      </w:r>
      <w:r w:rsidR="00A8746F">
        <w:rPr>
          <w:rFonts w:ascii="Palatino Linotype" w:hAnsi="Palatino Linotype" w:cs="Arial"/>
          <w:b/>
          <w:bCs/>
          <w:lang w:val="es-MX" w:eastAsia="es-MX"/>
        </w:rPr>
        <w:t>954</w:t>
      </w:r>
      <w:r w:rsidR="004F2589" w:rsidRPr="004F2589">
        <w:rPr>
          <w:rFonts w:ascii="Palatino Linotype" w:hAnsi="Palatino Linotype" w:cs="Arial"/>
          <w:b/>
          <w:bCs/>
          <w:lang w:val="es-MX" w:eastAsia="es-MX"/>
        </w:rPr>
        <w:t>/INFOEM/IP/RR/2021</w:t>
      </w:r>
      <w:r w:rsidR="004F2589">
        <w:rPr>
          <w:rFonts w:ascii="Palatino Linotype" w:hAnsi="Palatino Linotype" w:cs="Tahoma"/>
        </w:rPr>
        <w:t>.</w:t>
      </w:r>
    </w:p>
    <w:p w14:paraId="31FA074D" w14:textId="77777777" w:rsidR="00B7176A" w:rsidRPr="006A7606" w:rsidRDefault="00B7176A" w:rsidP="003A0DE6">
      <w:pPr>
        <w:spacing w:after="0" w:line="360" w:lineRule="auto"/>
        <w:jc w:val="both"/>
        <w:rPr>
          <w:rFonts w:ascii="Palatino Linotype" w:hAnsi="Palatino Linotype" w:cs="Tahoma"/>
        </w:rPr>
      </w:pPr>
    </w:p>
    <w:p w14:paraId="7EA598A4" w14:textId="051FECDE" w:rsidR="00852D5B" w:rsidRDefault="00EA7E26" w:rsidP="003A0DE6">
      <w:pPr>
        <w:spacing w:after="0" w:line="360" w:lineRule="auto"/>
        <w:jc w:val="both"/>
        <w:rPr>
          <w:rFonts w:ascii="Palatino Linotype" w:hAnsi="Palatino Linotype" w:cs="Tahoma"/>
        </w:rPr>
      </w:pPr>
      <w:r w:rsidRPr="006A7606">
        <w:rPr>
          <w:rFonts w:ascii="Palatino Linotype" w:hAnsi="Palatino Linotype" w:cs="Tahoma"/>
        </w:rPr>
        <w:t>C</w:t>
      </w:r>
      <w:r w:rsidR="009E0861" w:rsidRPr="006A7606">
        <w:rPr>
          <w:rFonts w:ascii="Palatino Linotype" w:hAnsi="Palatino Linotype" w:cs="Tahoma"/>
        </w:rPr>
        <w:t xml:space="preserve">omo se desprende de la </w:t>
      </w:r>
      <w:r w:rsidR="00B6587C" w:rsidRPr="006A7606">
        <w:rPr>
          <w:rFonts w:ascii="Palatino Linotype" w:hAnsi="Palatino Linotype" w:cs="Tahoma"/>
        </w:rPr>
        <w:t xml:space="preserve">Resolución </w:t>
      </w:r>
      <w:r w:rsidRPr="006A7606">
        <w:rPr>
          <w:rFonts w:ascii="Palatino Linotype" w:hAnsi="Palatino Linotype" w:cs="Tahoma"/>
        </w:rPr>
        <w:t>que nos ocupa</w:t>
      </w:r>
      <w:r w:rsidR="0032025D">
        <w:rPr>
          <w:rFonts w:ascii="Palatino Linotype" w:hAnsi="Palatino Linotype" w:cs="Tahoma"/>
        </w:rPr>
        <w:t>, el S</w:t>
      </w:r>
      <w:r w:rsidR="009E0861" w:rsidRPr="006A7606">
        <w:rPr>
          <w:rFonts w:ascii="Palatino Linotype" w:hAnsi="Palatino Linotype" w:cs="Tahoma"/>
        </w:rPr>
        <w:t>olicitante</w:t>
      </w:r>
      <w:r w:rsidR="0056593F" w:rsidRPr="006A7606">
        <w:rPr>
          <w:rFonts w:ascii="Palatino Linotype" w:hAnsi="Palatino Linotype" w:cs="Tahoma"/>
        </w:rPr>
        <w:t xml:space="preserve"> requirió</w:t>
      </w:r>
      <w:r w:rsidR="00FF1F13">
        <w:rPr>
          <w:rFonts w:ascii="Palatino Linotype" w:hAnsi="Palatino Linotype" w:cs="Tahoma"/>
        </w:rPr>
        <w:t xml:space="preserve">, </w:t>
      </w:r>
      <w:r w:rsidR="00A8746F">
        <w:rPr>
          <w:rFonts w:ascii="Palatino Linotype" w:hAnsi="Palatino Linotype" w:cs="Tahoma"/>
        </w:rPr>
        <w:t>la versión- pública de los expedientes de los servidores públicos que hayan sido sancionados por el Órgano Interno de Control, del primero de enero al treinta y uno de diciembre de dos mil veintiuno</w:t>
      </w:r>
      <w:r w:rsidR="00852D5B">
        <w:rPr>
          <w:rFonts w:ascii="Palatino Linotype" w:hAnsi="Palatino Linotype" w:cs="Tahoma"/>
        </w:rPr>
        <w:t>;</w:t>
      </w:r>
      <w:r w:rsidR="002B1D44">
        <w:rPr>
          <w:rFonts w:ascii="Palatino Linotype" w:hAnsi="Palatino Linotype" w:cs="Tahoma"/>
        </w:rPr>
        <w:t xml:space="preserve"> expresi</w:t>
      </w:r>
      <w:r w:rsidR="00A8746F">
        <w:rPr>
          <w:rFonts w:ascii="Palatino Linotype" w:hAnsi="Palatino Linotype" w:cs="Tahoma"/>
        </w:rPr>
        <w:t>o</w:t>
      </w:r>
      <w:r w:rsidR="002B1D44">
        <w:rPr>
          <w:rFonts w:ascii="Palatino Linotype" w:hAnsi="Palatino Linotype" w:cs="Tahoma"/>
        </w:rPr>
        <w:t>n</w:t>
      </w:r>
      <w:r w:rsidR="00A8746F">
        <w:rPr>
          <w:rFonts w:ascii="Palatino Linotype" w:hAnsi="Palatino Linotype" w:cs="Tahoma"/>
        </w:rPr>
        <w:t>es</w:t>
      </w:r>
      <w:r w:rsidR="002B1D44">
        <w:rPr>
          <w:rFonts w:ascii="Palatino Linotype" w:hAnsi="Palatino Linotype" w:cs="Tahoma"/>
        </w:rPr>
        <w:t xml:space="preserve"> documental</w:t>
      </w:r>
      <w:r w:rsidR="00A8746F">
        <w:rPr>
          <w:rFonts w:ascii="Palatino Linotype" w:hAnsi="Palatino Linotype" w:cs="Tahoma"/>
        </w:rPr>
        <w:t>es</w:t>
      </w:r>
      <w:r w:rsidR="002B1D44">
        <w:rPr>
          <w:rFonts w:ascii="Palatino Linotype" w:hAnsi="Palatino Linotype" w:cs="Tahoma"/>
        </w:rPr>
        <w:t xml:space="preserve">, </w:t>
      </w:r>
      <w:r w:rsidR="00A8746F">
        <w:rPr>
          <w:rFonts w:ascii="Palatino Linotype" w:hAnsi="Palatino Linotype" w:cs="Tahoma"/>
        </w:rPr>
        <w:t>que la Contraloría Municipal, señaló que eran inexistentes, al no obrar en sus archivos.</w:t>
      </w:r>
    </w:p>
    <w:p w14:paraId="253005C9" w14:textId="77777777" w:rsidR="00852D5B" w:rsidRDefault="00852D5B" w:rsidP="003A0DE6">
      <w:pPr>
        <w:spacing w:after="0" w:line="360" w:lineRule="auto"/>
        <w:jc w:val="both"/>
        <w:rPr>
          <w:rFonts w:ascii="Palatino Linotype" w:hAnsi="Palatino Linotype" w:cs="Tahoma"/>
        </w:rPr>
      </w:pPr>
    </w:p>
    <w:p w14:paraId="64F3CD5E" w14:textId="3FD0A6BF" w:rsidR="00A8746F" w:rsidRDefault="00C543A5" w:rsidP="003A0DE6">
      <w:pPr>
        <w:spacing w:after="0" w:line="360" w:lineRule="auto"/>
        <w:jc w:val="both"/>
        <w:rPr>
          <w:rFonts w:ascii="Palatino Linotype" w:eastAsia="Calibri" w:hAnsi="Palatino Linotype" w:cs="Tahoma"/>
          <w:iCs/>
          <w:lang w:eastAsia="es-ES_tradnl"/>
        </w:rPr>
      </w:pPr>
      <w:r>
        <w:rPr>
          <w:rFonts w:ascii="Palatino Linotype" w:eastAsia="Calibri" w:hAnsi="Palatino Linotype" w:cs="Tahoma"/>
          <w:iCs/>
          <w:lang w:eastAsia="es-ES_tradnl"/>
        </w:rPr>
        <w:t>En ese contexto, el Pleno</w:t>
      </w:r>
      <w:r w:rsidR="00A8746F">
        <w:rPr>
          <w:rFonts w:ascii="Palatino Linotype" w:eastAsia="Calibri" w:hAnsi="Palatino Linotype" w:cs="Tahoma"/>
          <w:iCs/>
          <w:lang w:eastAsia="es-ES_tradnl"/>
        </w:rPr>
        <w:t xml:space="preserve">, después de localizar en el Segundo Informe de Gobierno de Papalotla, 2019-2021, la existencia de cuatro sanciones, en contra de servidores públicos, </w:t>
      </w:r>
      <w:r>
        <w:rPr>
          <w:rFonts w:ascii="Palatino Linotype" w:eastAsia="Calibri" w:hAnsi="Palatino Linotype" w:cs="Tahoma"/>
          <w:iCs/>
          <w:lang w:eastAsia="es-ES_tradnl"/>
        </w:rPr>
        <w:t xml:space="preserve">consideró </w:t>
      </w:r>
      <w:r w:rsidR="00F2424F">
        <w:rPr>
          <w:rFonts w:ascii="Palatino Linotype" w:eastAsia="Calibri" w:hAnsi="Palatino Linotype" w:cs="Tahoma"/>
          <w:iCs/>
          <w:lang w:eastAsia="es-ES_tradnl"/>
        </w:rPr>
        <w:t xml:space="preserve">procedente </w:t>
      </w:r>
      <w:r w:rsidR="00A8746F">
        <w:rPr>
          <w:rFonts w:ascii="Palatino Linotype" w:eastAsia="Calibri" w:hAnsi="Palatino Linotype" w:cs="Tahoma"/>
          <w:b/>
          <w:bCs/>
          <w:iCs/>
          <w:lang w:eastAsia="es-ES_tradnl"/>
        </w:rPr>
        <w:t xml:space="preserve">REVOCAR </w:t>
      </w:r>
      <w:r w:rsidR="00A8746F">
        <w:rPr>
          <w:rFonts w:ascii="Palatino Linotype" w:eastAsia="Calibri" w:hAnsi="Palatino Linotype" w:cs="Tahoma"/>
          <w:iCs/>
          <w:lang w:eastAsia="es-ES_tradnl"/>
        </w:rPr>
        <w:t>la respuesta, a efecto de que previa búsqueda exhaustiva y razonable en los archivos, entregará la versión pública, de los expedientes solicitados</w:t>
      </w:r>
      <w:r w:rsidR="001D0324">
        <w:rPr>
          <w:rFonts w:ascii="Palatino Linotype" w:eastAsia="Calibri" w:hAnsi="Palatino Linotype" w:cs="Tahoma"/>
          <w:iCs/>
          <w:lang w:eastAsia="es-ES_tradnl"/>
        </w:rPr>
        <w:t>; sin embargo, se dejó la siguiente salvedad:</w:t>
      </w:r>
    </w:p>
    <w:p w14:paraId="4299BB50" w14:textId="1EB3C24F" w:rsidR="001D0324" w:rsidRDefault="001D0324" w:rsidP="003A0DE6">
      <w:pPr>
        <w:spacing w:after="0" w:line="360" w:lineRule="auto"/>
        <w:jc w:val="both"/>
        <w:rPr>
          <w:rFonts w:ascii="Palatino Linotype" w:eastAsia="Calibri" w:hAnsi="Palatino Linotype" w:cs="Tahoma"/>
          <w:iCs/>
          <w:lang w:eastAsia="es-ES_tradnl"/>
        </w:rPr>
      </w:pPr>
    </w:p>
    <w:p w14:paraId="713206CB" w14:textId="5F3FB376" w:rsidR="001D0324" w:rsidRPr="00351862" w:rsidRDefault="001D0324" w:rsidP="001D0324">
      <w:pPr>
        <w:spacing w:after="0" w:line="360" w:lineRule="auto"/>
        <w:ind w:left="567" w:right="567"/>
        <w:jc w:val="both"/>
        <w:rPr>
          <w:rFonts w:ascii="Palatino Linotype" w:eastAsia="Calibri" w:hAnsi="Palatino Linotype" w:cs="Tahoma"/>
          <w:iCs/>
          <w:sz w:val="20"/>
          <w:szCs w:val="20"/>
          <w:lang w:eastAsia="es-ES_tradnl"/>
        </w:rPr>
      </w:pPr>
      <w:r w:rsidRPr="00351862">
        <w:rPr>
          <w:rFonts w:ascii="Palatino Linotype" w:eastAsia="Calibri" w:hAnsi="Palatino Linotype" w:cs="Tahoma"/>
          <w:iCs/>
          <w:sz w:val="20"/>
          <w:szCs w:val="20"/>
          <w:lang w:eastAsia="es-ES_tradnl"/>
        </w:rPr>
        <w:lastRenderedPageBreak/>
        <w:t>“</w:t>
      </w:r>
      <w:r w:rsidRPr="00351862">
        <w:rPr>
          <w:rFonts w:ascii="Palatino Linotype" w:eastAsia="Calibri" w:hAnsi="Palatino Linotype" w:cs="Tahoma"/>
          <w:i/>
          <w:iCs/>
          <w:sz w:val="20"/>
          <w:szCs w:val="20"/>
          <w:lang w:eastAsia="es-ES_tradnl"/>
        </w:rPr>
        <w:t xml:space="preserve">Para el caso en el que se cuente con expedientes cuyas sanciones aun no hayan causado estado, deberá emitirse el Acuerdo de Clasificación, así como su respectiva prueba de daño en los que se funden y motiven las razones de su reserva, mismos que se harán del conocimiento </w:t>
      </w:r>
      <w:r w:rsidRPr="00351862">
        <w:rPr>
          <w:rFonts w:ascii="Palatino Linotype" w:eastAsia="Calibri" w:hAnsi="Palatino Linotype" w:cs="Tahoma"/>
          <w:b/>
          <w:i/>
          <w:iCs/>
          <w:sz w:val="20"/>
          <w:szCs w:val="20"/>
          <w:lang w:eastAsia="es-ES_tradnl"/>
        </w:rPr>
        <w:t>del Recurrente</w:t>
      </w:r>
      <w:r w:rsidRPr="00351862">
        <w:rPr>
          <w:rFonts w:ascii="Palatino Linotype" w:eastAsia="Calibri" w:hAnsi="Palatino Linotype" w:cs="Tahoma"/>
          <w:i/>
          <w:iCs/>
          <w:sz w:val="20"/>
          <w:szCs w:val="20"/>
          <w:lang w:eastAsia="es-ES_tradnl"/>
        </w:rPr>
        <w:t>.</w:t>
      </w:r>
      <w:r w:rsidRPr="00351862">
        <w:rPr>
          <w:rFonts w:ascii="Palatino Linotype" w:eastAsia="Calibri" w:hAnsi="Palatino Linotype" w:cs="Tahoma"/>
          <w:iCs/>
          <w:sz w:val="20"/>
          <w:szCs w:val="20"/>
          <w:lang w:eastAsia="es-ES_tradnl"/>
        </w:rPr>
        <w:t>”</w:t>
      </w:r>
    </w:p>
    <w:p w14:paraId="29377834" w14:textId="77777777" w:rsidR="00A8746F" w:rsidRDefault="00A8746F" w:rsidP="003A0DE6">
      <w:pPr>
        <w:spacing w:after="0" w:line="360" w:lineRule="auto"/>
        <w:jc w:val="both"/>
        <w:rPr>
          <w:rFonts w:ascii="Palatino Linotype" w:eastAsia="Calibri" w:hAnsi="Palatino Linotype" w:cs="Tahoma"/>
          <w:iCs/>
          <w:lang w:eastAsia="es-ES_tradnl"/>
        </w:rPr>
      </w:pPr>
    </w:p>
    <w:p w14:paraId="132BE6CF" w14:textId="32E46305" w:rsidR="001D0324" w:rsidRDefault="001D0324" w:rsidP="00CE657A">
      <w:pPr>
        <w:spacing w:after="0" w:line="360" w:lineRule="auto"/>
        <w:jc w:val="both"/>
        <w:rPr>
          <w:rFonts w:ascii="Palatino Linotype" w:hAnsi="Palatino Linotype" w:cs="Arial"/>
        </w:rPr>
      </w:pPr>
      <w:r>
        <w:rPr>
          <w:rFonts w:ascii="Palatino Linotype" w:hAnsi="Palatino Linotype" w:cs="Arial"/>
        </w:rPr>
        <w:t>Sobre dicha situación</w:t>
      </w:r>
      <w:r w:rsidR="00C543A5">
        <w:rPr>
          <w:rFonts w:ascii="Palatino Linotype" w:hAnsi="Palatino Linotype" w:cs="Arial"/>
        </w:rPr>
        <w:t xml:space="preserve">, si bien </w:t>
      </w:r>
      <w:r w:rsidR="00F2424F">
        <w:rPr>
          <w:rFonts w:ascii="Palatino Linotype" w:hAnsi="Palatino Linotype" w:cs="Arial"/>
        </w:rPr>
        <w:t xml:space="preserve">vote a favor el presente Medio de Impugnación, </w:t>
      </w:r>
      <w:r>
        <w:rPr>
          <w:rFonts w:ascii="Palatino Linotype" w:hAnsi="Palatino Linotype" w:cs="Arial"/>
        </w:rPr>
        <w:t>pues resultaba procedente ordenar la entrega de los expedientes requeridos</w:t>
      </w:r>
      <w:r w:rsidR="00351862">
        <w:rPr>
          <w:rFonts w:ascii="Palatino Linotype" w:hAnsi="Palatino Linotype" w:cs="Arial"/>
        </w:rPr>
        <w:t xml:space="preserve"> en versión pública</w:t>
      </w:r>
      <w:r>
        <w:rPr>
          <w:rFonts w:ascii="Palatino Linotype" w:hAnsi="Palatino Linotype" w:cs="Arial"/>
        </w:rPr>
        <w:t>, sobre todo porque s</w:t>
      </w:r>
      <w:r w:rsidR="00351862">
        <w:rPr>
          <w:rFonts w:ascii="Palatino Linotype" w:hAnsi="Palatino Linotype" w:cs="Arial"/>
        </w:rPr>
        <w:t>í</w:t>
      </w:r>
      <w:r>
        <w:rPr>
          <w:rFonts w:ascii="Palatino Linotype" w:hAnsi="Palatino Linotype" w:cs="Arial"/>
        </w:rPr>
        <w:t xml:space="preserve"> obraban en </w:t>
      </w:r>
      <w:r w:rsidR="00351862">
        <w:rPr>
          <w:rFonts w:ascii="Palatino Linotype" w:hAnsi="Palatino Linotype" w:cs="Arial"/>
        </w:rPr>
        <w:t xml:space="preserve">los </w:t>
      </w:r>
      <w:r>
        <w:rPr>
          <w:rFonts w:ascii="Palatino Linotype" w:hAnsi="Palatino Linotype" w:cs="Arial"/>
        </w:rPr>
        <w:t>archivos</w:t>
      </w:r>
      <w:r w:rsidR="00351862">
        <w:rPr>
          <w:rFonts w:ascii="Palatino Linotype" w:hAnsi="Palatino Linotype" w:cs="Arial"/>
        </w:rPr>
        <w:t xml:space="preserve"> el Sujeto Obligado, contrario a la respuesta brindada al Particular</w:t>
      </w:r>
      <w:r>
        <w:rPr>
          <w:rFonts w:ascii="Palatino Linotype" w:hAnsi="Palatino Linotype" w:cs="Arial"/>
        </w:rPr>
        <w:t>, lo cierto es</w:t>
      </w:r>
      <w:r w:rsidR="00351862">
        <w:rPr>
          <w:rFonts w:ascii="Palatino Linotype" w:hAnsi="Palatino Linotype" w:cs="Arial"/>
        </w:rPr>
        <w:t>,</w:t>
      </w:r>
      <w:r>
        <w:rPr>
          <w:rFonts w:ascii="Palatino Linotype" w:hAnsi="Palatino Linotype" w:cs="Arial"/>
        </w:rPr>
        <w:t xml:space="preserve"> que por lo que hace a la salvedad, previamente citada, no estoy de acuerdo, por las siguientes circunstancias:</w:t>
      </w:r>
    </w:p>
    <w:p w14:paraId="337F046C" w14:textId="2AD9701D" w:rsidR="001D0324" w:rsidRDefault="001D0324" w:rsidP="00CE657A">
      <w:pPr>
        <w:spacing w:after="0" w:line="360" w:lineRule="auto"/>
        <w:jc w:val="both"/>
        <w:rPr>
          <w:rFonts w:ascii="Palatino Linotype" w:hAnsi="Palatino Linotype" w:cs="Arial"/>
        </w:rPr>
      </w:pPr>
    </w:p>
    <w:p w14:paraId="72AEC9F2" w14:textId="0D8B1934" w:rsidR="001D0324" w:rsidRDefault="001D0324" w:rsidP="001D0324">
      <w:pPr>
        <w:pStyle w:val="Prrafodelista"/>
        <w:numPr>
          <w:ilvl w:val="0"/>
          <w:numId w:val="33"/>
        </w:numPr>
        <w:spacing w:after="0" w:line="360" w:lineRule="auto"/>
        <w:jc w:val="both"/>
        <w:rPr>
          <w:rFonts w:ascii="Palatino Linotype" w:hAnsi="Palatino Linotype" w:cs="Arial"/>
        </w:rPr>
      </w:pPr>
      <w:r>
        <w:rPr>
          <w:rFonts w:ascii="Palatino Linotype" w:hAnsi="Palatino Linotype" w:cs="Arial"/>
        </w:rPr>
        <w:t>La pretensión del ahora Recurrente es obtener únicamente la información de servidores públicos sancionados, es decir, únicamente procedimientos concluidos, que hayan causado estado, y</w:t>
      </w:r>
    </w:p>
    <w:p w14:paraId="2C529A1D" w14:textId="77777777" w:rsidR="001D0324" w:rsidRDefault="001D0324" w:rsidP="001D0324">
      <w:pPr>
        <w:pStyle w:val="Prrafodelista"/>
        <w:spacing w:after="0" w:line="360" w:lineRule="auto"/>
        <w:jc w:val="both"/>
        <w:rPr>
          <w:rFonts w:ascii="Palatino Linotype" w:hAnsi="Palatino Linotype" w:cs="Arial"/>
        </w:rPr>
      </w:pPr>
    </w:p>
    <w:p w14:paraId="68FB58D0" w14:textId="78932FE7" w:rsidR="001D0324" w:rsidRPr="001D0324" w:rsidRDefault="001D0324" w:rsidP="001D0324">
      <w:pPr>
        <w:pStyle w:val="Prrafodelista"/>
        <w:numPr>
          <w:ilvl w:val="0"/>
          <w:numId w:val="33"/>
        </w:numPr>
        <w:spacing w:after="0" w:line="360" w:lineRule="auto"/>
        <w:jc w:val="both"/>
        <w:rPr>
          <w:rFonts w:ascii="Palatino Linotype" w:hAnsi="Palatino Linotype" w:cs="Arial"/>
        </w:rPr>
      </w:pPr>
      <w:r>
        <w:rPr>
          <w:rFonts w:ascii="Palatino Linotype" w:hAnsi="Palatino Linotype" w:cs="Arial"/>
        </w:rPr>
        <w:t>Para dar la posibilidad de reserva de cualquier información, es necesario acreditar la prueba de daño, lo cual, no aconteció.</w:t>
      </w:r>
    </w:p>
    <w:p w14:paraId="0875C2D3" w14:textId="77777777" w:rsidR="001D0324" w:rsidRDefault="001D0324" w:rsidP="00CE657A">
      <w:pPr>
        <w:spacing w:after="0" w:line="360" w:lineRule="auto"/>
        <w:jc w:val="both"/>
        <w:rPr>
          <w:rFonts w:ascii="Palatino Linotype" w:hAnsi="Palatino Linotype" w:cs="Arial"/>
        </w:rPr>
      </w:pPr>
    </w:p>
    <w:p w14:paraId="626022EA" w14:textId="04FAAE89" w:rsidR="00CE657A" w:rsidRPr="00CE657A" w:rsidRDefault="001D0324" w:rsidP="00CE657A">
      <w:pPr>
        <w:spacing w:after="0" w:line="360" w:lineRule="auto"/>
        <w:jc w:val="both"/>
        <w:rPr>
          <w:rFonts w:ascii="Palatino Linotype" w:eastAsia="Calibri" w:hAnsi="Palatino Linotype" w:cs="Tahoma"/>
          <w:b/>
          <w:bCs/>
        </w:rPr>
      </w:pPr>
      <w:r>
        <w:rPr>
          <w:rFonts w:ascii="Palatino Linotype" w:hAnsi="Palatino Linotype" w:cs="Arial"/>
        </w:rPr>
        <w:t xml:space="preserve">Conforme a lo anterior, en el presente caso, por una parte consideró que no era procedente la salvedad, pues el Particular no esta requiriendo información que no haya causado estado y, por otra parte, </w:t>
      </w:r>
      <w:r w:rsidR="00351862">
        <w:rPr>
          <w:rFonts w:ascii="Palatino Linotype" w:hAnsi="Palatino Linotype" w:cs="Arial"/>
        </w:rPr>
        <w:t xml:space="preserve">si la Ponencia Resolutora consideró que se solicitaron expedientes en trámite, </w:t>
      </w:r>
      <w:r w:rsidR="00351862" w:rsidRPr="00351862">
        <w:rPr>
          <w:rFonts w:ascii="Palatino Linotype" w:hAnsi="Palatino Linotype" w:cs="Arial"/>
          <w:b/>
          <w:bCs/>
        </w:rPr>
        <w:t>s</w:t>
      </w:r>
      <w:r w:rsidR="00CE657A" w:rsidRPr="00351862">
        <w:rPr>
          <w:rFonts w:ascii="Palatino Linotype" w:hAnsi="Palatino Linotype" w:cs="Arial"/>
          <w:b/>
          <w:bCs/>
        </w:rPr>
        <w:t xml:space="preserve">e </w:t>
      </w:r>
      <w:r w:rsidR="00351862" w:rsidRPr="00351862">
        <w:rPr>
          <w:rFonts w:ascii="Palatino Linotype" w:hAnsi="Palatino Linotype" w:cs="Arial"/>
          <w:b/>
          <w:bCs/>
        </w:rPr>
        <w:t>debió</w:t>
      </w:r>
      <w:r w:rsidR="00351862">
        <w:rPr>
          <w:rFonts w:ascii="Palatino Linotype" w:hAnsi="Palatino Linotype" w:cs="Arial"/>
        </w:rPr>
        <w:t xml:space="preserve"> </w:t>
      </w:r>
      <w:r w:rsidR="00CE657A" w:rsidRPr="00CE657A">
        <w:rPr>
          <w:rFonts w:ascii="Palatino Linotype" w:eastAsia="Calibri" w:hAnsi="Palatino Linotype" w:cs="Tahoma"/>
          <w:b/>
          <w:bCs/>
        </w:rPr>
        <w:t>realiz</w:t>
      </w:r>
      <w:r w:rsidR="00351862">
        <w:rPr>
          <w:rFonts w:ascii="Palatino Linotype" w:eastAsia="Calibri" w:hAnsi="Palatino Linotype" w:cs="Tahoma"/>
          <w:b/>
          <w:bCs/>
        </w:rPr>
        <w:t>ar</w:t>
      </w:r>
      <w:r w:rsidR="00CE657A" w:rsidRPr="00CE657A">
        <w:rPr>
          <w:rFonts w:ascii="Palatino Linotype" w:eastAsia="Calibri" w:hAnsi="Palatino Linotype" w:cs="Tahoma"/>
          <w:b/>
          <w:bCs/>
        </w:rPr>
        <w:t xml:space="preserve"> un análisis exhaustivo y profundo sobre la </w:t>
      </w:r>
      <w:r>
        <w:rPr>
          <w:rFonts w:ascii="Palatino Linotype" w:eastAsia="Calibri" w:hAnsi="Palatino Linotype" w:cs="Tahoma"/>
          <w:b/>
          <w:bCs/>
        </w:rPr>
        <w:t xml:space="preserve">posibilidad de </w:t>
      </w:r>
      <w:r w:rsidR="00CE657A">
        <w:rPr>
          <w:rFonts w:ascii="Palatino Linotype" w:eastAsia="Calibri" w:hAnsi="Palatino Linotype" w:cs="Tahoma"/>
          <w:b/>
          <w:bCs/>
        </w:rPr>
        <w:t xml:space="preserve">reserva </w:t>
      </w:r>
      <w:r>
        <w:rPr>
          <w:rFonts w:ascii="Palatino Linotype" w:eastAsia="Calibri" w:hAnsi="Palatino Linotype" w:cs="Tahoma"/>
          <w:b/>
          <w:bCs/>
        </w:rPr>
        <w:t>de los documentos peticionados, en caso de existir el supuesto</w:t>
      </w:r>
      <w:r w:rsidR="00CE657A" w:rsidRPr="00CE657A">
        <w:rPr>
          <w:rFonts w:ascii="Palatino Linotype" w:eastAsia="Calibri" w:hAnsi="Palatino Linotype" w:cs="Tahoma"/>
          <w:b/>
          <w:bCs/>
        </w:rPr>
        <w:t>, al no desarrollar la prueba de daño, establecida en la Ley de la materia.</w:t>
      </w:r>
    </w:p>
    <w:p w14:paraId="1D284D64" w14:textId="77777777" w:rsidR="00CE657A" w:rsidRPr="00CE657A" w:rsidRDefault="00CE657A" w:rsidP="00CE657A">
      <w:pPr>
        <w:spacing w:after="0" w:line="360" w:lineRule="auto"/>
        <w:jc w:val="both"/>
        <w:rPr>
          <w:rFonts w:ascii="Palatino Linotype" w:eastAsia="Calibri" w:hAnsi="Palatino Linotype" w:cs="Tahoma"/>
        </w:rPr>
      </w:pPr>
    </w:p>
    <w:p w14:paraId="2E2DBBC3" w14:textId="397B5704" w:rsidR="00CE657A" w:rsidRPr="00CE657A" w:rsidRDefault="00CE657A" w:rsidP="00CE657A">
      <w:pPr>
        <w:spacing w:after="0" w:line="360" w:lineRule="auto"/>
        <w:jc w:val="both"/>
        <w:rPr>
          <w:rFonts w:ascii="Palatino Linotype" w:eastAsia="Calibri" w:hAnsi="Palatino Linotype" w:cs="Tahoma"/>
          <w:iCs/>
          <w:lang w:eastAsia="es-ES_tradnl"/>
        </w:rPr>
      </w:pPr>
      <w:r>
        <w:rPr>
          <w:rFonts w:ascii="Palatino Linotype" w:eastAsia="Calibri" w:hAnsi="Palatino Linotype" w:cs="Tahoma"/>
          <w:iCs/>
          <w:lang w:eastAsia="es-ES_tradnl"/>
        </w:rPr>
        <w:t>Sobre lo anterior</w:t>
      </w:r>
      <w:r w:rsidRPr="00CE657A">
        <w:rPr>
          <w:rFonts w:ascii="Palatino Linotype" w:eastAsia="Calibri" w:hAnsi="Palatino Linotype" w:cs="Tahoma"/>
          <w:iCs/>
          <w:lang w:eastAsia="es-ES_tradnl"/>
        </w:rPr>
        <w:t xml:space="preserve">, el artículo 1.8, fracciones IX y XIII del Código Administrativo del Estado de México, establece que para que tenga validez, todo acto administrativo deberá guardar </w:t>
      </w:r>
      <w:r w:rsidRPr="00CE657A">
        <w:rPr>
          <w:rFonts w:ascii="Palatino Linotype" w:eastAsia="Calibri" w:hAnsi="Palatino Linotype" w:cs="Tahoma"/>
          <w:iCs/>
          <w:lang w:eastAsia="es-ES_tradnl"/>
        </w:rPr>
        <w:lastRenderedPageBreak/>
        <w:t>congruencia con lo solicitado y deberá resolver todos los puntos propuestos por los interesados.</w:t>
      </w:r>
    </w:p>
    <w:p w14:paraId="2B88F7CA" w14:textId="77777777" w:rsidR="00CE657A" w:rsidRPr="00CE657A" w:rsidRDefault="00CE657A" w:rsidP="00CE657A">
      <w:pPr>
        <w:spacing w:after="0" w:line="360" w:lineRule="auto"/>
        <w:jc w:val="both"/>
        <w:rPr>
          <w:rFonts w:ascii="Palatino Linotype" w:eastAsia="Calibri" w:hAnsi="Palatino Linotype" w:cs="Tahoma"/>
          <w:iCs/>
          <w:lang w:eastAsia="es-ES_tradnl"/>
        </w:rPr>
      </w:pPr>
    </w:p>
    <w:p w14:paraId="4096D2F4" w14:textId="77777777" w:rsidR="00CE657A" w:rsidRPr="00CE657A" w:rsidRDefault="00CE657A" w:rsidP="00CE657A">
      <w:pPr>
        <w:spacing w:after="0" w:line="360" w:lineRule="auto"/>
        <w:jc w:val="both"/>
        <w:rPr>
          <w:rFonts w:ascii="Palatino Linotype" w:eastAsia="Calibri" w:hAnsi="Palatino Linotype" w:cs="Tahoma"/>
          <w:lang w:val="es-ES_tradnl"/>
        </w:rPr>
      </w:pPr>
      <w:r w:rsidRPr="00CE657A">
        <w:rPr>
          <w:rFonts w:ascii="Palatino Linotype" w:eastAsia="Calibri" w:hAnsi="Palatino Linotype" w:cs="Tahoma"/>
          <w:iCs/>
          <w:lang w:eastAsia="es-ES_tradnl"/>
        </w:rPr>
        <w:t xml:space="preserve">Así, cada determinación que se toma, </w:t>
      </w:r>
      <w:r w:rsidRPr="00CE657A">
        <w:rPr>
          <w:rFonts w:ascii="Palatino Linotype" w:eastAsia="Calibri" w:hAnsi="Palatino Linotype" w:cs="Tahoma"/>
          <w:lang w:val="es-ES_tradnl"/>
        </w:rPr>
        <w:t xml:space="preserve">debe apegarse al </w:t>
      </w:r>
      <w:r w:rsidRPr="00CE657A">
        <w:rPr>
          <w:rFonts w:ascii="Palatino Linotype" w:eastAsia="Calibri" w:hAnsi="Palatino Linotype" w:cs="Tahoma"/>
          <w:b/>
          <w:lang w:val="es-ES_tradnl"/>
        </w:rPr>
        <w:t>principio de exhaustividad</w:t>
      </w:r>
      <w:r w:rsidRPr="00CE657A">
        <w:rPr>
          <w:rFonts w:ascii="Palatino Linotype" w:eastAsia="Calibri" w:hAnsi="Palatino Linotype" w:cs="Tahoma"/>
          <w:lang w:val="es-ES_tradnl"/>
        </w:rPr>
        <w:t>, entendiendo por este que se pronuncie expresamente sobre cada uno de los puntos requeridos, lo cual en materia de transparencia y acceso a la información pública se traduce en que</w:t>
      </w:r>
      <w:r w:rsidRPr="00CE657A">
        <w:rPr>
          <w:rFonts w:ascii="Palatino Linotype" w:eastAsia="Calibri" w:hAnsi="Palatino Linotype" w:cs="Tahoma"/>
          <w:b/>
          <w:lang w:val="es-ES_tradnl"/>
        </w:rPr>
        <w:t xml:space="preserve"> las resoluciones de los Órganos Garantes, </w:t>
      </w:r>
      <w:r w:rsidRPr="00CE657A">
        <w:rPr>
          <w:rFonts w:ascii="Palatino Linotype" w:eastAsia="Calibri" w:hAnsi="Palatino Linotype" w:cs="Tahoma"/>
          <w:lang w:val="es-ES_tradnl"/>
        </w:rPr>
        <w:t>deben guardar una relación lógica con lo solicitado y los agravios mediante un análisis, con el fin de decidir de manera íntegra, sobre cada uno de los requerimientos solicitados, de manera fundada y motivada, a fin de garantizar el derecho de acceso a la información.</w:t>
      </w:r>
    </w:p>
    <w:p w14:paraId="7527BAEC" w14:textId="77777777" w:rsidR="00CE657A" w:rsidRPr="00CE657A" w:rsidRDefault="00CE657A" w:rsidP="00CE657A">
      <w:pPr>
        <w:spacing w:after="0" w:line="360" w:lineRule="auto"/>
        <w:jc w:val="both"/>
        <w:rPr>
          <w:rFonts w:ascii="Palatino Linotype" w:eastAsia="Calibri" w:hAnsi="Palatino Linotype" w:cs="Tahoma"/>
          <w:lang w:val="es-ES_tradnl"/>
        </w:rPr>
      </w:pPr>
    </w:p>
    <w:p w14:paraId="103AD93D" w14:textId="77777777" w:rsidR="00CE657A" w:rsidRPr="00CE657A" w:rsidRDefault="00CE657A" w:rsidP="00CE657A">
      <w:pPr>
        <w:spacing w:after="0" w:line="360" w:lineRule="auto"/>
        <w:jc w:val="both"/>
        <w:rPr>
          <w:rFonts w:ascii="Palatino Linotype" w:eastAsia="Calibri" w:hAnsi="Palatino Linotype" w:cs="Tahoma"/>
          <w:lang w:val="es-ES_tradnl"/>
        </w:rPr>
      </w:pPr>
      <w:r w:rsidRPr="00CE657A">
        <w:rPr>
          <w:rFonts w:ascii="Palatino Linotype" w:eastAsia="Calibri" w:hAnsi="Palatino Linotype" w:cs="Tahoma"/>
          <w:lang w:val="es-ES_tradnl"/>
        </w:rPr>
        <w:t>A mayor abundamiento, resulta aplicable la tesis I.4o.C.2 K (10a.), emitida por Tribunales Colegiados de Circuito, publicada en la Gaceta del Semanario Judicial de la Federación, Tomo II, Libro 4, Página 1772, de marzo de dos mil catorce, Décima Época, materia constitucional, que establece lo siguiente:</w:t>
      </w:r>
    </w:p>
    <w:p w14:paraId="3CACA30C" w14:textId="77777777" w:rsidR="00CE657A" w:rsidRPr="00CE657A" w:rsidRDefault="00CE657A" w:rsidP="00CE657A">
      <w:pPr>
        <w:spacing w:after="0" w:line="360" w:lineRule="auto"/>
        <w:jc w:val="both"/>
        <w:rPr>
          <w:rFonts w:ascii="Palatino Linotype" w:eastAsia="Calibri" w:hAnsi="Palatino Linotype" w:cs="Tahoma"/>
          <w:lang w:val="es-ES_tradnl"/>
        </w:rPr>
      </w:pPr>
    </w:p>
    <w:p w14:paraId="45F7CB71" w14:textId="77777777" w:rsidR="00CE657A" w:rsidRPr="00CE657A" w:rsidRDefault="00CE657A" w:rsidP="00CE657A">
      <w:pPr>
        <w:spacing w:after="0" w:line="360" w:lineRule="auto"/>
        <w:ind w:left="567" w:right="567"/>
        <w:jc w:val="both"/>
        <w:rPr>
          <w:rFonts w:ascii="Palatino Linotype" w:eastAsia="Calibri" w:hAnsi="Palatino Linotype" w:cs="Tahoma"/>
          <w:i/>
          <w:sz w:val="20"/>
          <w:szCs w:val="20"/>
          <w:lang w:val="es-ES_tradnl"/>
        </w:rPr>
      </w:pPr>
      <w:r w:rsidRPr="00CE657A">
        <w:rPr>
          <w:rFonts w:ascii="Palatino Linotype" w:eastAsia="Calibri" w:hAnsi="Palatino Linotype" w:cs="Tahoma"/>
          <w:i/>
          <w:sz w:val="20"/>
          <w:szCs w:val="20"/>
          <w:lang w:val="es-ES_tradnl"/>
        </w:rPr>
        <w:t>“</w:t>
      </w:r>
      <w:r w:rsidRPr="00CE657A">
        <w:rPr>
          <w:rFonts w:ascii="Palatino Linotype" w:eastAsia="Calibri" w:hAnsi="Palatino Linotype" w:cs="Tahoma"/>
          <w:b/>
          <w:i/>
          <w:sz w:val="20"/>
          <w:szCs w:val="20"/>
          <w:lang w:val="es-ES_tradnl"/>
        </w:rPr>
        <w:t xml:space="preserve">EXHAUSTIVIDAD. SU EXIGENCIA IMPLICA LA MAYOR CALIDAD POSIBLE DE LAS SENTENCIAS, PARA CUMPLIR CON LA PLENITUD EXIGIDA POR EL ARTÍCULO 17 CONSTITUCIONAL. </w:t>
      </w:r>
      <w:r w:rsidRPr="00CE657A">
        <w:rPr>
          <w:rFonts w:ascii="Palatino Linotype" w:eastAsia="Calibri" w:hAnsi="Palatino Linotype" w:cs="Tahoma"/>
          <w:i/>
          <w:sz w:val="20"/>
          <w:szCs w:val="20"/>
          <w:lang w:val="es-ES_tradnl"/>
        </w:rPr>
        <w:t xml:space="preserve">El artículo 17 constitucional consigna los principios rectores de la impartición de justicia, para hacer efectivo el derecho a la jurisdicción. Uno de estos principios es el de la completitud, que </w:t>
      </w:r>
      <w:r w:rsidRPr="00CE657A">
        <w:rPr>
          <w:rFonts w:ascii="Palatino Linotype" w:eastAsia="Calibri" w:hAnsi="Palatino Linotype" w:cs="Tahoma"/>
          <w:b/>
          <w:i/>
          <w:sz w:val="20"/>
          <w:szCs w:val="20"/>
          <w:u w:val="single"/>
          <w:lang w:val="es-ES_tradnl"/>
        </w:rPr>
        <w:t>impone al</w:t>
      </w:r>
      <w:r w:rsidRPr="00CE657A">
        <w:rPr>
          <w:rFonts w:ascii="Palatino Linotype" w:eastAsia="Calibri" w:hAnsi="Palatino Linotype" w:cs="Tahoma"/>
          <w:i/>
          <w:sz w:val="20"/>
          <w:szCs w:val="20"/>
          <w:lang w:val="es-ES_tradnl"/>
        </w:rPr>
        <w:t xml:space="preserve"> </w:t>
      </w:r>
      <w:r w:rsidRPr="00CE657A">
        <w:rPr>
          <w:rFonts w:ascii="Palatino Linotype" w:eastAsia="Calibri" w:hAnsi="Palatino Linotype" w:cs="Tahoma"/>
          <w:b/>
          <w:i/>
          <w:sz w:val="20"/>
          <w:szCs w:val="20"/>
          <w:u w:val="single"/>
          <w:lang w:val="es-ES_tradnl"/>
        </w:rPr>
        <w:t>juzgador la obligación de resolver todos los litigios que se presenten para su conocimiento en su integridad, sin dejar nada pendiente</w:t>
      </w:r>
      <w:r w:rsidRPr="00CE657A">
        <w:rPr>
          <w:rFonts w:ascii="Palatino Linotype" w:eastAsia="Calibri" w:hAnsi="Palatino Linotype" w:cs="Tahoma"/>
          <w:i/>
          <w:sz w:val="20"/>
          <w:szCs w:val="20"/>
          <w:lang w:val="es-ES_tradnl"/>
        </w:rPr>
        <w:t xml:space="preserve">, con el objeto de que el fallo que se dicte declare el derecho y deje abierto el camino franco para su ejecución o cumplimiento, sin necesidad de nuevos procedimientos judiciales o administrativos. Para cumplir cabalmente con la completitud exigida por la Constitución, </w:t>
      </w:r>
      <w:r w:rsidRPr="00CE657A">
        <w:rPr>
          <w:rFonts w:ascii="Palatino Linotype" w:eastAsia="Calibri" w:hAnsi="Palatino Linotype" w:cs="Tahoma"/>
          <w:b/>
          <w:i/>
          <w:sz w:val="20"/>
          <w:szCs w:val="20"/>
          <w:u w:val="single"/>
          <w:lang w:val="es-ES_tradnl"/>
        </w:rPr>
        <w:t xml:space="preserve">se impone a los tribunales la obligación de examinar con exhaustividad todas las cuestiones atinentes al proceso puesto en su conocimiento, y esto se refleja en un examen acucioso, detenido, profundo, al que no escape nada de lo que pueda ser significativo </w:t>
      </w:r>
      <w:r w:rsidRPr="00CE657A">
        <w:rPr>
          <w:rFonts w:ascii="Palatino Linotype" w:eastAsia="Calibri" w:hAnsi="Palatino Linotype" w:cs="Tahoma"/>
          <w:b/>
          <w:i/>
          <w:sz w:val="20"/>
          <w:szCs w:val="20"/>
          <w:u w:val="single"/>
          <w:lang w:val="es-ES_tradnl"/>
        </w:rPr>
        <w:lastRenderedPageBreak/>
        <w:t>para encontrar la verdad sobre los hechos controvertidos, o de las posibilidades que ofrezca cada medio probatorio</w:t>
      </w:r>
      <w:r w:rsidRPr="00CE657A">
        <w:rPr>
          <w:rFonts w:ascii="Palatino Linotype" w:eastAsia="Calibri" w:hAnsi="Palatino Linotype" w:cs="Tahoma"/>
          <w:i/>
          <w:sz w:val="20"/>
          <w:szCs w:val="20"/>
          <w:lang w:val="es-ES_tradnl"/>
        </w:rPr>
        <w:t xml:space="preserve">. El vocablo exhaustivo es un adjetivo para expresar algo que se agota o apura por completo. El vocablo agotar hace referencia a llevar una acción de la manera más completa y total, sin dejarla inconclusa ni en la más mínima parte o expresión como lo ilustra el Diccionario de la Lengua Española: "Extraer todo el líquido que hay en una capacidad cualquiera; gastar del todo, consumir, agotar el caudal de las provisiones, el ingenio, la paciencia, agotarse una edición; cansar extremadamente". Sobre el verbo apurar, el diccionario expone, entre otros, los siguientes conceptos: "Averiguar o desentrañar la verdad ahincadamente o exponerla sin omisión; extremar, llevar hasta el cabo; acabar, agotar; purificar o reducir algo al estado de pureza separando lo impuro o extraño; examinar atentamente". La correlación de los significados destacados, con miras a su aplicación al documento en que se asienta una decisión judicial, guía hacia una exigencia cualitativa, consistente en que </w:t>
      </w:r>
      <w:r w:rsidRPr="00CE657A">
        <w:rPr>
          <w:rFonts w:ascii="Palatino Linotype" w:eastAsia="Calibri" w:hAnsi="Palatino Linotype" w:cs="Tahoma"/>
          <w:b/>
          <w:i/>
          <w:sz w:val="20"/>
          <w:szCs w:val="20"/>
          <w:u w:val="single"/>
          <w:lang w:val="es-ES_tradnl"/>
        </w:rPr>
        <w:t>el juzgador no sólo se ocupe de cada cuestión planteada en el litigio, de una manera o forma cualquiera, sino que lo haga a profundidad</w:t>
      </w:r>
      <w:r w:rsidRPr="00CE657A">
        <w:rPr>
          <w:rFonts w:ascii="Palatino Linotype" w:eastAsia="Calibri" w:hAnsi="Palatino Linotype" w:cs="Tahoma"/>
          <w:i/>
          <w:sz w:val="20"/>
          <w:szCs w:val="20"/>
          <w:lang w:val="es-ES_tradnl"/>
        </w:rPr>
        <w:t xml:space="preserve">, explore y enfrente todas las cuestiones atinentes a cada tópico, despeje cualquier incógnita que pueda generar inconsistencias en su discurso, enfrente las diversas posibilidades advertibles de cada punto de los temas sujetos a decisión, exponga todas las razones que tenga en la asunción de un criterio, sin reservarse ninguna, y en general, que diga todo lo que le sirvió para adoptar una interpretación jurídica, integrar una ley, </w:t>
      </w:r>
      <w:r w:rsidRPr="00CE657A">
        <w:rPr>
          <w:rFonts w:ascii="Palatino Linotype" w:eastAsia="Calibri" w:hAnsi="Palatino Linotype" w:cs="Tahoma"/>
          <w:b/>
          <w:i/>
          <w:sz w:val="20"/>
          <w:szCs w:val="20"/>
          <w:u w:val="single"/>
          <w:lang w:val="es-ES_tradnl"/>
        </w:rPr>
        <w:t>valorar el material probatorio</w:t>
      </w:r>
      <w:r w:rsidRPr="00CE657A">
        <w:rPr>
          <w:rFonts w:ascii="Palatino Linotype" w:eastAsia="Calibri" w:hAnsi="Palatino Linotype" w:cs="Tahoma"/>
          <w:i/>
          <w:sz w:val="20"/>
          <w:szCs w:val="20"/>
          <w:lang w:val="es-ES_tradnl"/>
        </w:rPr>
        <w:t>, acoger o desestimar un argumento de las partes o una consideración de las autoridades que se ocuparon antes del asunto, esto último cuando la sentencia recaiga a un medio impugnativo de cualquier naturaleza. El principio de exhaustividad se orienta, pues, a que las consideraciones de estudio de la sentencia se revistan de la más alta calidad posible, de completitud y de consistencia argumentativa.”</w:t>
      </w:r>
    </w:p>
    <w:p w14:paraId="4E447DD9" w14:textId="77777777" w:rsidR="00CE657A" w:rsidRPr="00CE657A" w:rsidRDefault="00CE657A" w:rsidP="00CE657A">
      <w:pPr>
        <w:spacing w:after="0" w:line="360" w:lineRule="auto"/>
        <w:jc w:val="both"/>
        <w:rPr>
          <w:rFonts w:ascii="Palatino Linotype" w:eastAsia="Calibri" w:hAnsi="Palatino Linotype" w:cs="Tahoma"/>
          <w:lang w:val="es-ES_tradnl"/>
        </w:rPr>
      </w:pPr>
    </w:p>
    <w:p w14:paraId="349CD8D5" w14:textId="77777777" w:rsidR="00CE657A" w:rsidRPr="00CE657A" w:rsidRDefault="00CE657A" w:rsidP="00CE657A">
      <w:pPr>
        <w:spacing w:after="0" w:line="360" w:lineRule="auto"/>
        <w:jc w:val="both"/>
        <w:rPr>
          <w:rFonts w:ascii="Palatino Linotype" w:eastAsia="Calibri" w:hAnsi="Palatino Linotype" w:cs="Tahoma"/>
          <w:lang w:val="es-ES_tradnl"/>
        </w:rPr>
      </w:pPr>
      <w:r w:rsidRPr="00CE657A">
        <w:rPr>
          <w:rFonts w:ascii="Palatino Linotype" w:eastAsia="Calibri" w:hAnsi="Palatino Linotype" w:cs="Tahoma"/>
          <w:lang w:val="es-ES_tradnl"/>
        </w:rPr>
        <w:t xml:space="preserve">De lo anterior, se desprende que el artículo 17 de la Carta Magna consigna los principios rectores de la impartición de justicia, para hacer efectivo el derecho a la jurisdicción, entre ellos el de completitud, el cual impone al juzgador la obligación de resolver todos los litigios que se presenten para su conocimiento en su integridad, sin dejar nada pendiente, con el objeto de que el fallo que se dicte declare el derecho y deje abierto el camino franco para su </w:t>
      </w:r>
      <w:r w:rsidRPr="00CE657A">
        <w:rPr>
          <w:rFonts w:ascii="Palatino Linotype" w:eastAsia="Calibri" w:hAnsi="Palatino Linotype" w:cs="Tahoma"/>
          <w:lang w:val="es-ES_tradnl"/>
        </w:rPr>
        <w:lastRenderedPageBreak/>
        <w:t xml:space="preserve">ejecución o cumplimiento, sin necesidad de nuevos procedimientos judiciales o administrativos. </w:t>
      </w:r>
    </w:p>
    <w:p w14:paraId="0037258B" w14:textId="77777777" w:rsidR="00CE657A" w:rsidRPr="00CE657A" w:rsidRDefault="00CE657A" w:rsidP="00CE657A">
      <w:pPr>
        <w:spacing w:after="0" w:line="360" w:lineRule="auto"/>
        <w:jc w:val="both"/>
        <w:rPr>
          <w:rFonts w:ascii="Palatino Linotype" w:eastAsia="Calibri" w:hAnsi="Palatino Linotype" w:cs="Tahoma"/>
          <w:lang w:val="es-ES_tradnl"/>
        </w:rPr>
      </w:pPr>
    </w:p>
    <w:p w14:paraId="5EA807E2" w14:textId="4ED4C6EB" w:rsidR="00CE657A" w:rsidRPr="00CE657A" w:rsidRDefault="00CE657A" w:rsidP="001D0324">
      <w:pPr>
        <w:spacing w:after="0" w:line="360" w:lineRule="auto"/>
        <w:jc w:val="both"/>
        <w:rPr>
          <w:rFonts w:ascii="Palatino Linotype" w:eastAsia="Calibri" w:hAnsi="Palatino Linotype" w:cs="Tahoma"/>
          <w:b/>
          <w:bCs/>
          <w:lang w:val="es-ES_tradnl"/>
        </w:rPr>
      </w:pPr>
      <w:r w:rsidRPr="00CE657A">
        <w:rPr>
          <w:rFonts w:ascii="Palatino Linotype" w:eastAsia="Calibri" w:hAnsi="Palatino Linotype" w:cs="Tahoma"/>
          <w:lang w:val="es-ES_tradnl"/>
        </w:rPr>
        <w:t xml:space="preserve">Así, para cumplir cabalmente con la completitud exigida por la Constitución, se debe examinar con exhaustividad todas las cuestiones atinentes al proceso, a través de </w:t>
      </w:r>
      <w:r w:rsidRPr="00CE657A">
        <w:rPr>
          <w:rFonts w:ascii="Palatino Linotype" w:eastAsia="Calibri" w:hAnsi="Palatino Linotype" w:cs="Tahoma"/>
          <w:b/>
          <w:lang w:val="es-ES_tradnl"/>
        </w:rPr>
        <w:t>un examen acucioso, detenido, profundo,</w:t>
      </w:r>
      <w:r w:rsidRPr="00CE657A">
        <w:rPr>
          <w:rFonts w:ascii="Palatino Linotype" w:eastAsia="Calibri" w:hAnsi="Palatino Linotype" w:cs="Tahoma"/>
          <w:lang w:val="es-ES_tradnl"/>
        </w:rPr>
        <w:t xml:space="preserve"> al que no escape nada de lo que pueda ser significativo para encontrar la verdad sobre los hechos controvertidos, o de las posibilidades que ofrezca cada medio probatorio; lo cual, no aconteció en el presente caso, </w:t>
      </w:r>
      <w:r w:rsidRPr="001D0324">
        <w:rPr>
          <w:rFonts w:ascii="Palatino Linotype" w:eastAsia="Calibri" w:hAnsi="Palatino Linotype" w:cs="Tahoma"/>
          <w:b/>
          <w:bCs/>
          <w:lang w:val="es-ES_tradnl"/>
        </w:rPr>
        <w:t xml:space="preserve">pues </w:t>
      </w:r>
      <w:r w:rsidR="00351862">
        <w:rPr>
          <w:rFonts w:ascii="Palatino Linotype" w:eastAsia="Calibri" w:hAnsi="Palatino Linotype" w:cs="Tahoma"/>
          <w:b/>
          <w:bCs/>
          <w:lang w:val="es-ES_tradnl"/>
        </w:rPr>
        <w:t>desde mi perspectiva, era necesario identificar que el Recurrente únicamente solicitó expedientes concluidos</w:t>
      </w:r>
      <w:r w:rsidR="001D0324" w:rsidRPr="001D0324">
        <w:rPr>
          <w:rFonts w:ascii="Palatino Linotype" w:eastAsia="Calibri" w:hAnsi="Palatino Linotype" w:cs="Tahoma"/>
          <w:b/>
          <w:bCs/>
          <w:lang w:val="es-ES_tradnl"/>
        </w:rPr>
        <w:t xml:space="preserve"> y, por otra, no se puede dar la posibilidad de clasificar la información, sin realizar</w:t>
      </w:r>
      <w:r w:rsidRPr="001D0324">
        <w:rPr>
          <w:rFonts w:ascii="Palatino Linotype" w:eastAsia="Calibri" w:hAnsi="Palatino Linotype" w:cs="Tahoma"/>
          <w:b/>
          <w:bCs/>
          <w:lang w:val="es-ES_tradnl"/>
        </w:rPr>
        <w:t xml:space="preserve"> el análisis o acreditación de la prueba de daño</w:t>
      </w:r>
      <w:r w:rsidR="001D0324">
        <w:rPr>
          <w:rFonts w:ascii="Palatino Linotype" w:eastAsia="Calibri" w:hAnsi="Palatino Linotype" w:cs="Tahoma"/>
          <w:b/>
          <w:bCs/>
          <w:lang w:val="es-ES_tradnl"/>
        </w:rPr>
        <w:t>.</w:t>
      </w:r>
    </w:p>
    <w:p w14:paraId="6F434064" w14:textId="4D0E021D" w:rsidR="00CE657A" w:rsidRDefault="00CE657A" w:rsidP="00CE657A">
      <w:pPr>
        <w:spacing w:after="0" w:line="360" w:lineRule="auto"/>
        <w:jc w:val="both"/>
        <w:rPr>
          <w:rFonts w:ascii="Palatino Linotype" w:eastAsia="Calibri" w:hAnsi="Palatino Linotype" w:cs="Tahoma"/>
        </w:rPr>
      </w:pPr>
    </w:p>
    <w:p w14:paraId="020A3C03" w14:textId="266F4469" w:rsidR="00CE657A" w:rsidRPr="00CE657A" w:rsidRDefault="0085547C" w:rsidP="0085547C">
      <w:pPr>
        <w:spacing w:after="0" w:line="360" w:lineRule="auto"/>
        <w:jc w:val="both"/>
        <w:rPr>
          <w:rFonts w:ascii="Palatino Linotype" w:eastAsia="Calibri" w:hAnsi="Palatino Linotype" w:cs="Tahoma"/>
        </w:rPr>
      </w:pPr>
      <w:r>
        <w:rPr>
          <w:rFonts w:ascii="Palatino Linotype" w:eastAsia="Calibri" w:hAnsi="Palatino Linotype" w:cs="Tahoma"/>
        </w:rPr>
        <w:t xml:space="preserve">En ese orden de ideas, si bien no estoy de acuerdo con dejar la salvedad, pues esta corresponde a información que no fue solicitada por el ahora Recurrente, también consideró importante, resaltar, que en cualquier resolución en donde se acredite o se de posibilidad de reservar determinada información, se debe </w:t>
      </w:r>
      <w:r w:rsidR="00CE657A" w:rsidRPr="00CE657A">
        <w:rPr>
          <w:rFonts w:ascii="Palatino Linotype" w:eastAsia="Calibri" w:hAnsi="Palatino Linotype" w:cs="Tahoma"/>
        </w:rPr>
        <w:t>desarrollar la prueba de daño establecida en el artículo 104 de la Ley General de Transparencia y Acceso a la Información Pública y  129 de la Ley de Transparencia y Acceso a la Información Pública del Estado de México y Municipios, pues este Instituto</w:t>
      </w:r>
      <w:r>
        <w:rPr>
          <w:rFonts w:ascii="Palatino Linotype" w:eastAsia="Calibri" w:hAnsi="Palatino Linotype" w:cs="Tahoma"/>
        </w:rPr>
        <w:t>,</w:t>
      </w:r>
      <w:r w:rsidR="00CE657A" w:rsidRPr="00CE657A">
        <w:rPr>
          <w:rFonts w:ascii="Palatino Linotype" w:eastAsia="Calibri" w:hAnsi="Palatino Linotype" w:cs="Tahoma"/>
        </w:rPr>
        <w:t xml:space="preserve"> al ser el Órgano Garante del derecho de acceso a la información pública, es el responsable clasificar la información que actualice alguna de las causales establecidas en las Leyes de Transparencia, en términos del artículo 106, fracción II, de la Ley General, en relación con los diversos 132, fracción II, de la Ley Local. Por tal circunstancia, los Comisionados y el Pleno, para señalar que se actualiza alguna causal de clasificación como reservada</w:t>
      </w:r>
      <w:r w:rsidR="00596383">
        <w:rPr>
          <w:rFonts w:ascii="Palatino Linotype" w:eastAsia="Calibri" w:hAnsi="Palatino Linotype" w:cs="Tahoma"/>
        </w:rPr>
        <w:t xml:space="preserve"> o bien acreditar una clasificación realizada por un Comité de Transparencia</w:t>
      </w:r>
      <w:r w:rsidR="00CE657A" w:rsidRPr="00CE657A">
        <w:rPr>
          <w:rFonts w:ascii="Palatino Linotype" w:eastAsia="Calibri" w:hAnsi="Palatino Linotype" w:cs="Tahoma"/>
        </w:rPr>
        <w:t>, debemos fundamentar y motivar, las razones por las cuales resulta procedente, por lo que, es necesario tener en cuenta, las siguientes consideraciones:</w:t>
      </w:r>
    </w:p>
    <w:p w14:paraId="5DACDFFB" w14:textId="77777777" w:rsidR="00CE657A" w:rsidRPr="00CE657A" w:rsidRDefault="00CE657A" w:rsidP="00CE657A">
      <w:pPr>
        <w:widowControl w:val="0"/>
        <w:spacing w:after="0" w:line="360" w:lineRule="auto"/>
        <w:jc w:val="both"/>
        <w:rPr>
          <w:rFonts w:ascii="Palatino Linotype" w:eastAsia="Calibri" w:hAnsi="Palatino Linotype" w:cs="Tahoma"/>
        </w:rPr>
      </w:pPr>
    </w:p>
    <w:p w14:paraId="4C19966C" w14:textId="77777777" w:rsidR="00CE657A" w:rsidRPr="00CE657A" w:rsidRDefault="00CE657A" w:rsidP="00CE657A">
      <w:pPr>
        <w:spacing w:after="0" w:line="360" w:lineRule="auto"/>
        <w:jc w:val="both"/>
        <w:rPr>
          <w:rFonts w:ascii="Palatino Linotype" w:eastAsia="Times New Roman" w:hAnsi="Palatino Linotype" w:cs="Tahoma"/>
          <w:lang w:val="es-MX" w:eastAsia="es-MX"/>
        </w:rPr>
      </w:pPr>
      <w:r w:rsidRPr="00CE657A">
        <w:rPr>
          <w:rFonts w:ascii="Palatino Linotype" w:eastAsia="Times New Roman" w:hAnsi="Palatino Linotype" w:cs="Tahoma"/>
          <w:lang w:val="es-MX" w:eastAsia="es-MX"/>
        </w:rPr>
        <w:lastRenderedPageBreak/>
        <w:t xml:space="preserve">Sobre dicha situación, los artículos 122, 128 y 130 de la Ley de la materia, prevén que </w:t>
      </w:r>
      <w:r w:rsidRPr="00CE657A">
        <w:rPr>
          <w:rFonts w:ascii="Palatino Linotype" w:eastAsia="Times New Roman" w:hAnsi="Palatino Linotype" w:cs="Tahoma"/>
          <w:b/>
          <w:lang w:val="es-MX" w:eastAsia="es-MX"/>
        </w:rPr>
        <w:t xml:space="preserve">la clasificación </w:t>
      </w:r>
      <w:r w:rsidRPr="00CE657A">
        <w:rPr>
          <w:rFonts w:ascii="Palatino Linotype" w:eastAsia="Times New Roman" w:hAnsi="Palatino Linotype" w:cs="Tahoma"/>
          <w:lang w:val="es-MX" w:eastAsia="es-MX"/>
        </w:rPr>
        <w:t xml:space="preserve">es el proceso mediante el cual los sujetos obligados determinan que la información en su poder, actualiza alguno de los supuestos de reserva o confidencialidad. </w:t>
      </w:r>
    </w:p>
    <w:p w14:paraId="53170671" w14:textId="77777777" w:rsidR="00CE657A" w:rsidRPr="00CE657A" w:rsidRDefault="00CE657A" w:rsidP="00CE657A">
      <w:pPr>
        <w:spacing w:after="0" w:line="360" w:lineRule="auto"/>
        <w:jc w:val="both"/>
        <w:rPr>
          <w:rFonts w:ascii="Palatino Linotype" w:eastAsia="Times New Roman" w:hAnsi="Palatino Linotype" w:cs="Tahoma"/>
          <w:lang w:val="es-MX" w:eastAsia="es-MX"/>
        </w:rPr>
      </w:pPr>
    </w:p>
    <w:p w14:paraId="355F0700" w14:textId="77777777" w:rsidR="00CE657A" w:rsidRPr="00CE657A" w:rsidRDefault="00CE657A" w:rsidP="00CE657A">
      <w:pPr>
        <w:spacing w:after="0" w:line="360" w:lineRule="auto"/>
        <w:jc w:val="both"/>
        <w:rPr>
          <w:rFonts w:ascii="Palatino Linotype" w:eastAsia="Times New Roman" w:hAnsi="Palatino Linotype" w:cs="Tahoma"/>
          <w:lang w:eastAsia="es-MX"/>
        </w:rPr>
      </w:pPr>
      <w:r w:rsidRPr="00CE657A">
        <w:rPr>
          <w:rFonts w:ascii="Palatino Linotype" w:eastAsia="Times New Roman" w:hAnsi="Palatino Linotype" w:cs="Tahoma"/>
          <w:lang w:eastAsia="es-MX"/>
        </w:rPr>
        <w:t>Además, que dichos entes deberán aplicar de manera restrictiva y limitada, las excepciones al derecho de acceso a la información, por lo que, tendrán que acreditar la procedencia.</w:t>
      </w:r>
    </w:p>
    <w:p w14:paraId="199C5EB3" w14:textId="77777777" w:rsidR="00CE657A" w:rsidRPr="00CE657A" w:rsidRDefault="00CE657A" w:rsidP="00CE657A">
      <w:pPr>
        <w:spacing w:after="0" w:line="360" w:lineRule="auto"/>
        <w:jc w:val="both"/>
        <w:rPr>
          <w:rFonts w:ascii="Palatino Linotype" w:eastAsia="Times New Roman" w:hAnsi="Palatino Linotype" w:cs="Tahoma"/>
          <w:lang w:val="es-MX" w:eastAsia="es-MX"/>
        </w:rPr>
      </w:pPr>
    </w:p>
    <w:p w14:paraId="1EE9A862" w14:textId="77777777" w:rsidR="00CE657A" w:rsidRPr="00CE657A" w:rsidRDefault="00CE657A" w:rsidP="00CE657A">
      <w:pPr>
        <w:spacing w:after="0" w:line="360" w:lineRule="auto"/>
        <w:jc w:val="both"/>
        <w:rPr>
          <w:rFonts w:ascii="Palatino Linotype" w:eastAsia="Times New Roman" w:hAnsi="Palatino Linotype" w:cs="Tahoma"/>
          <w:lang w:eastAsia="es-MX"/>
        </w:rPr>
      </w:pPr>
      <w:r w:rsidRPr="00CE657A">
        <w:rPr>
          <w:rFonts w:ascii="Palatino Linotype" w:eastAsia="Times New Roman" w:hAnsi="Palatino Linotype" w:cs="Tahoma"/>
          <w:lang w:eastAsia="es-MX"/>
        </w:rPr>
        <w:t xml:space="preserve">Por lo cual, en los casos en que se niegue el acceso a la información, por actualizarse alguno de los supuestos de clasificación, </w:t>
      </w:r>
      <w:r w:rsidRPr="00CE657A">
        <w:rPr>
          <w:rFonts w:ascii="Palatino Linotype" w:eastAsia="Times New Roman" w:hAnsi="Palatino Linotype" w:cs="Tahoma"/>
          <w:b/>
          <w:lang w:eastAsia="es-MX"/>
        </w:rPr>
        <w:t xml:space="preserve">el Comité de Transparencia deberá confirmar, modificar o revocar la decisión; </w:t>
      </w:r>
      <w:r w:rsidRPr="00CE657A">
        <w:rPr>
          <w:rFonts w:ascii="Palatino Linotype" w:eastAsia="Times New Roman" w:hAnsi="Palatino Linotype" w:cs="Tahoma"/>
          <w:lang w:eastAsia="es-MX"/>
        </w:rPr>
        <w:t>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04ED89A7" w14:textId="77777777" w:rsidR="00CE657A" w:rsidRPr="00CE657A" w:rsidRDefault="00CE657A" w:rsidP="00CE657A">
      <w:pPr>
        <w:spacing w:after="0" w:line="360" w:lineRule="auto"/>
        <w:jc w:val="both"/>
        <w:rPr>
          <w:rFonts w:ascii="Palatino Linotype" w:eastAsia="Times New Roman" w:hAnsi="Palatino Linotype" w:cs="Tahoma"/>
          <w:lang w:eastAsia="es-MX"/>
        </w:rPr>
      </w:pPr>
    </w:p>
    <w:p w14:paraId="27C67B2D" w14:textId="77777777" w:rsidR="00CE657A" w:rsidRPr="00CE657A" w:rsidRDefault="00CE657A" w:rsidP="00CE657A">
      <w:pPr>
        <w:spacing w:after="0" w:line="360" w:lineRule="auto"/>
        <w:jc w:val="both"/>
        <w:rPr>
          <w:rFonts w:ascii="Palatino Linotype" w:eastAsia="Times New Roman" w:hAnsi="Palatino Linotype" w:cs="Arial"/>
          <w:b/>
          <w:bCs/>
          <w:lang w:val="es-MX" w:eastAsia="es-ES"/>
        </w:rPr>
      </w:pPr>
      <w:r w:rsidRPr="00CE657A">
        <w:rPr>
          <w:rFonts w:ascii="Palatino Linotype" w:eastAsia="Times New Roman" w:hAnsi="Palatino Linotype" w:cs="Tahoma"/>
          <w:lang w:eastAsia="es-ES"/>
        </w:rPr>
        <w:t xml:space="preserve">En ese sentido, </w:t>
      </w:r>
      <w:r w:rsidRPr="00CE657A">
        <w:rPr>
          <w:rFonts w:ascii="Palatino Linotype" w:eastAsia="Times New Roman" w:hAnsi="Palatino Linotype" w:cs="Arial"/>
          <w:bCs/>
          <w:lang w:val="es-MX" w:eastAsia="es-ES"/>
        </w:rPr>
        <w:t xml:space="preserve">según Bonifaz, Leticia (2016), en la “Ley General de Transparencia y Acceso a la Información Pública Comentada” (p. 342), la </w:t>
      </w:r>
      <w:r w:rsidRPr="00CE657A">
        <w:rPr>
          <w:rFonts w:ascii="Palatino Linotype" w:eastAsia="Times New Roman" w:hAnsi="Palatino Linotype" w:cs="Arial"/>
          <w:b/>
          <w:bCs/>
          <w:lang w:val="es-MX" w:eastAsia="es-ES"/>
        </w:rPr>
        <w:t>clasificación de la información</w:t>
      </w:r>
      <w:r w:rsidRPr="00CE657A">
        <w:rPr>
          <w:rFonts w:ascii="Palatino Linotype" w:eastAsia="Times New Roman" w:hAnsi="Palatino Linotype" w:cs="Arial"/>
          <w:bCs/>
          <w:lang w:val="es-MX" w:eastAsia="es-ES"/>
        </w:rPr>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sidRPr="00CE657A">
        <w:rPr>
          <w:rFonts w:ascii="Palatino Linotype" w:eastAsia="Times New Roman" w:hAnsi="Palatino Linotype" w:cs="Arial"/>
          <w:b/>
          <w:bCs/>
          <w:lang w:val="es-MX" w:eastAsia="es-ES"/>
        </w:rPr>
        <w:t>de manera adecuada la negativa de información.</w:t>
      </w:r>
    </w:p>
    <w:p w14:paraId="047026F9" w14:textId="77777777" w:rsidR="00CE657A" w:rsidRPr="00CE657A" w:rsidRDefault="00CE657A" w:rsidP="00CE657A">
      <w:pPr>
        <w:spacing w:after="0" w:line="360" w:lineRule="auto"/>
        <w:jc w:val="both"/>
        <w:rPr>
          <w:rFonts w:ascii="Palatino Linotype" w:eastAsia="Calibri" w:hAnsi="Palatino Linotype" w:cs="Tahoma"/>
          <w:bCs/>
          <w:lang w:val="es-MX"/>
        </w:rPr>
      </w:pPr>
    </w:p>
    <w:p w14:paraId="5D93C5B8" w14:textId="63F18E8B" w:rsidR="00CE657A" w:rsidRPr="00CE657A" w:rsidRDefault="00CE657A" w:rsidP="00CE657A">
      <w:pPr>
        <w:spacing w:after="0" w:line="360" w:lineRule="auto"/>
        <w:jc w:val="both"/>
        <w:rPr>
          <w:rFonts w:ascii="Palatino Linotype" w:eastAsia="Calibri" w:hAnsi="Palatino Linotype" w:cs="Tahoma"/>
          <w:bCs/>
          <w:lang w:val="es-MX"/>
        </w:rPr>
      </w:pPr>
      <w:r w:rsidRPr="00CE657A">
        <w:rPr>
          <w:rFonts w:ascii="Palatino Linotype" w:eastAsia="Calibri" w:hAnsi="Palatino Linotype" w:cs="Tahoma"/>
          <w:bCs/>
          <w:lang w:val="es-MX"/>
        </w:rPr>
        <w:t xml:space="preserve">Conforme a lo expuesto, en el presente caso, </w:t>
      </w:r>
      <w:r w:rsidR="00596383">
        <w:rPr>
          <w:rFonts w:ascii="Palatino Linotype" w:eastAsia="Calibri" w:hAnsi="Palatino Linotype" w:cs="Tahoma"/>
          <w:bCs/>
          <w:lang w:val="es-MX"/>
        </w:rPr>
        <w:t>la Secretaría de Justicia y Derechos Humanos</w:t>
      </w:r>
      <w:r w:rsidRPr="00CE657A">
        <w:rPr>
          <w:rFonts w:ascii="Palatino Linotype" w:eastAsia="Calibri" w:hAnsi="Palatino Linotype" w:cs="Tahoma"/>
          <w:bCs/>
          <w:lang w:val="es-MX"/>
        </w:rPr>
        <w:t xml:space="preserve">, </w:t>
      </w:r>
      <w:r w:rsidRPr="00CE657A">
        <w:rPr>
          <w:rFonts w:ascii="Palatino Linotype" w:eastAsia="Times New Roman" w:hAnsi="Palatino Linotype" w:cs="Tahoma"/>
          <w:lang w:val="es-MX" w:eastAsia="es-MX"/>
        </w:rPr>
        <w:t>no señaló que era inexistente la información; al contrario, precisó que no podía proporcionarla al ser reservada, es decir, aludió a una clasificación; al respecto</w:t>
      </w:r>
      <w:r w:rsidRPr="00CE657A">
        <w:rPr>
          <w:rFonts w:ascii="Palatino Linotype" w:eastAsia="Calibri" w:hAnsi="Palatino Linotype" w:cs="Tahoma"/>
          <w:bCs/>
          <w:lang w:val="es-MX"/>
        </w:rPr>
        <w:t>, el Criterio 29/10, emitido por el Pleno del entonces Instituto Federal de Acceso a la Información y Protección de Datos, precisa lo siguiente:</w:t>
      </w:r>
    </w:p>
    <w:p w14:paraId="09150494" w14:textId="77777777" w:rsidR="00CE657A" w:rsidRPr="00CE657A" w:rsidRDefault="00CE657A" w:rsidP="00CE657A">
      <w:pPr>
        <w:spacing w:after="0" w:line="360" w:lineRule="auto"/>
        <w:jc w:val="both"/>
        <w:rPr>
          <w:rFonts w:ascii="Palatino Linotype" w:eastAsia="Calibri" w:hAnsi="Palatino Linotype" w:cs="Tahoma"/>
          <w:bCs/>
          <w:lang w:val="es-MX"/>
        </w:rPr>
      </w:pPr>
    </w:p>
    <w:p w14:paraId="065D685A" w14:textId="77777777" w:rsidR="00CE657A" w:rsidRPr="00CE657A" w:rsidRDefault="00CE657A" w:rsidP="00CE657A">
      <w:pPr>
        <w:spacing w:after="0" w:line="360" w:lineRule="auto"/>
        <w:ind w:left="567" w:right="567"/>
        <w:jc w:val="both"/>
        <w:rPr>
          <w:rFonts w:ascii="Palatino Linotype" w:eastAsia="Calibri" w:hAnsi="Palatino Linotype" w:cs="Tahoma"/>
          <w:bCs/>
          <w:i/>
          <w:sz w:val="20"/>
          <w:lang w:val="es-MX"/>
        </w:rPr>
      </w:pPr>
      <w:r w:rsidRPr="00CE657A">
        <w:rPr>
          <w:rFonts w:ascii="Palatino Linotype" w:eastAsia="Calibri" w:hAnsi="Palatino Linotype" w:cs="Tahoma"/>
          <w:b/>
          <w:bCs/>
          <w:i/>
          <w:sz w:val="20"/>
          <w:lang w:val="es-MX"/>
        </w:rPr>
        <w:lastRenderedPageBreak/>
        <w:t>“La clasificación y la inexistencia de información son conceptos que no pueden coexistir.</w:t>
      </w:r>
      <w:r w:rsidRPr="00CE657A">
        <w:rPr>
          <w:rFonts w:ascii="Palatino Linotype" w:eastAsia="Calibri" w:hAnsi="Palatino Linotype" w:cs="Tahoma"/>
          <w:bCs/>
          <w:i/>
          <w:sz w:val="20"/>
          <w:lang w:val="es-MX"/>
        </w:rPr>
        <w:t xml:space="preserve">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p>
    <w:p w14:paraId="4878FC38" w14:textId="77777777" w:rsidR="00CE657A" w:rsidRPr="00CE657A" w:rsidRDefault="00CE657A" w:rsidP="00CE657A">
      <w:pPr>
        <w:spacing w:after="0" w:line="360" w:lineRule="auto"/>
        <w:rPr>
          <w:rFonts w:ascii="Palatino Linotype" w:eastAsia="Calibri" w:hAnsi="Palatino Linotype" w:cs="Tahoma"/>
          <w:bCs/>
          <w:lang w:val="es-MX"/>
        </w:rPr>
      </w:pPr>
    </w:p>
    <w:p w14:paraId="6470BAAC" w14:textId="77777777" w:rsidR="00CE657A" w:rsidRPr="00CE657A" w:rsidRDefault="00CE657A" w:rsidP="00CE657A">
      <w:pPr>
        <w:spacing w:after="0" w:line="360" w:lineRule="auto"/>
        <w:jc w:val="both"/>
        <w:rPr>
          <w:rFonts w:ascii="Palatino Linotype" w:eastAsia="Calibri" w:hAnsi="Palatino Linotype" w:cs="Tahoma"/>
          <w:bCs/>
          <w:lang w:val="es-MX"/>
        </w:rPr>
      </w:pPr>
      <w:r w:rsidRPr="00CE657A">
        <w:rPr>
          <w:rFonts w:ascii="Palatino Linotype" w:eastAsia="Calibri" w:hAnsi="Palatino Linotype" w:cs="Tahoma"/>
          <w:bCs/>
          <w:lang w:val="es-MX"/>
        </w:rPr>
        <w:t>Del citado criterio, se advierte que la clasificación y la inexistencia no coexisten entre sí, en virtud de que la primera implica la existencia de un documento o documentos determinados, mientras que la segunda conlleva a la ausencia de los mismos en los archivos de la dependencia o entidad de que se trate.</w:t>
      </w:r>
    </w:p>
    <w:p w14:paraId="7858930E" w14:textId="77777777" w:rsidR="00C57E29" w:rsidRPr="00CE657A" w:rsidRDefault="00C57E29" w:rsidP="00CE657A">
      <w:pPr>
        <w:widowControl w:val="0"/>
        <w:spacing w:after="0" w:line="360" w:lineRule="auto"/>
        <w:jc w:val="both"/>
        <w:rPr>
          <w:rFonts w:ascii="Palatino Linotype" w:eastAsia="Calibri" w:hAnsi="Palatino Linotype" w:cs="Tahoma"/>
        </w:rPr>
      </w:pPr>
    </w:p>
    <w:p w14:paraId="10C95F69" w14:textId="77777777" w:rsidR="00CE657A" w:rsidRPr="00CE657A" w:rsidRDefault="00CE657A" w:rsidP="00CE657A">
      <w:pPr>
        <w:shd w:val="clear" w:color="auto" w:fill="FFFFFF"/>
        <w:spacing w:after="0" w:line="360" w:lineRule="auto"/>
        <w:jc w:val="both"/>
        <w:rPr>
          <w:rFonts w:ascii="Palatino Linotype" w:eastAsia="Times New Roman" w:hAnsi="Palatino Linotype" w:cs="Tahoma"/>
          <w:b/>
          <w:lang w:val="es-MX" w:eastAsia="es-ES"/>
        </w:rPr>
      </w:pPr>
      <w:r w:rsidRPr="00CE657A">
        <w:rPr>
          <w:rFonts w:ascii="Palatino Linotype" w:eastAsia="Times New Roman" w:hAnsi="Palatino Linotype" w:cs="Tahoma"/>
          <w:lang w:val="es-MX" w:eastAsia="es-ES"/>
        </w:rPr>
        <w:t xml:space="preserve">En ese sentido, conforme al artículo 108 de la Ley General de Transparencia y Acceso a la Información Pública, el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CE657A">
        <w:rPr>
          <w:rFonts w:ascii="Palatino Linotype" w:eastAsia="Times New Roman" w:hAnsi="Palatino Linotype" w:cs="Tahoma"/>
          <w:b/>
          <w:lang w:val="es-MX" w:eastAsia="es-ES"/>
        </w:rPr>
        <w:t>análisis caso por caso.</w:t>
      </w:r>
    </w:p>
    <w:p w14:paraId="185E0C8C" w14:textId="77777777" w:rsidR="00CE657A" w:rsidRPr="00CE657A" w:rsidRDefault="00CE657A" w:rsidP="00CE657A">
      <w:pPr>
        <w:spacing w:after="0" w:line="360" w:lineRule="auto"/>
        <w:jc w:val="both"/>
        <w:rPr>
          <w:rFonts w:ascii="Palatino Linotype" w:eastAsia="Calibri" w:hAnsi="Palatino Linotype" w:cs="Tahoma"/>
        </w:rPr>
      </w:pPr>
    </w:p>
    <w:p w14:paraId="6B1422AF" w14:textId="77777777" w:rsidR="00CE657A" w:rsidRPr="00CE657A" w:rsidRDefault="00CE657A" w:rsidP="00CE657A">
      <w:pPr>
        <w:shd w:val="clear" w:color="auto" w:fill="FFFFFF"/>
        <w:spacing w:after="0" w:line="360" w:lineRule="auto"/>
        <w:jc w:val="both"/>
        <w:rPr>
          <w:rFonts w:ascii="Palatino Linotype" w:eastAsia="Times New Roman" w:hAnsi="Palatino Linotype" w:cs="Tahoma"/>
          <w:lang w:val="es-MX" w:eastAsia="es-ES"/>
        </w:rPr>
      </w:pPr>
      <w:r w:rsidRPr="00CE657A">
        <w:rPr>
          <w:rFonts w:ascii="Palatino Linotype" w:eastAsia="Times New Roman" w:hAnsi="Palatino Linotype" w:cs="Tahoma"/>
          <w:lang w:val="es-MX" w:eastAsia="es-ES"/>
        </w:rPr>
        <w:lastRenderedPageBreak/>
        <w:t xml:space="preserve">En ese orden de ideas, el artículo 105 de la Ley de General de Transparencia y Acceso a la Información Pública y 131 de la Ley de Transparencia y Acceso a la Información Pública del Estado de México y Municipios, así como el Quinto de los Lineamientos Generales, establecen que los sujetos obligados </w:t>
      </w:r>
      <w:r w:rsidRPr="00CE657A">
        <w:rPr>
          <w:rFonts w:ascii="Palatino Linotype" w:eastAsia="Times New Roman" w:hAnsi="Palatino Linotype" w:cs="Tahoma"/>
          <w:b/>
          <w:lang w:val="es-MX" w:eastAsia="es-ES"/>
        </w:rPr>
        <w:t>deberán fundar y motivar</w:t>
      </w:r>
      <w:r w:rsidRPr="00CE657A">
        <w:rPr>
          <w:rFonts w:ascii="Palatino Linotype" w:eastAsia="Times New Roman" w:hAnsi="Palatino Linotype" w:cs="Tahoma"/>
          <w:lang w:val="es-MX" w:eastAsia="es-ES"/>
        </w:rPr>
        <w:t xml:space="preserve"> debidamente la clasificación de la información.</w:t>
      </w:r>
    </w:p>
    <w:p w14:paraId="7E838CE1" w14:textId="77777777" w:rsidR="00CE657A" w:rsidRPr="00CE657A" w:rsidRDefault="00CE657A" w:rsidP="00CE657A">
      <w:pPr>
        <w:shd w:val="clear" w:color="auto" w:fill="FFFFFF"/>
        <w:spacing w:after="0" w:line="360" w:lineRule="auto"/>
        <w:jc w:val="both"/>
        <w:rPr>
          <w:rFonts w:ascii="Palatino Linotype" w:eastAsia="Times New Roman" w:hAnsi="Palatino Linotype" w:cs="Tahoma"/>
          <w:b/>
          <w:lang w:val="es-MX" w:eastAsia="es-ES"/>
        </w:rPr>
      </w:pPr>
    </w:p>
    <w:p w14:paraId="17C096F1" w14:textId="77777777" w:rsidR="00CE657A" w:rsidRPr="00CE657A" w:rsidRDefault="00CE657A" w:rsidP="00CE657A">
      <w:pPr>
        <w:shd w:val="clear" w:color="auto" w:fill="FFFFFF"/>
        <w:spacing w:after="0" w:line="360" w:lineRule="auto"/>
        <w:jc w:val="both"/>
        <w:rPr>
          <w:rFonts w:ascii="Palatino Linotype" w:eastAsia="Times New Roman" w:hAnsi="Palatino Linotype" w:cs="Tahoma"/>
          <w:bCs/>
          <w:iCs/>
          <w:lang w:val="es-MX" w:eastAsia="es-ES"/>
        </w:rPr>
      </w:pPr>
      <w:r w:rsidRPr="00CE657A">
        <w:rPr>
          <w:rFonts w:ascii="Palatino Linotype" w:eastAsia="Times New Roman" w:hAnsi="Palatino Linotype" w:cs="Tahoma"/>
          <w:lang w:val="es-MX" w:eastAsia="es-ES"/>
        </w:rPr>
        <w:t>Al respecto, e</w:t>
      </w:r>
      <w:r w:rsidRPr="00CE657A">
        <w:rPr>
          <w:rFonts w:ascii="Palatino Linotype" w:eastAsia="Times New Roman" w:hAnsi="Palatino Linotype" w:cs="Tahoma"/>
          <w:bCs/>
          <w:iCs/>
          <w:lang w:val="es-MX" w:eastAsia="es-ES"/>
        </w:rPr>
        <w:t>l Octavo de los Lineamientos Generales, precisa lo siguiente:</w:t>
      </w:r>
    </w:p>
    <w:p w14:paraId="526B5120" w14:textId="77777777" w:rsidR="00CE657A" w:rsidRPr="00CE657A" w:rsidRDefault="00CE657A" w:rsidP="00CE657A">
      <w:pPr>
        <w:shd w:val="clear" w:color="auto" w:fill="FFFFFF"/>
        <w:spacing w:after="0" w:line="360" w:lineRule="auto"/>
        <w:jc w:val="both"/>
        <w:rPr>
          <w:rFonts w:ascii="Palatino Linotype" w:eastAsia="Times New Roman" w:hAnsi="Palatino Linotype" w:cs="Tahoma"/>
          <w:bCs/>
          <w:iCs/>
          <w:lang w:val="es-MX" w:eastAsia="es-ES"/>
        </w:rPr>
      </w:pPr>
    </w:p>
    <w:p w14:paraId="7A140D97" w14:textId="77777777" w:rsidR="00CE657A" w:rsidRPr="00CE657A" w:rsidRDefault="00CE657A" w:rsidP="00CE657A">
      <w:pPr>
        <w:numPr>
          <w:ilvl w:val="0"/>
          <w:numId w:val="24"/>
        </w:numPr>
        <w:shd w:val="clear" w:color="auto" w:fill="FFFFFF"/>
        <w:spacing w:after="0" w:line="360" w:lineRule="auto"/>
        <w:jc w:val="both"/>
        <w:rPr>
          <w:rFonts w:ascii="Palatino Linotype" w:eastAsia="Times New Roman" w:hAnsi="Palatino Linotype" w:cs="Tahoma"/>
          <w:bCs/>
          <w:lang w:val="es-MX" w:eastAsia="es-ES"/>
        </w:rPr>
      </w:pPr>
      <w:r w:rsidRPr="00CE657A">
        <w:rPr>
          <w:rFonts w:ascii="Palatino Linotype" w:eastAsia="Times New Roman" w:hAnsi="Palatino Linotype" w:cs="Tahoma"/>
          <w:b/>
          <w:bCs/>
          <w:lang w:val="es-MX" w:eastAsia="es-ES"/>
        </w:rPr>
        <w:t>Para fundar la clasificación</w:t>
      </w:r>
      <w:r w:rsidRPr="00CE657A">
        <w:rPr>
          <w:rFonts w:ascii="Palatino Linotype" w:eastAsia="Times New Roman" w:hAnsi="Palatino Linotype" w:cs="Tahoma"/>
          <w:bCs/>
          <w:lang w:val="es-MX" w:eastAsia="es-ES"/>
        </w:rPr>
        <w:t xml:space="preserve"> de la información se deberán señalar el artículo, fracción, inciso, párrafo o numeral de la Ley aplicable, y</w:t>
      </w:r>
    </w:p>
    <w:p w14:paraId="6E5A594E" w14:textId="77777777" w:rsidR="00CE657A" w:rsidRPr="00CE657A" w:rsidRDefault="00CE657A" w:rsidP="00CE657A">
      <w:pPr>
        <w:shd w:val="clear" w:color="auto" w:fill="FFFFFF"/>
        <w:spacing w:after="0" w:line="360" w:lineRule="auto"/>
        <w:jc w:val="both"/>
        <w:rPr>
          <w:rFonts w:ascii="Palatino Linotype" w:eastAsia="Times New Roman" w:hAnsi="Palatino Linotype" w:cs="Tahoma"/>
          <w:bCs/>
          <w:lang w:val="es-MX" w:eastAsia="es-ES"/>
        </w:rPr>
      </w:pPr>
    </w:p>
    <w:p w14:paraId="1B21047E" w14:textId="77777777" w:rsidR="00CE657A" w:rsidRPr="00CE657A" w:rsidRDefault="00CE657A" w:rsidP="00CE657A">
      <w:pPr>
        <w:numPr>
          <w:ilvl w:val="0"/>
          <w:numId w:val="24"/>
        </w:numPr>
        <w:shd w:val="clear" w:color="auto" w:fill="FFFFFF"/>
        <w:spacing w:after="0" w:line="360" w:lineRule="auto"/>
        <w:jc w:val="both"/>
        <w:rPr>
          <w:rFonts w:ascii="Palatino Linotype" w:eastAsia="Times New Roman" w:hAnsi="Palatino Linotype" w:cs="Tahoma"/>
          <w:bCs/>
          <w:lang w:val="es-MX" w:eastAsia="es-ES"/>
        </w:rPr>
      </w:pPr>
      <w:r w:rsidRPr="00CE657A">
        <w:rPr>
          <w:rFonts w:ascii="Palatino Linotype" w:eastAsia="Times New Roman" w:hAnsi="Palatino Linotype" w:cs="Tahoma"/>
          <w:b/>
          <w:bCs/>
          <w:lang w:val="es-MX" w:eastAsia="es-ES"/>
        </w:rPr>
        <w:t>Para motivar la clasificación</w:t>
      </w:r>
      <w:r w:rsidRPr="00CE657A">
        <w:rPr>
          <w:rFonts w:ascii="Palatino Linotype" w:eastAsia="Times New Roman" w:hAnsi="Palatino Linotype" w:cs="Tahoma"/>
          <w:bCs/>
          <w:lang w:val="es-MX" w:eastAsia="es-ES"/>
        </w:rPr>
        <w:t xml:space="preserve"> se deberán indicar las razones y circunstancias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14:paraId="5CB612B0" w14:textId="790E7126" w:rsidR="00CE657A" w:rsidRDefault="00CE657A" w:rsidP="00CE657A">
      <w:pPr>
        <w:spacing w:after="0" w:line="360" w:lineRule="auto"/>
        <w:ind w:left="720"/>
        <w:contextualSpacing/>
        <w:rPr>
          <w:rFonts w:ascii="Palatino Linotype" w:eastAsia="Times New Roman" w:hAnsi="Palatino Linotype" w:cs="Tahoma"/>
          <w:bCs/>
          <w:lang w:val="es-MX" w:eastAsia="es-ES"/>
        </w:rPr>
      </w:pPr>
    </w:p>
    <w:p w14:paraId="4FF7DDA0" w14:textId="77777777" w:rsidR="00CE657A" w:rsidRPr="00CE657A" w:rsidRDefault="00CE657A" w:rsidP="00CE657A">
      <w:pPr>
        <w:shd w:val="clear" w:color="auto" w:fill="FFFFFF"/>
        <w:spacing w:after="0" w:line="360" w:lineRule="auto"/>
        <w:jc w:val="both"/>
        <w:rPr>
          <w:rFonts w:ascii="Palatino Linotype" w:eastAsia="Times New Roman" w:hAnsi="Palatino Linotype" w:cs="Tahoma"/>
          <w:lang w:val="es-MX" w:eastAsia="es-ES"/>
        </w:rPr>
      </w:pPr>
      <w:r w:rsidRPr="00CE657A">
        <w:rPr>
          <w:rFonts w:ascii="Palatino Linotype" w:eastAsia="Times New Roman" w:hAnsi="Palatino Linotype" w:cs="Tahoma"/>
          <w:lang w:val="es-MX" w:eastAsia="es-ES"/>
        </w:rPr>
        <w:t xml:space="preserve">Lo anterior, toma sustento en la fracción VII, del artículo 1.8, del Código Administrativo del Estado de México, que establece que todo acto administrativo, </w:t>
      </w:r>
      <w:r w:rsidRPr="00CE657A">
        <w:rPr>
          <w:rFonts w:ascii="Palatino Linotype" w:eastAsia="Times New Roman" w:hAnsi="Palatino Linotype" w:cs="Tahoma"/>
          <w:b/>
          <w:lang w:val="es-MX" w:eastAsia="es-ES"/>
        </w:rPr>
        <w:t>debe estar fundado y motivado,</w:t>
      </w:r>
      <w:r w:rsidRPr="00CE657A">
        <w:rPr>
          <w:rFonts w:ascii="Palatino Linotype" w:eastAsia="Times New Roman" w:hAnsi="Palatino Linotype" w:cs="Tahoma"/>
          <w:lang w:val="es-MX" w:eastAsia="es-ES"/>
        </w:rPr>
        <w:t xml:space="preserve"> esto es, que contenga con precisión, los preceptos legales aplicables, las circunstancias generales o especiales, razones particulares y causas que se hayan tomado en cuenta para la emisión del mismo; asimismo, la Tesis aislada número I. 4o. P. 56 P, Octava Época, publicada en el Semanario Judicial de la Federación, Tomo XIV, noviembre de mil novecientos noventa y cuatro, (p. 450), que establece lo siguiente:</w:t>
      </w:r>
    </w:p>
    <w:p w14:paraId="72FE2E58" w14:textId="77777777" w:rsidR="00CE657A" w:rsidRPr="00CE657A" w:rsidRDefault="00CE657A" w:rsidP="00CE657A">
      <w:pPr>
        <w:shd w:val="clear" w:color="auto" w:fill="FFFFFF"/>
        <w:spacing w:after="0" w:line="360" w:lineRule="auto"/>
        <w:jc w:val="both"/>
        <w:rPr>
          <w:rFonts w:ascii="Palatino Linotype" w:eastAsia="Times New Roman" w:hAnsi="Palatino Linotype" w:cs="Tahoma"/>
          <w:lang w:val="es-MX" w:eastAsia="es-ES"/>
        </w:rPr>
      </w:pPr>
    </w:p>
    <w:p w14:paraId="1C44E367" w14:textId="77777777" w:rsidR="00CE657A" w:rsidRPr="00CE657A" w:rsidRDefault="00CE657A" w:rsidP="00CE657A">
      <w:pPr>
        <w:shd w:val="clear" w:color="auto" w:fill="FFFFFF"/>
        <w:spacing w:after="0" w:line="360" w:lineRule="auto"/>
        <w:ind w:left="567" w:right="567"/>
        <w:jc w:val="both"/>
        <w:rPr>
          <w:rFonts w:ascii="Palatino Linotype" w:eastAsia="Times New Roman" w:hAnsi="Palatino Linotype" w:cs="Tahoma"/>
          <w:i/>
          <w:sz w:val="20"/>
          <w:szCs w:val="20"/>
          <w:lang w:val="es-MX" w:eastAsia="es-ES"/>
        </w:rPr>
      </w:pPr>
      <w:r w:rsidRPr="00CE657A">
        <w:rPr>
          <w:rFonts w:ascii="Palatino Linotype" w:eastAsia="Times New Roman" w:hAnsi="Palatino Linotype" w:cs="Tahoma"/>
          <w:b/>
          <w:i/>
          <w:sz w:val="20"/>
          <w:szCs w:val="20"/>
          <w:lang w:val="es-MX" w:eastAsia="es-ES"/>
        </w:rPr>
        <w:t xml:space="preserve">“FUNDAMENTACION Y MOTIVACION, CONCEPTO DE. </w:t>
      </w:r>
      <w:r w:rsidRPr="00CE657A">
        <w:rPr>
          <w:rFonts w:ascii="Palatino Linotype" w:eastAsia="Times New Roman" w:hAnsi="Palatino Linotype" w:cs="Tahoma"/>
          <w:i/>
          <w:sz w:val="20"/>
          <w:szCs w:val="20"/>
          <w:lang w:val="es-MX" w:eastAsia="es-ES"/>
        </w:rPr>
        <w:t xml:space="preserve">La garantía de legalidad consagrada en el artículo 16 de nuestra Carta Magna, establece que todo acto de autoridad precisa encontrarse debidamente fundado y motivado, entendiéndose por lo primero la obligación de la </w:t>
      </w:r>
      <w:r w:rsidRPr="00CE657A">
        <w:rPr>
          <w:rFonts w:ascii="Palatino Linotype" w:eastAsia="Times New Roman" w:hAnsi="Palatino Linotype" w:cs="Tahoma"/>
          <w:i/>
          <w:sz w:val="20"/>
          <w:szCs w:val="20"/>
          <w:lang w:val="es-MX" w:eastAsia="es-ES"/>
        </w:rPr>
        <w:lastRenderedPageBreak/>
        <w:t>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19D49C98" w14:textId="77777777" w:rsidR="00CE657A" w:rsidRPr="00CE657A" w:rsidRDefault="00CE657A" w:rsidP="00CE657A">
      <w:pPr>
        <w:shd w:val="clear" w:color="auto" w:fill="FFFFFF"/>
        <w:spacing w:after="0" w:line="360" w:lineRule="auto"/>
        <w:jc w:val="both"/>
        <w:rPr>
          <w:rFonts w:ascii="Palatino Linotype" w:eastAsia="Times New Roman" w:hAnsi="Palatino Linotype" w:cs="Tahoma"/>
          <w:lang w:val="es-MX" w:eastAsia="es-ES"/>
        </w:rPr>
      </w:pPr>
    </w:p>
    <w:p w14:paraId="0C883336" w14:textId="77777777" w:rsidR="00CE657A" w:rsidRPr="00CE657A" w:rsidRDefault="00CE657A" w:rsidP="00CE657A">
      <w:pPr>
        <w:shd w:val="clear" w:color="auto" w:fill="FFFFFF"/>
        <w:spacing w:after="0" w:line="360" w:lineRule="auto"/>
        <w:jc w:val="both"/>
        <w:rPr>
          <w:rFonts w:ascii="Palatino Linotype" w:eastAsia="Times New Roman" w:hAnsi="Palatino Linotype" w:cs="Tahoma"/>
          <w:lang w:val="es-MX" w:eastAsia="es-ES"/>
        </w:rPr>
      </w:pPr>
      <w:r w:rsidRPr="00CE657A">
        <w:rPr>
          <w:rFonts w:ascii="Palatino Linotype" w:eastAsia="Times New Roman" w:hAnsi="Palatino Linotype" w:cs="Tahoma"/>
          <w:lang w:val="es-MX" w:eastAsia="es-ES"/>
        </w:rPr>
        <w:t>Conforme a lo anterior, se advierte lo siguiente:</w:t>
      </w:r>
    </w:p>
    <w:p w14:paraId="602156BD" w14:textId="77777777" w:rsidR="00CE657A" w:rsidRPr="00CE657A" w:rsidRDefault="00CE657A" w:rsidP="00CE657A">
      <w:pPr>
        <w:shd w:val="clear" w:color="auto" w:fill="FFFFFF"/>
        <w:spacing w:after="0" w:line="360" w:lineRule="auto"/>
        <w:jc w:val="both"/>
        <w:rPr>
          <w:rFonts w:ascii="Palatino Linotype" w:eastAsia="Times New Roman" w:hAnsi="Palatino Linotype" w:cs="Tahoma"/>
          <w:lang w:val="es-MX" w:eastAsia="es-ES"/>
        </w:rPr>
      </w:pPr>
    </w:p>
    <w:p w14:paraId="7A096C5F" w14:textId="77777777" w:rsidR="00CE657A" w:rsidRPr="00CE657A" w:rsidRDefault="00CE657A" w:rsidP="00CE657A">
      <w:pPr>
        <w:numPr>
          <w:ilvl w:val="0"/>
          <w:numId w:val="25"/>
        </w:numPr>
        <w:shd w:val="clear" w:color="auto" w:fill="FFFFFF"/>
        <w:spacing w:line="360" w:lineRule="auto"/>
        <w:contextualSpacing/>
        <w:jc w:val="both"/>
        <w:rPr>
          <w:rFonts w:ascii="Palatino Linotype" w:eastAsia="Times New Roman" w:hAnsi="Palatino Linotype" w:cs="Tahoma"/>
          <w:b/>
          <w:lang w:val="es-MX" w:eastAsia="es-ES"/>
        </w:rPr>
      </w:pPr>
      <w:r w:rsidRPr="00CE657A">
        <w:rPr>
          <w:rFonts w:ascii="Palatino Linotype" w:eastAsia="Times New Roman" w:hAnsi="Palatino Linotype" w:cs="Tahoma"/>
          <w:b/>
          <w:lang w:val="es-MX" w:eastAsia="es-ES"/>
        </w:rPr>
        <w:t xml:space="preserve">Fundamentación: </w:t>
      </w:r>
      <w:r w:rsidRPr="00CE657A">
        <w:rPr>
          <w:rFonts w:ascii="Palatino Linotype" w:eastAsia="Times New Roman" w:hAnsi="Palatino Linotype" w:cs="Tahoma"/>
          <w:lang w:val="es-MX" w:eastAsia="es-ES"/>
        </w:rPr>
        <w:t>Obligación de la autoridad que emite un acto, para citar los preceptos legales, sustantivos y adjetivos, en que se apoye para la determinación tomada.</w:t>
      </w:r>
    </w:p>
    <w:p w14:paraId="568F5EF0" w14:textId="77777777" w:rsidR="00CE657A" w:rsidRPr="00CE657A" w:rsidRDefault="00CE657A" w:rsidP="00CE657A">
      <w:pPr>
        <w:shd w:val="clear" w:color="auto" w:fill="FFFFFF"/>
        <w:spacing w:after="0" w:line="360" w:lineRule="auto"/>
        <w:ind w:left="720"/>
        <w:contextualSpacing/>
        <w:jc w:val="both"/>
        <w:rPr>
          <w:rFonts w:ascii="Palatino Linotype" w:eastAsia="Times New Roman" w:hAnsi="Palatino Linotype" w:cs="Tahoma"/>
          <w:b/>
          <w:lang w:val="es-MX" w:eastAsia="es-ES"/>
        </w:rPr>
      </w:pPr>
    </w:p>
    <w:p w14:paraId="553A02B7" w14:textId="77777777" w:rsidR="00CE657A" w:rsidRPr="00CE657A" w:rsidRDefault="00CE657A" w:rsidP="00CE657A">
      <w:pPr>
        <w:numPr>
          <w:ilvl w:val="0"/>
          <w:numId w:val="25"/>
        </w:numPr>
        <w:shd w:val="clear" w:color="auto" w:fill="FFFFFF"/>
        <w:spacing w:line="360" w:lineRule="auto"/>
        <w:contextualSpacing/>
        <w:jc w:val="both"/>
        <w:rPr>
          <w:rFonts w:ascii="Palatino Linotype" w:eastAsia="Times New Roman" w:hAnsi="Palatino Linotype" w:cs="Tahoma"/>
          <w:b/>
          <w:lang w:val="es-MX" w:eastAsia="es-ES"/>
        </w:rPr>
      </w:pPr>
      <w:r w:rsidRPr="00CE657A">
        <w:rPr>
          <w:rFonts w:ascii="Palatino Linotype" w:eastAsia="Times New Roman" w:hAnsi="Palatino Linotype" w:cs="Tahoma"/>
          <w:b/>
          <w:lang w:val="es-MX" w:eastAsia="es-ES"/>
        </w:rPr>
        <w:t xml:space="preserve">Motivación: </w:t>
      </w:r>
      <w:r w:rsidRPr="00CE657A">
        <w:rPr>
          <w:rFonts w:ascii="Palatino Linotype" w:eastAsia="Times New Roman" w:hAnsi="Palatino Linotype" w:cs="Tahoma"/>
          <w:lang w:val="es-MX" w:eastAsia="es-ES"/>
        </w:rPr>
        <w:t>Razonamientos lógico-jurídicos sobre porque se consideró en el caso en concreto, que se ajusta a la hipótesis normativa.</w:t>
      </w:r>
    </w:p>
    <w:p w14:paraId="2D87050B" w14:textId="77777777" w:rsidR="00CE657A" w:rsidRPr="00CE657A" w:rsidRDefault="00CE657A" w:rsidP="00CE657A">
      <w:pPr>
        <w:shd w:val="clear" w:color="auto" w:fill="FFFFFF"/>
        <w:spacing w:after="0" w:line="360" w:lineRule="auto"/>
        <w:jc w:val="both"/>
        <w:rPr>
          <w:rFonts w:ascii="Palatino Linotype" w:eastAsia="Times New Roman" w:hAnsi="Palatino Linotype" w:cs="Tahoma"/>
          <w:lang w:val="es-MX" w:eastAsia="es-ES"/>
        </w:rPr>
      </w:pPr>
    </w:p>
    <w:p w14:paraId="2FD93351" w14:textId="77777777" w:rsidR="00CE657A" w:rsidRPr="00CE657A" w:rsidRDefault="00CE657A" w:rsidP="00CE657A">
      <w:pPr>
        <w:spacing w:after="0" w:line="360" w:lineRule="auto"/>
        <w:jc w:val="both"/>
        <w:rPr>
          <w:rFonts w:ascii="Palatino Linotype" w:eastAsia="Times New Roman" w:hAnsi="Palatino Linotype" w:cs="Tahoma"/>
          <w:lang w:eastAsia="es-ES"/>
        </w:rPr>
      </w:pPr>
      <w:r w:rsidRPr="00CE657A">
        <w:rPr>
          <w:rFonts w:ascii="Palatino Linotype" w:eastAsia="Times New Roman" w:hAnsi="Palatino Linotype" w:cs="Tahoma"/>
          <w:lang w:eastAsia="es-ES"/>
        </w:rPr>
        <w:t>En ese orden de ideas, el Trigésimo tercero de los Lineamientos Generales, establece la forma en que se debe fundamentar y motivar la reserva de la información, es decir, a través del desarrollo de la prueba de daño, que se conforma de la siguiente manera:</w:t>
      </w:r>
    </w:p>
    <w:p w14:paraId="3A92665E" w14:textId="77777777" w:rsidR="00CE657A" w:rsidRPr="00CE657A" w:rsidRDefault="00CE657A" w:rsidP="00CE657A">
      <w:pPr>
        <w:spacing w:after="0" w:line="360" w:lineRule="auto"/>
        <w:jc w:val="both"/>
        <w:rPr>
          <w:rFonts w:ascii="Palatino Linotype" w:eastAsia="Times New Roman" w:hAnsi="Palatino Linotype" w:cs="Tahoma"/>
          <w:sz w:val="20"/>
          <w:lang w:val="es-MX" w:eastAsia="es-ES"/>
        </w:rPr>
      </w:pPr>
    </w:p>
    <w:p w14:paraId="1D6E09FA" w14:textId="77777777" w:rsidR="00CE657A" w:rsidRPr="00CE657A" w:rsidRDefault="00CE657A" w:rsidP="00CE657A">
      <w:pPr>
        <w:numPr>
          <w:ilvl w:val="0"/>
          <w:numId w:val="26"/>
        </w:numPr>
        <w:spacing w:line="360" w:lineRule="auto"/>
        <w:contextualSpacing/>
        <w:jc w:val="both"/>
        <w:rPr>
          <w:rFonts w:ascii="Palatino Linotype" w:eastAsia="Times New Roman" w:hAnsi="Palatino Linotype" w:cs="Tahoma"/>
          <w:lang w:val="es-MX" w:eastAsia="es-ES"/>
        </w:rPr>
      </w:pPr>
      <w:r w:rsidRPr="00CE657A">
        <w:rPr>
          <w:rFonts w:ascii="Palatino Linotype" w:eastAsia="Times New Roman" w:hAnsi="Palatino Linotype" w:cs="Tahoma"/>
          <w:lang w:val="es-MX" w:eastAsia="es-ES"/>
        </w:rPr>
        <w:t xml:space="preserve">Se deberá citar la fracción y, en su caso, la causal aplicable de las Ley General de Transparencia y Acceso a la Información Pública o, en el presente caso, de la Ley de Transparencia y Acceso a la Información Pública del Estado de México y Municipios, vinculándola con el Lineamiento específico; </w:t>
      </w:r>
    </w:p>
    <w:p w14:paraId="21818FE4" w14:textId="77777777" w:rsidR="00CE657A" w:rsidRPr="00CE657A" w:rsidRDefault="00CE657A" w:rsidP="00CE657A">
      <w:pPr>
        <w:spacing w:after="0" w:line="360" w:lineRule="auto"/>
        <w:ind w:left="720"/>
        <w:contextualSpacing/>
        <w:jc w:val="both"/>
        <w:rPr>
          <w:rFonts w:ascii="Palatino Linotype" w:eastAsia="Times New Roman" w:hAnsi="Palatino Linotype" w:cs="Tahoma"/>
          <w:lang w:val="es-MX" w:eastAsia="es-ES"/>
        </w:rPr>
      </w:pPr>
    </w:p>
    <w:p w14:paraId="0279F007" w14:textId="77777777" w:rsidR="00CE657A" w:rsidRPr="00CE657A" w:rsidRDefault="00CE657A" w:rsidP="00CE657A">
      <w:pPr>
        <w:numPr>
          <w:ilvl w:val="0"/>
          <w:numId w:val="26"/>
        </w:numPr>
        <w:spacing w:line="360" w:lineRule="auto"/>
        <w:contextualSpacing/>
        <w:jc w:val="both"/>
        <w:rPr>
          <w:rFonts w:ascii="Palatino Linotype" w:eastAsia="Times New Roman" w:hAnsi="Palatino Linotype" w:cs="Tahoma"/>
          <w:lang w:eastAsia="es-ES"/>
        </w:rPr>
      </w:pPr>
      <w:r w:rsidRPr="00CE657A">
        <w:rPr>
          <w:rFonts w:ascii="Palatino Linotype" w:eastAsia="Times New Roman" w:hAnsi="Palatino Linotype" w:cs="Tahoma"/>
          <w:lang w:eastAsia="es-ES"/>
        </w:rPr>
        <w:t>Se deberá demostrar que la publicidad de la información generaría un riesgo de perjuicio, que rebasa el interés público;</w:t>
      </w:r>
    </w:p>
    <w:p w14:paraId="1AF9F9FD" w14:textId="77777777" w:rsidR="00CE657A" w:rsidRPr="00CE657A" w:rsidRDefault="00CE657A" w:rsidP="00CE657A">
      <w:pPr>
        <w:spacing w:line="256" w:lineRule="auto"/>
        <w:ind w:left="720"/>
        <w:contextualSpacing/>
        <w:rPr>
          <w:rFonts w:ascii="Palatino Linotype" w:eastAsia="Times New Roman" w:hAnsi="Palatino Linotype" w:cs="Tahoma"/>
          <w:lang w:eastAsia="es-ES"/>
        </w:rPr>
      </w:pPr>
    </w:p>
    <w:p w14:paraId="02F8104B" w14:textId="77777777" w:rsidR="00CE657A" w:rsidRPr="00CE657A" w:rsidRDefault="00CE657A" w:rsidP="00CE657A">
      <w:pPr>
        <w:numPr>
          <w:ilvl w:val="0"/>
          <w:numId w:val="26"/>
        </w:numPr>
        <w:spacing w:line="360" w:lineRule="auto"/>
        <w:contextualSpacing/>
        <w:jc w:val="both"/>
        <w:rPr>
          <w:rFonts w:ascii="Palatino Linotype" w:eastAsia="Times New Roman" w:hAnsi="Palatino Linotype" w:cs="Tahoma"/>
          <w:lang w:eastAsia="es-ES"/>
        </w:rPr>
      </w:pPr>
      <w:r w:rsidRPr="00CE657A">
        <w:rPr>
          <w:rFonts w:ascii="Palatino Linotype" w:eastAsia="Times New Roman" w:hAnsi="Palatino Linotype" w:cs="Tahoma"/>
          <w:lang w:eastAsia="es-ES"/>
        </w:rPr>
        <w:t>Se acreditará el vínculo entre la difusión de la información y la afectación del interés jurídico tutelado;</w:t>
      </w:r>
    </w:p>
    <w:p w14:paraId="0195CC44" w14:textId="77777777" w:rsidR="00CE657A" w:rsidRPr="00CE657A" w:rsidRDefault="00CE657A" w:rsidP="00CE657A">
      <w:pPr>
        <w:spacing w:line="256" w:lineRule="auto"/>
        <w:ind w:left="720"/>
        <w:contextualSpacing/>
        <w:rPr>
          <w:rFonts w:ascii="Palatino Linotype" w:eastAsia="Times New Roman" w:hAnsi="Palatino Linotype" w:cs="Tahoma"/>
          <w:lang w:eastAsia="es-ES"/>
        </w:rPr>
      </w:pPr>
    </w:p>
    <w:p w14:paraId="61143D49" w14:textId="77777777" w:rsidR="00CE657A" w:rsidRPr="00CE657A" w:rsidRDefault="00CE657A" w:rsidP="00CE657A">
      <w:pPr>
        <w:numPr>
          <w:ilvl w:val="0"/>
          <w:numId w:val="26"/>
        </w:numPr>
        <w:spacing w:line="360" w:lineRule="auto"/>
        <w:contextualSpacing/>
        <w:jc w:val="both"/>
        <w:rPr>
          <w:rFonts w:ascii="Palatino Linotype" w:eastAsia="Times New Roman" w:hAnsi="Palatino Linotype" w:cs="Tahoma"/>
          <w:lang w:eastAsia="es-ES"/>
        </w:rPr>
      </w:pPr>
      <w:r w:rsidRPr="00CE657A">
        <w:rPr>
          <w:rFonts w:ascii="Palatino Linotype" w:eastAsia="Times New Roman" w:hAnsi="Palatino Linotype" w:cs="Tahoma"/>
          <w:lang w:eastAsia="es-ES"/>
        </w:rPr>
        <w:lastRenderedPageBreak/>
        <w:t>Se precisará las razones objetivas por las que la apertura de la información generaría una afectación, por medio del riesgo real, demostrable e identificable;</w:t>
      </w:r>
    </w:p>
    <w:p w14:paraId="60800557" w14:textId="77777777" w:rsidR="00CE657A" w:rsidRPr="00CE657A" w:rsidRDefault="00CE657A" w:rsidP="00CE657A">
      <w:pPr>
        <w:spacing w:line="256" w:lineRule="auto"/>
        <w:ind w:left="720"/>
        <w:contextualSpacing/>
        <w:rPr>
          <w:rFonts w:ascii="Palatino Linotype" w:eastAsia="Times New Roman" w:hAnsi="Palatino Linotype" w:cs="Tahoma"/>
          <w:lang w:eastAsia="es-ES"/>
        </w:rPr>
      </w:pPr>
    </w:p>
    <w:p w14:paraId="2A59C30F" w14:textId="77777777" w:rsidR="00CE657A" w:rsidRPr="00CE657A" w:rsidRDefault="00CE657A" w:rsidP="00CE657A">
      <w:pPr>
        <w:numPr>
          <w:ilvl w:val="0"/>
          <w:numId w:val="26"/>
        </w:numPr>
        <w:spacing w:line="360" w:lineRule="auto"/>
        <w:contextualSpacing/>
        <w:jc w:val="both"/>
        <w:rPr>
          <w:rFonts w:ascii="Palatino Linotype" w:eastAsia="Times New Roman" w:hAnsi="Palatino Linotype" w:cs="Tahoma"/>
          <w:lang w:eastAsia="es-ES"/>
        </w:rPr>
      </w:pPr>
      <w:r w:rsidRPr="00CE657A">
        <w:rPr>
          <w:rFonts w:ascii="Palatino Linotype" w:eastAsia="Times New Roman" w:hAnsi="Palatino Linotype" w:cs="Tahoma"/>
          <w:lang w:eastAsia="es-ES"/>
        </w:rPr>
        <w:t>Se deberán señalar las circunstancias de modo, tiempo y lugar del daño, y</w:t>
      </w:r>
    </w:p>
    <w:p w14:paraId="509CD1DE" w14:textId="77777777" w:rsidR="00CE657A" w:rsidRPr="00CE657A" w:rsidRDefault="00CE657A" w:rsidP="00CE657A">
      <w:pPr>
        <w:spacing w:line="256" w:lineRule="auto"/>
        <w:ind w:left="720"/>
        <w:contextualSpacing/>
        <w:rPr>
          <w:rFonts w:ascii="Palatino Linotype" w:eastAsia="Times New Roman" w:hAnsi="Palatino Linotype" w:cs="Tahoma"/>
          <w:lang w:eastAsia="es-ES"/>
        </w:rPr>
      </w:pPr>
    </w:p>
    <w:p w14:paraId="2B2C0D10" w14:textId="77777777" w:rsidR="00CE657A" w:rsidRPr="00CE657A" w:rsidRDefault="00CE657A" w:rsidP="00CE657A">
      <w:pPr>
        <w:numPr>
          <w:ilvl w:val="0"/>
          <w:numId w:val="26"/>
        </w:numPr>
        <w:spacing w:line="360" w:lineRule="auto"/>
        <w:contextualSpacing/>
        <w:jc w:val="both"/>
        <w:rPr>
          <w:rFonts w:ascii="Palatino Linotype" w:eastAsia="Times New Roman" w:hAnsi="Palatino Linotype" w:cs="Tahoma"/>
          <w:lang w:eastAsia="es-ES"/>
        </w:rPr>
      </w:pPr>
      <w:r w:rsidRPr="00CE657A">
        <w:rPr>
          <w:rFonts w:ascii="Palatino Linotype" w:eastAsia="Times New Roman" w:hAnsi="Palatino Linotype" w:cs="Tahoma"/>
          <w:lang w:eastAsia="es-ES"/>
        </w:rPr>
        <w:t>Se elegirá la opción de excepción al acceso a la información que menos restrinja, la cual será adecuada y proporcional para la protección del interés público.</w:t>
      </w:r>
    </w:p>
    <w:p w14:paraId="53FDE95E" w14:textId="77777777" w:rsidR="00CE657A" w:rsidRPr="00CE657A" w:rsidRDefault="00CE657A" w:rsidP="00CE657A">
      <w:pPr>
        <w:spacing w:after="0" w:line="360" w:lineRule="auto"/>
        <w:jc w:val="both"/>
        <w:rPr>
          <w:rFonts w:ascii="Palatino Linotype" w:eastAsia="Calibri" w:hAnsi="Palatino Linotype" w:cs="Tahoma"/>
        </w:rPr>
      </w:pPr>
    </w:p>
    <w:p w14:paraId="4EEE8AB9" w14:textId="77777777" w:rsidR="00CE657A" w:rsidRPr="00CE657A" w:rsidRDefault="00CE657A" w:rsidP="00CE657A">
      <w:pPr>
        <w:spacing w:after="0" w:line="360" w:lineRule="auto"/>
        <w:jc w:val="both"/>
        <w:rPr>
          <w:rFonts w:ascii="Palatino Linotype" w:eastAsia="Calibri" w:hAnsi="Palatino Linotype" w:cs="Tahoma"/>
        </w:rPr>
      </w:pPr>
      <w:r w:rsidRPr="00CE657A">
        <w:rPr>
          <w:rFonts w:ascii="Palatino Linotype" w:eastAsia="Calibri" w:hAnsi="Palatino Linotype" w:cs="Tahoma"/>
        </w:rPr>
        <w:t>Además, los artículos 104 y 114 de la Ley General, así como, los diversos 129 y 141 de la Ley Local, establecen que las causales de reserva se deberán fundar y motivar, a través de la aplicación de la prueba de daño, la cual se debe justificar de la siguiente manera:</w:t>
      </w:r>
    </w:p>
    <w:p w14:paraId="304CB14D" w14:textId="1FB19AAC" w:rsidR="00CE657A" w:rsidRDefault="00CE657A" w:rsidP="00CE657A">
      <w:pPr>
        <w:spacing w:after="0" w:line="360" w:lineRule="auto"/>
        <w:jc w:val="both"/>
        <w:rPr>
          <w:rFonts w:ascii="Palatino Linotype" w:eastAsia="Calibri" w:hAnsi="Palatino Linotype" w:cs="Tahoma"/>
        </w:rPr>
      </w:pPr>
    </w:p>
    <w:p w14:paraId="093AA580" w14:textId="77777777" w:rsidR="00CE657A" w:rsidRPr="00CE657A" w:rsidRDefault="00CE657A" w:rsidP="00CE657A">
      <w:pPr>
        <w:numPr>
          <w:ilvl w:val="0"/>
          <w:numId w:val="27"/>
        </w:numPr>
        <w:tabs>
          <w:tab w:val="left" w:pos="4962"/>
        </w:tabs>
        <w:spacing w:after="0" w:line="360" w:lineRule="auto"/>
        <w:contextualSpacing/>
        <w:jc w:val="both"/>
        <w:rPr>
          <w:rFonts w:ascii="Palatino Linotype" w:eastAsia="Calibri" w:hAnsi="Palatino Linotype" w:cs="Tahoma"/>
          <w:iCs/>
          <w:lang w:val="es-ES_tradnl" w:eastAsia="es-ES_tradnl"/>
        </w:rPr>
      </w:pPr>
      <w:r w:rsidRPr="00CE657A">
        <w:rPr>
          <w:rFonts w:ascii="Palatino Linotype" w:eastAsia="Calibri" w:hAnsi="Palatino Linotype" w:cs="Tahoma"/>
          <w:iCs/>
          <w:lang w:val="es-ES_tradnl" w:eastAsia="es-ES_tradnl"/>
        </w:rPr>
        <w:t>La divulgación de la información representa un riesgo real, demostrable e identificable de perjuicio significativo al interés público o a la seguridad nacional.</w:t>
      </w:r>
    </w:p>
    <w:p w14:paraId="29EBE0C4" w14:textId="77777777" w:rsidR="00CE657A" w:rsidRPr="00CE657A" w:rsidRDefault="00CE657A" w:rsidP="00CE657A">
      <w:pPr>
        <w:tabs>
          <w:tab w:val="left" w:pos="4962"/>
        </w:tabs>
        <w:spacing w:after="0" w:line="360" w:lineRule="auto"/>
        <w:jc w:val="both"/>
        <w:rPr>
          <w:rFonts w:ascii="Palatino Linotype" w:eastAsia="Calibri" w:hAnsi="Palatino Linotype" w:cs="Tahoma"/>
          <w:iCs/>
          <w:lang w:val="es-ES_tradnl" w:eastAsia="es-ES_tradnl"/>
        </w:rPr>
      </w:pPr>
    </w:p>
    <w:p w14:paraId="591A7AB2" w14:textId="77777777" w:rsidR="00CE657A" w:rsidRPr="00CE657A" w:rsidRDefault="00CE657A" w:rsidP="00CE657A">
      <w:pPr>
        <w:numPr>
          <w:ilvl w:val="0"/>
          <w:numId w:val="27"/>
        </w:numPr>
        <w:tabs>
          <w:tab w:val="left" w:pos="4962"/>
        </w:tabs>
        <w:spacing w:after="0" w:line="360" w:lineRule="auto"/>
        <w:contextualSpacing/>
        <w:jc w:val="both"/>
        <w:rPr>
          <w:rFonts w:ascii="Palatino Linotype" w:eastAsia="Calibri" w:hAnsi="Palatino Linotype" w:cs="Tahoma"/>
          <w:iCs/>
          <w:lang w:val="es-ES_tradnl" w:eastAsia="es-ES_tradnl"/>
        </w:rPr>
      </w:pPr>
      <w:r w:rsidRPr="00CE657A">
        <w:rPr>
          <w:rFonts w:ascii="Palatino Linotype" w:eastAsia="Calibri" w:hAnsi="Palatino Linotype" w:cs="Tahoma"/>
          <w:iCs/>
          <w:lang w:val="es-ES_tradnl" w:eastAsia="es-ES_tradnl"/>
        </w:rPr>
        <w:t>El riesgo de perjuicio supera el interés público general de que se difunda.</w:t>
      </w:r>
    </w:p>
    <w:p w14:paraId="67E1E10B" w14:textId="77777777" w:rsidR="00CE657A" w:rsidRPr="00CE657A" w:rsidRDefault="00CE657A" w:rsidP="00CE657A">
      <w:pPr>
        <w:tabs>
          <w:tab w:val="left" w:pos="4962"/>
        </w:tabs>
        <w:spacing w:after="0" w:line="360" w:lineRule="auto"/>
        <w:jc w:val="both"/>
        <w:rPr>
          <w:rFonts w:ascii="Palatino Linotype" w:eastAsia="Calibri" w:hAnsi="Palatino Linotype" w:cs="Tahoma"/>
          <w:iCs/>
          <w:lang w:val="es-ES_tradnl" w:eastAsia="es-ES_tradnl"/>
        </w:rPr>
      </w:pPr>
    </w:p>
    <w:p w14:paraId="5F834FCA" w14:textId="77777777" w:rsidR="00CE657A" w:rsidRPr="00CE657A" w:rsidRDefault="00CE657A" w:rsidP="00CE657A">
      <w:pPr>
        <w:numPr>
          <w:ilvl w:val="0"/>
          <w:numId w:val="27"/>
        </w:numPr>
        <w:tabs>
          <w:tab w:val="left" w:pos="4962"/>
        </w:tabs>
        <w:spacing w:after="0" w:line="360" w:lineRule="auto"/>
        <w:contextualSpacing/>
        <w:jc w:val="both"/>
        <w:rPr>
          <w:rFonts w:ascii="Palatino Linotype" w:eastAsia="Calibri" w:hAnsi="Palatino Linotype" w:cs="Tahoma"/>
          <w:iCs/>
          <w:lang w:val="es-ES_tradnl" w:eastAsia="es-ES_tradnl"/>
        </w:rPr>
      </w:pPr>
      <w:r w:rsidRPr="00CE657A">
        <w:rPr>
          <w:rFonts w:ascii="Palatino Linotype" w:eastAsia="Calibri" w:hAnsi="Palatino Linotype" w:cs="Tahoma"/>
          <w:iCs/>
          <w:lang w:val="es-ES_tradnl" w:eastAsia="es-ES_tradnl"/>
        </w:rPr>
        <w:t>Que la limitación se adecua al principio de proporcionalidad y representa el medio menos restrictivo disponible para evitar el perjuicio.</w:t>
      </w:r>
    </w:p>
    <w:p w14:paraId="4B98EEB2" w14:textId="77777777" w:rsidR="00CE657A" w:rsidRPr="00CE657A" w:rsidRDefault="00CE657A" w:rsidP="00CE657A">
      <w:pPr>
        <w:spacing w:after="0" w:line="360" w:lineRule="auto"/>
        <w:jc w:val="both"/>
        <w:rPr>
          <w:rFonts w:ascii="Palatino Linotype" w:eastAsia="Calibri" w:hAnsi="Palatino Linotype" w:cs="Tahoma"/>
        </w:rPr>
      </w:pPr>
    </w:p>
    <w:p w14:paraId="4509F53C" w14:textId="77777777" w:rsidR="00CE657A" w:rsidRPr="00CE657A" w:rsidRDefault="00CE657A" w:rsidP="00CE657A">
      <w:pPr>
        <w:spacing w:after="0" w:line="360" w:lineRule="auto"/>
        <w:jc w:val="both"/>
        <w:rPr>
          <w:rFonts w:ascii="Palatino Linotype" w:eastAsia="Calibri" w:hAnsi="Palatino Linotype" w:cs="Tahoma"/>
        </w:rPr>
      </w:pPr>
      <w:r w:rsidRPr="00CE657A">
        <w:rPr>
          <w:rFonts w:ascii="Palatino Linotype" w:eastAsia="Calibri" w:hAnsi="Palatino Linotype" w:cs="Tahoma"/>
        </w:rPr>
        <w:t xml:space="preserve">Así, se logra observar que, para acreditar cualquier causal de reserva, </w:t>
      </w:r>
      <w:r w:rsidRPr="00CE657A">
        <w:rPr>
          <w:rFonts w:ascii="Palatino Linotype" w:eastAsia="Calibri" w:hAnsi="Palatino Linotype" w:cs="Tahoma"/>
          <w:b/>
          <w:bCs/>
          <w:u w:val="single"/>
        </w:rPr>
        <w:t>es necesario desarrollar la respectiva prueba de daño</w:t>
      </w:r>
      <w:r w:rsidRPr="00CE657A">
        <w:rPr>
          <w:rFonts w:ascii="Palatino Linotype" w:eastAsia="Calibri" w:hAnsi="Palatino Linotype" w:cs="Tahoma"/>
        </w:rPr>
        <w:t xml:space="preserve">, pues de lo contrario se estaría acreditando una clasificación, </w:t>
      </w:r>
      <w:r w:rsidRPr="00CE657A">
        <w:rPr>
          <w:rFonts w:ascii="Palatino Linotype" w:eastAsia="Calibri" w:hAnsi="Palatino Linotype" w:cs="Tahoma"/>
          <w:b/>
          <w:bCs/>
        </w:rPr>
        <w:t>sin fundar y motivar la misma; con lo cual, se estaría violentando lo establecido en la Ley General, la Ley Local y los Lineamientos Generales.</w:t>
      </w:r>
    </w:p>
    <w:p w14:paraId="2A11DF15" w14:textId="77777777" w:rsidR="00CE657A" w:rsidRPr="00CE657A" w:rsidRDefault="00CE657A" w:rsidP="00CE657A">
      <w:pPr>
        <w:spacing w:after="0" w:line="360" w:lineRule="auto"/>
        <w:jc w:val="both"/>
        <w:rPr>
          <w:rFonts w:ascii="Palatino Linotype" w:eastAsia="Calibri" w:hAnsi="Palatino Linotype" w:cs="Tahoma"/>
        </w:rPr>
      </w:pPr>
    </w:p>
    <w:p w14:paraId="0AA7EBC5" w14:textId="77777777" w:rsidR="00CE657A" w:rsidRPr="00CE657A" w:rsidRDefault="00CE657A" w:rsidP="00CE657A">
      <w:pPr>
        <w:spacing w:after="0" w:line="360" w:lineRule="auto"/>
        <w:jc w:val="both"/>
        <w:rPr>
          <w:rFonts w:ascii="Palatino Linotype" w:eastAsia="Calibri" w:hAnsi="Palatino Linotype" w:cs="Tahoma"/>
        </w:rPr>
      </w:pPr>
      <w:r w:rsidRPr="00CE657A">
        <w:rPr>
          <w:rFonts w:ascii="Palatino Linotype" w:eastAsia="Calibri" w:hAnsi="Palatino Linotype" w:cs="Tahoma"/>
        </w:rPr>
        <w:t xml:space="preserve">Ahora bien, es de hacer hincapié que la normatividad referida, establece que la prueba de daño la deben de elaborar los sujetos obligados, para acreditar una clasificación; sin embargo, es de señalar que si bien, no existe supuesto, que establezca la Obligación para </w:t>
      </w:r>
      <w:r w:rsidRPr="00CE657A">
        <w:rPr>
          <w:rFonts w:ascii="Palatino Linotype" w:eastAsia="Calibri" w:hAnsi="Palatino Linotype" w:cs="Tahoma"/>
        </w:rPr>
        <w:lastRenderedPageBreak/>
        <w:t>que los Comisionados y Ponencias realicen dicha prueba, también lo es, que la única forma de acreditar la reserva de la información, como ya lo señale, es a través de está; situación, que toma relevancia con el Principio en derecho, todo lo que no está prohibido está permitido.</w:t>
      </w:r>
    </w:p>
    <w:p w14:paraId="670C8E73" w14:textId="77777777" w:rsidR="00CE657A" w:rsidRPr="00CE657A" w:rsidRDefault="00CE657A" w:rsidP="00CE657A">
      <w:pPr>
        <w:spacing w:after="0" w:line="360" w:lineRule="auto"/>
        <w:jc w:val="both"/>
        <w:rPr>
          <w:rFonts w:ascii="Palatino Linotype" w:eastAsia="Calibri" w:hAnsi="Palatino Linotype" w:cs="Tahoma"/>
        </w:rPr>
      </w:pPr>
    </w:p>
    <w:p w14:paraId="67C1C038" w14:textId="77777777" w:rsidR="00CE657A" w:rsidRPr="00CE657A" w:rsidRDefault="00CE657A" w:rsidP="00CE657A">
      <w:pPr>
        <w:spacing w:after="0" w:line="360" w:lineRule="auto"/>
        <w:jc w:val="both"/>
        <w:rPr>
          <w:rFonts w:ascii="Palatino Linotype" w:eastAsia="Calibri" w:hAnsi="Palatino Linotype" w:cs="Tahoma"/>
          <w:b/>
          <w:bCs/>
        </w:rPr>
      </w:pPr>
      <w:r w:rsidRPr="00CE657A">
        <w:rPr>
          <w:rFonts w:ascii="Palatino Linotype" w:eastAsia="Calibri" w:hAnsi="Palatino Linotype" w:cs="Tahoma"/>
        </w:rPr>
        <w:t xml:space="preserve">Inclusive, la Suprema Corte de Justicia de la Nación, se ha pronunciado respecto al análisis de la reserva de la información, a través de las Sentencias en las Acciones de Inconstitucionalidad 73/2017 y 66/2019, en donde ha señalado que para poder configurar información como reservada, deben de realizar un examen casuístico y de justificación fundado y motivado, así como, una </w:t>
      </w:r>
      <w:r w:rsidRPr="00CE657A">
        <w:rPr>
          <w:rFonts w:ascii="Palatino Linotype" w:eastAsia="Calibri" w:hAnsi="Palatino Linotype" w:cs="Tahoma"/>
          <w:b/>
          <w:bCs/>
        </w:rPr>
        <w:t xml:space="preserve">prueba de daño, </w:t>
      </w:r>
      <w:r w:rsidRPr="00CE657A">
        <w:rPr>
          <w:rFonts w:ascii="Palatino Linotype" w:eastAsia="Calibri" w:hAnsi="Palatino Linotype" w:cs="Tahoma"/>
        </w:rPr>
        <w:t>que la ponderación de la divulgación de la información, frente a la actualización de un posible daño al interés o principio que se busca proteger.</w:t>
      </w:r>
    </w:p>
    <w:p w14:paraId="0EF81A82" w14:textId="77777777" w:rsidR="00CE657A" w:rsidRPr="00CE657A" w:rsidRDefault="00CE657A" w:rsidP="00CE657A">
      <w:pPr>
        <w:spacing w:after="0" w:line="360" w:lineRule="auto"/>
        <w:jc w:val="both"/>
        <w:rPr>
          <w:rFonts w:ascii="Palatino Linotype" w:eastAsia="Calibri" w:hAnsi="Palatino Linotype" w:cs="Tahoma"/>
        </w:rPr>
      </w:pPr>
    </w:p>
    <w:p w14:paraId="5F1DB1DC" w14:textId="77777777" w:rsidR="00CE657A" w:rsidRPr="00CE657A" w:rsidRDefault="00CE657A" w:rsidP="00CE657A">
      <w:pPr>
        <w:spacing w:after="0" w:line="360" w:lineRule="auto"/>
        <w:jc w:val="both"/>
        <w:rPr>
          <w:rFonts w:ascii="Palatino Linotype" w:eastAsia="Calibri" w:hAnsi="Palatino Linotype" w:cs="Tahoma"/>
        </w:rPr>
      </w:pPr>
      <w:r w:rsidRPr="00CE657A">
        <w:rPr>
          <w:rFonts w:ascii="Palatino Linotype" w:eastAsia="Calibri" w:hAnsi="Palatino Linotype" w:cs="Tahoma"/>
        </w:rPr>
        <w:t xml:space="preserve">Además, a través de las Resoluciones de los Recursos de Inconformidad </w:t>
      </w:r>
      <w:r w:rsidRPr="00CE657A">
        <w:rPr>
          <w:rFonts w:ascii="Palatino Linotype" w:eastAsia="Calibri" w:hAnsi="Palatino Linotype" w:cs="Tahoma"/>
          <w:b/>
          <w:bCs/>
        </w:rPr>
        <w:t xml:space="preserve">RIA 0118/18, RIA 0124/19 </w:t>
      </w:r>
      <w:r w:rsidRPr="00CE657A">
        <w:rPr>
          <w:rFonts w:ascii="Palatino Linotype" w:eastAsia="Calibri" w:hAnsi="Palatino Linotype" w:cs="Tahoma"/>
        </w:rPr>
        <w:t>y</w:t>
      </w:r>
      <w:r w:rsidRPr="00CE657A">
        <w:rPr>
          <w:rFonts w:ascii="Palatino Linotype" w:eastAsia="Calibri" w:hAnsi="Palatino Linotype" w:cs="Tahoma"/>
          <w:b/>
          <w:bCs/>
        </w:rPr>
        <w:t xml:space="preserve"> RIA 0118/19, </w:t>
      </w:r>
      <w:r w:rsidRPr="00CE657A">
        <w:rPr>
          <w:rFonts w:ascii="Palatino Linotype" w:eastAsia="Calibri" w:hAnsi="Palatino Linotype" w:cs="Tahoma"/>
        </w:rPr>
        <w:t xml:space="preserve">el Instituto Nacional de Transparencia, Acceso a la Información y Protección de Datos Personales, ha </w:t>
      </w:r>
      <w:r w:rsidRPr="00CE657A">
        <w:rPr>
          <w:rFonts w:ascii="Palatino Linotype" w:eastAsia="Calibri" w:hAnsi="Palatino Linotype" w:cs="Tahoma"/>
          <w:b/>
          <w:bCs/>
        </w:rPr>
        <w:t xml:space="preserve">ORDENADO, </w:t>
      </w:r>
      <w:r w:rsidRPr="00CE657A">
        <w:rPr>
          <w:rFonts w:ascii="Palatino Linotype" w:eastAsia="Calibri" w:hAnsi="Palatino Linotype" w:cs="Tahoma"/>
        </w:rPr>
        <w:t>al Pleno del Instituto de Transparencia, Acceso a la Información Pública y Protección de Datos Personales a realizar análisis exhaustivos y profundos sobre la clasificación de información reservada, que incluye la elaboración de la prueba de daño respectiva, pues el estudio no debe ceñirse únicamente a verificar cuestiones de forma, sino también la argumentación de las razones por las cuales la información se adecua a la hipótesis normativa. Dicho criterio, no solo aplica a este Órgano Garante, sino a todos los Institutos de Transparencia, que existen en el país.</w:t>
      </w:r>
    </w:p>
    <w:p w14:paraId="73055729" w14:textId="77777777" w:rsidR="00CE657A" w:rsidRPr="00CE657A" w:rsidRDefault="00CE657A" w:rsidP="00CE657A">
      <w:pPr>
        <w:spacing w:after="0" w:line="360" w:lineRule="auto"/>
        <w:jc w:val="both"/>
        <w:rPr>
          <w:rFonts w:ascii="Palatino Linotype" w:eastAsia="Calibri" w:hAnsi="Palatino Linotype" w:cs="Tahoma"/>
        </w:rPr>
      </w:pPr>
    </w:p>
    <w:p w14:paraId="2EEDBD8D" w14:textId="5407BE27" w:rsidR="00CE657A" w:rsidRPr="00CE657A" w:rsidRDefault="00CE657A" w:rsidP="00CE657A">
      <w:pPr>
        <w:spacing w:after="0" w:line="360" w:lineRule="auto"/>
        <w:jc w:val="both"/>
        <w:rPr>
          <w:rFonts w:ascii="Palatino Linotype" w:eastAsia="Calibri" w:hAnsi="Palatino Linotype" w:cs="Tahoma"/>
        </w:rPr>
      </w:pPr>
      <w:r w:rsidRPr="00CE657A">
        <w:rPr>
          <w:rFonts w:ascii="Palatino Linotype" w:eastAsia="Calibri" w:hAnsi="Palatino Linotype" w:cs="Tahoma"/>
        </w:rPr>
        <w:t xml:space="preserve">Por lo que, al tratarse </w:t>
      </w:r>
      <w:r w:rsidR="0050457B">
        <w:rPr>
          <w:rFonts w:ascii="Palatino Linotype" w:eastAsia="Calibri" w:hAnsi="Palatino Linotype" w:cs="Tahoma"/>
        </w:rPr>
        <w:t>de información posiblemente</w:t>
      </w:r>
      <w:r w:rsidRPr="00CE657A">
        <w:rPr>
          <w:rFonts w:ascii="Palatino Linotype" w:eastAsia="Calibri" w:hAnsi="Palatino Linotype" w:cs="Tahoma"/>
        </w:rPr>
        <w:t xml:space="preserve"> reservada, se debe valorar el daño que causaría la divulgación de la información, con la finalidad de sustentar la reserva y arribar a una determinación debidamente fundada y motivada que tenga como consecuencia la clasificación de la información; además de analizar si el periodo de clasificación resulta </w:t>
      </w:r>
      <w:r w:rsidRPr="00CE657A">
        <w:rPr>
          <w:rFonts w:ascii="Palatino Linotype" w:eastAsia="Calibri" w:hAnsi="Palatino Linotype" w:cs="Tahoma"/>
        </w:rPr>
        <w:lastRenderedPageBreak/>
        <w:t>acorde con la naturaleza de la información requerida. En otras palabras, la determinación que confirme una clasificación, debe contener un análisis exhaustivo, casuístico y profundo de los elementos de forma y fondo que establecen la Ley General de Transparencia y Acceso a la Información Pública, Ley de Transparencia y Acceso a la Información Pública del Estado de México y Municipios y los Lineamientos Generales.</w:t>
      </w:r>
    </w:p>
    <w:p w14:paraId="718D9539" w14:textId="77777777" w:rsidR="00CE657A" w:rsidRPr="00CE657A" w:rsidRDefault="00CE657A" w:rsidP="00CE657A">
      <w:pPr>
        <w:spacing w:after="0" w:line="360" w:lineRule="auto"/>
        <w:jc w:val="both"/>
        <w:rPr>
          <w:rFonts w:ascii="Palatino Linotype" w:eastAsia="Calibri" w:hAnsi="Palatino Linotype" w:cs="Tahoma"/>
        </w:rPr>
      </w:pPr>
    </w:p>
    <w:p w14:paraId="5FA2A517" w14:textId="77777777" w:rsidR="00CE657A" w:rsidRPr="00CE657A" w:rsidRDefault="00CE657A" w:rsidP="00CE657A">
      <w:pPr>
        <w:spacing w:after="0" w:line="360" w:lineRule="auto"/>
        <w:ind w:right="-93"/>
        <w:jc w:val="both"/>
        <w:rPr>
          <w:rFonts w:ascii="Palatino Linotype" w:eastAsia="Calibri" w:hAnsi="Palatino Linotype" w:cs="Tahoma"/>
          <w:bCs/>
        </w:rPr>
      </w:pPr>
      <w:r w:rsidRPr="00CE657A">
        <w:rPr>
          <w:rFonts w:ascii="Palatino Linotype" w:eastAsia="Calibri" w:hAnsi="Palatino Linotype" w:cs="Tahoma"/>
          <w:bCs/>
        </w:rPr>
        <w:t>Debo hacer hincapié, que el Pleno de este Instituto, como Órgano Garante del Estado de México y sus Municipios, del derecho de acceso a la información pública, debe realizar resoluciones con un análisis profundo, exhaustivo y completo, sobre todo, si se trata de información clasificada, pues conforme a la normatividad aplicable, estamos obligados a tomar determinaciones, pero estas deben ser fundadas y motivadas, pues de lo contrario, se estarían violentando los principios de certeza, eficacia y legalidad, que deben regir a este Instituto, conforme al artículo 8°, fracciones I, II y V, de la Ley General y 9°, fracciones I, II y VI, de la Ley Local.</w:t>
      </w:r>
    </w:p>
    <w:p w14:paraId="7DA44715" w14:textId="77777777" w:rsidR="00CE657A" w:rsidRPr="00CE657A" w:rsidRDefault="00CE657A" w:rsidP="00CE657A">
      <w:pPr>
        <w:spacing w:after="0" w:line="360" w:lineRule="auto"/>
        <w:ind w:right="-93"/>
        <w:jc w:val="both"/>
        <w:rPr>
          <w:rFonts w:ascii="Palatino Linotype" w:eastAsia="Calibri" w:hAnsi="Palatino Linotype" w:cs="Tahoma"/>
          <w:bCs/>
        </w:rPr>
      </w:pPr>
    </w:p>
    <w:p w14:paraId="730019D1" w14:textId="0F0C2DC6" w:rsidR="000960D6" w:rsidRPr="00C57E29" w:rsidRDefault="00CE657A" w:rsidP="00030460">
      <w:pPr>
        <w:tabs>
          <w:tab w:val="left" w:pos="4962"/>
        </w:tabs>
        <w:spacing w:after="0" w:line="360" w:lineRule="auto"/>
        <w:jc w:val="both"/>
        <w:rPr>
          <w:rFonts w:ascii="Palatino Linotype" w:eastAsia="Times New Roman" w:hAnsi="Palatino Linotype" w:cs="Times New Roman"/>
          <w:color w:val="000000"/>
          <w:lang w:val="es-MX" w:eastAsia="es-MX"/>
        </w:rPr>
      </w:pPr>
      <w:r w:rsidRPr="00CE657A">
        <w:rPr>
          <w:rFonts w:ascii="Palatino Linotype" w:eastAsia="Calibri" w:hAnsi="Palatino Linotype" w:cs="Tahoma"/>
          <w:iCs/>
          <w:lang w:eastAsia="es-ES_tradnl"/>
        </w:rPr>
        <w:t>Por todo lo expuesto, y toda vez, que en el presente no</w:t>
      </w:r>
      <w:r w:rsidR="0050457B">
        <w:rPr>
          <w:rFonts w:ascii="Palatino Linotype" w:eastAsia="Calibri" w:hAnsi="Palatino Linotype" w:cs="Tahoma"/>
          <w:iCs/>
          <w:lang w:eastAsia="es-ES_tradnl"/>
        </w:rPr>
        <w:t xml:space="preserve"> se</w:t>
      </w:r>
      <w:r w:rsidRPr="00CE657A">
        <w:rPr>
          <w:rFonts w:ascii="Palatino Linotype" w:eastAsia="Calibri" w:hAnsi="Palatino Linotype" w:cs="Tahoma"/>
          <w:iCs/>
          <w:lang w:eastAsia="es-ES_tradnl"/>
        </w:rPr>
        <w:t xml:space="preserve"> realizó un análisis exhaustivo y profundo, fundado y motivado,</w:t>
      </w:r>
      <w:r w:rsidR="0085547C">
        <w:rPr>
          <w:rFonts w:ascii="Palatino Linotype" w:eastAsia="Calibri" w:hAnsi="Palatino Linotype" w:cs="Tahoma"/>
          <w:iCs/>
          <w:lang w:eastAsia="es-ES_tradnl"/>
        </w:rPr>
        <w:t xml:space="preserve"> pues se estableció una salvedad en los resolutivos, respecto a información que no fue requerida por la parte Recurrente y se dio la posibilidad de una reservar, sin realizar la respectiva prueba de daño</w:t>
      </w:r>
      <w:r w:rsidRPr="00CE657A">
        <w:rPr>
          <w:rFonts w:ascii="Palatino Linotype" w:eastAsia="Calibri" w:hAnsi="Palatino Linotype" w:cs="Tahoma"/>
          <w:iCs/>
          <w:lang w:eastAsia="es-ES_tradnl"/>
        </w:rPr>
        <w:t xml:space="preserve"> establecida en los artículos 104 de la Ley General, 129 de la Ley Local y numeral </w:t>
      </w:r>
      <w:r w:rsidRPr="00CE657A">
        <w:rPr>
          <w:rFonts w:ascii="Palatino Linotype" w:eastAsia="Times New Roman" w:hAnsi="Palatino Linotype" w:cs="Tahoma"/>
          <w:lang w:eastAsia="es-ES"/>
        </w:rPr>
        <w:t>Trigésimo tercero de los Lineamientos Generales</w:t>
      </w:r>
      <w:r w:rsidRPr="00CE657A">
        <w:rPr>
          <w:rFonts w:ascii="Palatino Linotype" w:eastAsia="Calibri" w:hAnsi="Palatino Linotype" w:cs="Tahoma"/>
          <w:iCs/>
          <w:lang w:eastAsia="es-ES_tradnl"/>
        </w:rPr>
        <w:t xml:space="preserve">, lo cual, era necesario para </w:t>
      </w:r>
      <w:r w:rsidR="00030460" w:rsidRPr="00CE657A">
        <w:rPr>
          <w:rFonts w:ascii="Palatino Linotype" w:eastAsia="Calibri" w:hAnsi="Palatino Linotype" w:cs="Tahoma"/>
          <w:iCs/>
          <w:lang w:eastAsia="es-ES_tradnl"/>
        </w:rPr>
        <w:t>formular</w:t>
      </w:r>
      <w:r w:rsidRPr="00CE657A">
        <w:rPr>
          <w:rFonts w:ascii="Palatino Linotype" w:eastAsia="Calibri" w:hAnsi="Palatino Linotype" w:cs="Tahoma"/>
          <w:iCs/>
          <w:lang w:eastAsia="es-ES_tradnl"/>
        </w:rPr>
        <w:t xml:space="preserve"> una determinación completa e idónea, que cumpla con las disposiciones aplicables</w:t>
      </w:r>
      <w:r w:rsidR="0085547C">
        <w:rPr>
          <w:rFonts w:ascii="Palatino Linotype" w:eastAsia="Calibri" w:hAnsi="Palatino Linotype" w:cs="Tahoma"/>
          <w:iCs/>
          <w:lang w:eastAsia="es-ES_tradnl"/>
        </w:rPr>
        <w:t xml:space="preserve">, </w:t>
      </w:r>
      <w:r w:rsidR="00030460">
        <w:rPr>
          <w:rFonts w:ascii="Palatino Linotype" w:eastAsia="Times New Roman" w:hAnsi="Palatino Linotype" w:cs="Times New Roman"/>
          <w:color w:val="000000"/>
          <w:lang w:val="es-MX" w:eastAsia="es-MX"/>
        </w:rPr>
        <w:t>emito</w:t>
      </w:r>
      <w:r w:rsidR="00030460" w:rsidRPr="00CE657A">
        <w:rPr>
          <w:rFonts w:ascii="Palatino Linotype" w:eastAsia="Times New Roman" w:hAnsi="Palatino Linotype" w:cs="Times New Roman"/>
          <w:color w:val="000000"/>
          <w:lang w:val="es-MX" w:eastAsia="es-MX"/>
        </w:rPr>
        <w:t xml:space="preserve"> el presente </w:t>
      </w:r>
      <w:r w:rsidR="00030460" w:rsidRPr="00CE657A">
        <w:rPr>
          <w:rFonts w:ascii="Palatino Linotype" w:eastAsia="Times New Roman" w:hAnsi="Palatino Linotype" w:cs="Times New Roman"/>
          <w:b/>
          <w:bCs/>
          <w:color w:val="000000"/>
          <w:lang w:val="es-MX" w:eastAsia="es-MX"/>
        </w:rPr>
        <w:t>Voto Particular</w:t>
      </w:r>
      <w:r w:rsidRPr="00CE657A">
        <w:rPr>
          <w:rFonts w:ascii="Palatino Linotype" w:eastAsia="Calibri" w:hAnsi="Palatino Linotype" w:cs="Tahoma"/>
          <w:iCs/>
          <w:lang w:eastAsia="es-ES_tradnl"/>
        </w:rPr>
        <w:t>; sobre todo, porque el Órgano Garante Nacional y la Suprema Corte de Justicia de la Nación, ya señalaron la necesidad de elaborar dicha prueba</w:t>
      </w:r>
      <w:r w:rsidR="00030460">
        <w:rPr>
          <w:rFonts w:ascii="Palatino Linotype" w:eastAsia="Calibri" w:hAnsi="Palatino Linotype" w:cs="Tahoma"/>
          <w:iCs/>
          <w:lang w:eastAsia="es-ES_tradnl"/>
        </w:rPr>
        <w:t xml:space="preserve">. </w:t>
      </w:r>
      <w:r w:rsidR="009017CB">
        <w:rPr>
          <w:rFonts w:ascii="Palatino Linotype" w:hAnsi="Palatino Linotype" w:cs="Arial"/>
        </w:rPr>
        <w:t>-----------------------------------------------------------------------------------------------------------------------------------------------------------------------------------------------------------------------------------</w:t>
      </w:r>
      <w:r w:rsidR="00FE73F3">
        <w:rPr>
          <w:rFonts w:ascii="Palatino Linotype" w:hAnsi="Palatino Linotype" w:cs="Arial"/>
        </w:rPr>
        <w:t>---------------------------------------------------------------------------------------------------------------------------------------------------------------------------------------------------------------</w:t>
      </w:r>
      <w:r w:rsidR="00351862">
        <w:rPr>
          <w:rFonts w:ascii="Palatino Linotype" w:hAnsi="Palatino Linotype" w:cs="Arial"/>
        </w:rPr>
        <w:t>--------------</w:t>
      </w:r>
      <w:r w:rsidR="00FE73F3">
        <w:rPr>
          <w:rFonts w:ascii="Palatino Linotype" w:hAnsi="Palatino Linotype" w:cs="Arial"/>
        </w:rPr>
        <w:t>--</w:t>
      </w:r>
    </w:p>
    <w:p w14:paraId="6B533DD8" w14:textId="73788293" w:rsidR="00C54625" w:rsidRDefault="00C54625" w:rsidP="003A0DE6">
      <w:pPr>
        <w:spacing w:after="0" w:line="360" w:lineRule="auto"/>
        <w:jc w:val="both"/>
        <w:rPr>
          <w:rFonts w:ascii="Palatino Linotype" w:hAnsi="Palatino Linotype" w:cs="Arial"/>
        </w:rPr>
      </w:pPr>
    </w:p>
    <w:p w14:paraId="71362C06" w14:textId="77777777" w:rsidR="00C54625" w:rsidRDefault="00C54625" w:rsidP="003A0DE6">
      <w:pPr>
        <w:spacing w:after="0" w:line="360" w:lineRule="auto"/>
        <w:jc w:val="both"/>
        <w:rPr>
          <w:rFonts w:ascii="Palatino Linotype" w:hAnsi="Palatino Linotype" w:cs="Arial"/>
        </w:rPr>
      </w:pPr>
    </w:p>
    <w:sectPr w:rsidR="00C54625" w:rsidSect="009017CB">
      <w:headerReference w:type="default" r:id="rId8"/>
      <w:footerReference w:type="default" r:id="rId9"/>
      <w:pgSz w:w="12240" w:h="15840" w:code="1"/>
      <w:pgMar w:top="1417" w:right="1701" w:bottom="1417" w:left="170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76BA4" w14:textId="77777777" w:rsidR="00F86573" w:rsidRDefault="00F86573" w:rsidP="00EE29F6">
      <w:pPr>
        <w:spacing w:after="0" w:line="240" w:lineRule="auto"/>
      </w:pPr>
      <w:r>
        <w:separator/>
      </w:r>
    </w:p>
  </w:endnote>
  <w:endnote w:type="continuationSeparator" w:id="0">
    <w:p w14:paraId="2FDC9CC5" w14:textId="77777777" w:rsidR="00F86573" w:rsidRDefault="00F86573"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13EDD117" w14:textId="77777777" w:rsidR="00AC333A" w:rsidRDefault="00AC333A">
            <w:pPr>
              <w:pStyle w:val="Piedepgina"/>
              <w:jc w:val="center"/>
            </w:pPr>
            <w:r>
              <w:t xml:space="preserve">Página </w:t>
            </w:r>
            <w:r w:rsidR="0005256C">
              <w:rPr>
                <w:b/>
                <w:bCs/>
                <w:sz w:val="24"/>
                <w:szCs w:val="24"/>
              </w:rPr>
              <w:fldChar w:fldCharType="begin"/>
            </w:r>
            <w:r>
              <w:rPr>
                <w:b/>
                <w:bCs/>
              </w:rPr>
              <w:instrText>PAGE</w:instrText>
            </w:r>
            <w:r w:rsidR="0005256C">
              <w:rPr>
                <w:b/>
                <w:bCs/>
                <w:sz w:val="24"/>
                <w:szCs w:val="24"/>
              </w:rPr>
              <w:fldChar w:fldCharType="separate"/>
            </w:r>
            <w:r w:rsidR="00E82D9C">
              <w:rPr>
                <w:b/>
                <w:bCs/>
                <w:noProof/>
              </w:rPr>
              <w:t>7</w:t>
            </w:r>
            <w:r w:rsidR="0005256C">
              <w:rPr>
                <w:b/>
                <w:bCs/>
                <w:sz w:val="24"/>
                <w:szCs w:val="24"/>
              </w:rPr>
              <w:fldChar w:fldCharType="end"/>
            </w:r>
            <w:r>
              <w:t xml:space="preserve"> de </w:t>
            </w:r>
            <w:r w:rsidR="0005256C">
              <w:rPr>
                <w:b/>
                <w:bCs/>
                <w:sz w:val="24"/>
                <w:szCs w:val="24"/>
              </w:rPr>
              <w:fldChar w:fldCharType="begin"/>
            </w:r>
            <w:r>
              <w:rPr>
                <w:b/>
                <w:bCs/>
              </w:rPr>
              <w:instrText>NUMPAGES</w:instrText>
            </w:r>
            <w:r w:rsidR="0005256C">
              <w:rPr>
                <w:b/>
                <w:bCs/>
                <w:sz w:val="24"/>
                <w:szCs w:val="24"/>
              </w:rPr>
              <w:fldChar w:fldCharType="separate"/>
            </w:r>
            <w:r w:rsidR="00E82D9C">
              <w:rPr>
                <w:b/>
                <w:bCs/>
                <w:noProof/>
              </w:rPr>
              <w:t>8</w:t>
            </w:r>
            <w:r w:rsidR="0005256C">
              <w:rPr>
                <w:b/>
                <w:bCs/>
                <w:sz w:val="24"/>
                <w:szCs w:val="24"/>
              </w:rPr>
              <w:fldChar w:fldCharType="end"/>
            </w:r>
          </w:p>
        </w:sdtContent>
      </w:sdt>
    </w:sdtContent>
  </w:sdt>
  <w:p w14:paraId="257B23FE" w14:textId="77777777" w:rsidR="00AC333A" w:rsidRDefault="00AC33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0587A" w14:textId="77777777" w:rsidR="00F86573" w:rsidRDefault="00F86573" w:rsidP="00EE29F6">
      <w:pPr>
        <w:spacing w:after="0" w:line="240" w:lineRule="auto"/>
      </w:pPr>
      <w:r>
        <w:separator/>
      </w:r>
    </w:p>
  </w:footnote>
  <w:footnote w:type="continuationSeparator" w:id="0">
    <w:p w14:paraId="7083A280" w14:textId="77777777" w:rsidR="00F86573" w:rsidRDefault="00F86573" w:rsidP="00EE2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4961"/>
    </w:tblGrid>
    <w:tr w:rsidR="0077694E" w:rsidRPr="001106EA" w14:paraId="0B0A3516" w14:textId="77777777" w:rsidTr="00852D5B">
      <w:trPr>
        <w:trHeight w:val="1843"/>
      </w:trPr>
      <w:tc>
        <w:tcPr>
          <w:tcW w:w="3828" w:type="dxa"/>
          <w:vAlign w:val="bottom"/>
        </w:tcPr>
        <w:p w14:paraId="47A2BFCC" w14:textId="77777777" w:rsidR="0077694E" w:rsidRDefault="0077694E" w:rsidP="0077694E">
          <w:pPr>
            <w:pStyle w:val="Encabezado"/>
            <w:tabs>
              <w:tab w:val="clear" w:pos="4252"/>
              <w:tab w:val="center" w:pos="2614"/>
            </w:tabs>
            <w:ind w:left="-255"/>
          </w:pPr>
          <w:r>
            <w:rPr>
              <w:noProof/>
              <w:sz w:val="10"/>
              <w:szCs w:val="10"/>
              <w:lang w:val="es-MX" w:eastAsia="es-MX"/>
            </w:rPr>
            <w:drawing>
              <wp:anchor distT="0" distB="0" distL="114300" distR="114300" simplePos="0" relativeHeight="251658240" behindDoc="0" locked="0" layoutInCell="1" allowOverlap="1" wp14:anchorId="2D1DC032" wp14:editId="3A8E678F">
                <wp:simplePos x="0" y="0"/>
                <wp:positionH relativeFrom="column">
                  <wp:posOffset>-379095</wp:posOffset>
                </wp:positionH>
                <wp:positionV relativeFrom="paragraph">
                  <wp:posOffset>-838200</wp:posOffset>
                </wp:positionV>
                <wp:extent cx="1873250" cy="112649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49A4D265" w14:textId="77777777" w:rsidR="0077694E" w:rsidRDefault="0077694E" w:rsidP="0077694E">
          <w:pPr>
            <w:pStyle w:val="Encabezado"/>
            <w:tabs>
              <w:tab w:val="clear" w:pos="4252"/>
              <w:tab w:val="center" w:pos="2614"/>
            </w:tabs>
          </w:pPr>
        </w:p>
      </w:tc>
      <w:tc>
        <w:tcPr>
          <w:tcW w:w="4961" w:type="dxa"/>
          <w:vAlign w:val="center"/>
        </w:tcPr>
        <w:p w14:paraId="3B5BF294" w14:textId="77777777" w:rsidR="00411EA2" w:rsidRDefault="00411EA2" w:rsidP="00852D5B">
          <w:pPr>
            <w:pStyle w:val="Encabezado"/>
            <w:ind w:left="-115" w:right="-250"/>
            <w:jc w:val="both"/>
            <w:rPr>
              <w:rFonts w:ascii="Palatino Linotype" w:hAnsi="Palatino Linotype" w:cs="Tahoma"/>
              <w:b/>
            </w:rPr>
          </w:pPr>
        </w:p>
        <w:p w14:paraId="22C38A83" w14:textId="77777777" w:rsidR="00411EA2" w:rsidRDefault="00411EA2" w:rsidP="00852D5B">
          <w:pPr>
            <w:pStyle w:val="Encabezado"/>
            <w:ind w:left="-115" w:right="-250"/>
            <w:jc w:val="both"/>
            <w:rPr>
              <w:rFonts w:ascii="Palatino Linotype" w:hAnsi="Palatino Linotype" w:cs="Tahoma"/>
              <w:b/>
            </w:rPr>
          </w:pPr>
        </w:p>
        <w:p w14:paraId="4BF877A3" w14:textId="7DD6568E" w:rsidR="001106EA" w:rsidRPr="00B9745A" w:rsidRDefault="001106EA" w:rsidP="00852D5B">
          <w:pPr>
            <w:pStyle w:val="Encabezado"/>
            <w:ind w:left="-115" w:right="-250"/>
            <w:jc w:val="both"/>
            <w:rPr>
              <w:rFonts w:ascii="Palatino Linotype" w:hAnsi="Palatino Linotype" w:cs="Tahoma"/>
              <w:b/>
            </w:rPr>
          </w:pPr>
          <w:r w:rsidRPr="00B9745A">
            <w:rPr>
              <w:rFonts w:ascii="Palatino Linotype" w:hAnsi="Palatino Linotype" w:cs="Tahoma"/>
              <w:b/>
            </w:rPr>
            <w:t>Voto Particular</w:t>
          </w:r>
        </w:p>
        <w:p w14:paraId="161287AD" w14:textId="66DB6D4B" w:rsidR="009D36B8" w:rsidRDefault="001106EA" w:rsidP="00852D5B">
          <w:pPr>
            <w:pStyle w:val="Encabezado"/>
            <w:ind w:left="-115" w:right="-110"/>
            <w:jc w:val="both"/>
            <w:rPr>
              <w:rFonts w:ascii="Palatino Linotype" w:hAnsi="Palatino Linotype"/>
              <w:b/>
              <w:lang w:val="es-ES_tradnl"/>
            </w:rPr>
          </w:pPr>
          <w:r w:rsidRPr="00B9745A">
            <w:rPr>
              <w:rFonts w:ascii="Palatino Linotype" w:hAnsi="Palatino Linotype" w:cs="Tahoma"/>
              <w:b/>
            </w:rPr>
            <w:t xml:space="preserve">Recurso de Revisión: </w:t>
          </w:r>
          <w:r w:rsidR="004F2589" w:rsidRPr="004F2589">
            <w:rPr>
              <w:rFonts w:ascii="Palatino Linotype" w:hAnsi="Palatino Linotype"/>
              <w:b/>
              <w:lang w:val="es-ES_tradnl"/>
            </w:rPr>
            <w:t>00</w:t>
          </w:r>
          <w:r w:rsidR="00A8746F">
            <w:rPr>
              <w:rFonts w:ascii="Palatino Linotype" w:hAnsi="Palatino Linotype"/>
              <w:b/>
              <w:lang w:val="es-ES_tradnl"/>
            </w:rPr>
            <w:t>954</w:t>
          </w:r>
          <w:r w:rsidR="004F2589" w:rsidRPr="004F2589">
            <w:rPr>
              <w:rFonts w:ascii="Palatino Linotype" w:hAnsi="Palatino Linotype"/>
              <w:b/>
              <w:lang w:val="es-ES_tradnl"/>
            </w:rPr>
            <w:t>/INFOEM/IP/RR/2021</w:t>
          </w:r>
        </w:p>
        <w:p w14:paraId="5FEBBB0F" w14:textId="6CFEBE14" w:rsidR="00C14D5C" w:rsidRDefault="00C14D5C" w:rsidP="00852D5B">
          <w:pPr>
            <w:pStyle w:val="Encabezado"/>
            <w:ind w:left="-115" w:right="-102"/>
            <w:jc w:val="both"/>
            <w:rPr>
              <w:rFonts w:ascii="Palatino Linotype" w:hAnsi="Palatino Linotype"/>
              <w:b/>
              <w:lang w:val="es-ES_tradnl"/>
            </w:rPr>
          </w:pPr>
          <w:r>
            <w:rPr>
              <w:rFonts w:ascii="Palatino Linotype" w:hAnsi="Palatino Linotype" w:cs="Tahoma"/>
              <w:b/>
            </w:rPr>
            <w:t>Sujeto Obligado:</w:t>
          </w:r>
          <w:r>
            <w:rPr>
              <w:rFonts w:ascii="Palatino Linotype" w:hAnsi="Palatino Linotype"/>
              <w:b/>
              <w:lang w:val="es-ES_tradnl"/>
            </w:rPr>
            <w:t xml:space="preserve"> </w:t>
          </w:r>
          <w:r w:rsidR="00A8746F">
            <w:rPr>
              <w:rFonts w:ascii="Palatino Linotype" w:hAnsi="Palatino Linotype"/>
              <w:b/>
            </w:rPr>
            <w:t>Ayuntamiento de Papalotla</w:t>
          </w:r>
        </w:p>
        <w:p w14:paraId="6A353E79" w14:textId="7B2ED058" w:rsidR="006F754E" w:rsidRDefault="006F754E" w:rsidP="00852D5B">
          <w:pPr>
            <w:pStyle w:val="Encabezado"/>
            <w:ind w:left="-115" w:right="-250"/>
            <w:jc w:val="both"/>
            <w:rPr>
              <w:rFonts w:ascii="Palatino Linotype" w:hAnsi="Palatino Linotype"/>
              <w:b/>
              <w:lang w:val="es-ES_tradnl"/>
            </w:rPr>
          </w:pPr>
          <w:r w:rsidRPr="00B9745A">
            <w:rPr>
              <w:rFonts w:ascii="Palatino Linotype" w:hAnsi="Palatino Linotype" w:cs="Tahoma"/>
              <w:b/>
            </w:rPr>
            <w:t>Comisionad</w:t>
          </w:r>
          <w:r w:rsidR="00411EA2">
            <w:rPr>
              <w:rFonts w:ascii="Palatino Linotype" w:hAnsi="Palatino Linotype" w:cs="Tahoma"/>
              <w:b/>
            </w:rPr>
            <w:t>a</w:t>
          </w:r>
          <w:r w:rsidRPr="00B9745A">
            <w:rPr>
              <w:rFonts w:ascii="Palatino Linotype" w:hAnsi="Palatino Linotype" w:cs="Tahoma"/>
              <w:b/>
            </w:rPr>
            <w:t xml:space="preserve"> Ponente: </w:t>
          </w:r>
          <w:r w:rsidR="00A8746F">
            <w:rPr>
              <w:rFonts w:ascii="Palatino Linotype" w:hAnsi="Palatino Linotype"/>
              <w:b/>
            </w:rPr>
            <w:t>Guadalupe Ramírez Peña</w:t>
          </w:r>
        </w:p>
        <w:p w14:paraId="717405AA" w14:textId="17AA8E29" w:rsidR="00411EA2" w:rsidRPr="001106EA" w:rsidRDefault="00411EA2" w:rsidP="00852D5B">
          <w:pPr>
            <w:pStyle w:val="Encabezado"/>
            <w:ind w:left="-115" w:right="-250"/>
            <w:jc w:val="both"/>
            <w:rPr>
              <w:rFonts w:ascii="Tahoma" w:hAnsi="Tahoma" w:cs="Tahoma"/>
            </w:rPr>
          </w:pPr>
        </w:p>
      </w:tc>
    </w:tr>
  </w:tbl>
  <w:p w14:paraId="21A336E1" w14:textId="77777777" w:rsidR="00D55429" w:rsidRPr="001106EA" w:rsidRDefault="00D55429">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7E443C"/>
    <w:multiLevelType w:val="hybridMultilevel"/>
    <w:tmpl w:val="D44AC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4282BA4"/>
    <w:multiLevelType w:val="hybridMultilevel"/>
    <w:tmpl w:val="D1C62D3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0B7E19D6"/>
    <w:multiLevelType w:val="hybridMultilevel"/>
    <w:tmpl w:val="87BEF72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5661CB3"/>
    <w:multiLevelType w:val="hybridMultilevel"/>
    <w:tmpl w:val="93767DBA"/>
    <w:lvl w:ilvl="0" w:tplc="145203DE">
      <w:start w:val="1"/>
      <w:numFmt w:val="lowerLetter"/>
      <w:lvlText w:val="%1)"/>
      <w:lvlJc w:val="left"/>
      <w:pPr>
        <w:ind w:left="1407" w:hanging="84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1ABD6812"/>
    <w:multiLevelType w:val="hybridMultilevel"/>
    <w:tmpl w:val="6C00DD78"/>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249B791D"/>
    <w:multiLevelType w:val="hybridMultilevel"/>
    <w:tmpl w:val="BD308EDC"/>
    <w:lvl w:ilvl="0" w:tplc="12B4CAB8">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CD6C2D"/>
    <w:multiLevelType w:val="hybridMultilevel"/>
    <w:tmpl w:val="EF3A05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6855639"/>
    <w:multiLevelType w:val="hybridMultilevel"/>
    <w:tmpl w:val="2CC852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C204A1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9"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4"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0B343B2"/>
    <w:multiLevelType w:val="hybridMultilevel"/>
    <w:tmpl w:val="56742792"/>
    <w:lvl w:ilvl="0" w:tplc="6908EA70">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8" w15:restartNumberingAfterBreak="0">
    <w:nsid w:val="726262FE"/>
    <w:multiLevelType w:val="hybridMultilevel"/>
    <w:tmpl w:val="0FF200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74676BAB"/>
    <w:multiLevelType w:val="hybridMultilevel"/>
    <w:tmpl w:val="138EA6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7"/>
  </w:num>
  <w:num w:numId="4">
    <w:abstractNumId w:val="0"/>
  </w:num>
  <w:num w:numId="5">
    <w:abstractNumId w:val="22"/>
  </w:num>
  <w:num w:numId="6">
    <w:abstractNumId w:val="6"/>
  </w:num>
  <w:num w:numId="7">
    <w:abstractNumId w:val="19"/>
  </w:num>
  <w:num w:numId="8">
    <w:abstractNumId w:val="30"/>
  </w:num>
  <w:num w:numId="9">
    <w:abstractNumId w:val="24"/>
  </w:num>
  <w:num w:numId="10">
    <w:abstractNumId w:val="25"/>
  </w:num>
  <w:num w:numId="11">
    <w:abstractNumId w:val="26"/>
  </w:num>
  <w:num w:numId="12">
    <w:abstractNumId w:val="1"/>
  </w:num>
  <w:num w:numId="13">
    <w:abstractNumId w:val="15"/>
  </w:num>
  <w:num w:numId="14">
    <w:abstractNumId w:val="31"/>
  </w:num>
  <w:num w:numId="15">
    <w:abstractNumId w:val="27"/>
  </w:num>
  <w:num w:numId="16">
    <w:abstractNumId w:val="2"/>
  </w:num>
  <w:num w:numId="17">
    <w:abstractNumId w:val="8"/>
  </w:num>
  <w:num w:numId="18">
    <w:abstractNumId w:val="29"/>
  </w:num>
  <w:num w:numId="19">
    <w:abstractNumId w:val="23"/>
  </w:num>
  <w:num w:numId="20">
    <w:abstractNumId w:val="18"/>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32"/>
  </w:num>
  <w:num w:numId="25">
    <w:abstractNumId w:val="12"/>
  </w:num>
  <w:num w:numId="26">
    <w:abstractNumId w:val="21"/>
  </w:num>
  <w:num w:numId="27">
    <w:abstractNumId w:val="28"/>
  </w:num>
  <w:num w:numId="28">
    <w:abstractNumId w:val="5"/>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lvlOverride w:ilvl="2"/>
    <w:lvlOverride w:ilvl="3"/>
    <w:lvlOverride w:ilvl="4"/>
    <w:lvlOverride w:ilvl="5"/>
    <w:lvlOverride w:ilvl="6"/>
    <w:lvlOverride w:ilvl="7"/>
    <w:lvlOverride w:ilvl="8"/>
  </w:num>
  <w:num w:numId="31">
    <w:abstractNumId w:val="16"/>
  </w:num>
  <w:num w:numId="32">
    <w:abstractNumId w:val="11"/>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F6"/>
    <w:rsid w:val="00006F73"/>
    <w:rsid w:val="00007B9D"/>
    <w:rsid w:val="00020D08"/>
    <w:rsid w:val="00021E2D"/>
    <w:rsid w:val="0002476B"/>
    <w:rsid w:val="0002627D"/>
    <w:rsid w:val="00026846"/>
    <w:rsid w:val="0002759D"/>
    <w:rsid w:val="000301C6"/>
    <w:rsid w:val="00030460"/>
    <w:rsid w:val="00031240"/>
    <w:rsid w:val="00035DED"/>
    <w:rsid w:val="00041B19"/>
    <w:rsid w:val="00042A63"/>
    <w:rsid w:val="000433F6"/>
    <w:rsid w:val="0005256C"/>
    <w:rsid w:val="00060F74"/>
    <w:rsid w:val="0006561A"/>
    <w:rsid w:val="0007394A"/>
    <w:rsid w:val="00080B59"/>
    <w:rsid w:val="00082543"/>
    <w:rsid w:val="00083453"/>
    <w:rsid w:val="00087AC8"/>
    <w:rsid w:val="00095B52"/>
    <w:rsid w:val="000960D6"/>
    <w:rsid w:val="00097988"/>
    <w:rsid w:val="000A65BC"/>
    <w:rsid w:val="000B235B"/>
    <w:rsid w:val="000B7BA8"/>
    <w:rsid w:val="000B7F6F"/>
    <w:rsid w:val="000C10B7"/>
    <w:rsid w:val="000C5469"/>
    <w:rsid w:val="000D186F"/>
    <w:rsid w:val="000E2B8F"/>
    <w:rsid w:val="00103FFF"/>
    <w:rsid w:val="0010688C"/>
    <w:rsid w:val="001106EA"/>
    <w:rsid w:val="00110BC3"/>
    <w:rsid w:val="001159DC"/>
    <w:rsid w:val="00116C1F"/>
    <w:rsid w:val="00116E1A"/>
    <w:rsid w:val="001247C3"/>
    <w:rsid w:val="00136AD8"/>
    <w:rsid w:val="0014038B"/>
    <w:rsid w:val="00140A57"/>
    <w:rsid w:val="0014736A"/>
    <w:rsid w:val="00154DF0"/>
    <w:rsid w:val="00161209"/>
    <w:rsid w:val="00162325"/>
    <w:rsid w:val="00164625"/>
    <w:rsid w:val="00164BFE"/>
    <w:rsid w:val="001749E8"/>
    <w:rsid w:val="0018472D"/>
    <w:rsid w:val="00190982"/>
    <w:rsid w:val="00191BF6"/>
    <w:rsid w:val="00192A6D"/>
    <w:rsid w:val="00193AA8"/>
    <w:rsid w:val="00197A72"/>
    <w:rsid w:val="001A145C"/>
    <w:rsid w:val="001A6BD9"/>
    <w:rsid w:val="001C1C64"/>
    <w:rsid w:val="001C2D5C"/>
    <w:rsid w:val="001D0324"/>
    <w:rsid w:val="001E2FC8"/>
    <w:rsid w:val="001E3540"/>
    <w:rsid w:val="001F667B"/>
    <w:rsid w:val="001F6A82"/>
    <w:rsid w:val="00204F18"/>
    <w:rsid w:val="0021522D"/>
    <w:rsid w:val="00216BC4"/>
    <w:rsid w:val="002179D6"/>
    <w:rsid w:val="00217F4A"/>
    <w:rsid w:val="00223F64"/>
    <w:rsid w:val="00231B68"/>
    <w:rsid w:val="00240815"/>
    <w:rsid w:val="00242C75"/>
    <w:rsid w:val="00243617"/>
    <w:rsid w:val="00243A13"/>
    <w:rsid w:val="00245ACA"/>
    <w:rsid w:val="00246FAF"/>
    <w:rsid w:val="00257BAB"/>
    <w:rsid w:val="00262F92"/>
    <w:rsid w:val="0026665E"/>
    <w:rsid w:val="00277E88"/>
    <w:rsid w:val="0028037C"/>
    <w:rsid w:val="00280A9C"/>
    <w:rsid w:val="002816CB"/>
    <w:rsid w:val="00291974"/>
    <w:rsid w:val="00295BA5"/>
    <w:rsid w:val="002A138B"/>
    <w:rsid w:val="002A16CE"/>
    <w:rsid w:val="002A1727"/>
    <w:rsid w:val="002A27BC"/>
    <w:rsid w:val="002A2EE7"/>
    <w:rsid w:val="002B1D44"/>
    <w:rsid w:val="002B5249"/>
    <w:rsid w:val="002C2405"/>
    <w:rsid w:val="002E0069"/>
    <w:rsid w:val="002E5A1A"/>
    <w:rsid w:val="002F4E95"/>
    <w:rsid w:val="003041CE"/>
    <w:rsid w:val="00317023"/>
    <w:rsid w:val="003179BF"/>
    <w:rsid w:val="0032025D"/>
    <w:rsid w:val="00320769"/>
    <w:rsid w:val="00322675"/>
    <w:rsid w:val="00332256"/>
    <w:rsid w:val="0033241D"/>
    <w:rsid w:val="00333B7A"/>
    <w:rsid w:val="00344C6F"/>
    <w:rsid w:val="003512C9"/>
    <w:rsid w:val="00351862"/>
    <w:rsid w:val="0035393F"/>
    <w:rsid w:val="003541B9"/>
    <w:rsid w:val="0036006F"/>
    <w:rsid w:val="00364DD4"/>
    <w:rsid w:val="00376071"/>
    <w:rsid w:val="003765D7"/>
    <w:rsid w:val="00394183"/>
    <w:rsid w:val="003A0DE6"/>
    <w:rsid w:val="003A6218"/>
    <w:rsid w:val="003B1F42"/>
    <w:rsid w:val="003B6547"/>
    <w:rsid w:val="003B7A5E"/>
    <w:rsid w:val="003C0474"/>
    <w:rsid w:val="003C15F3"/>
    <w:rsid w:val="003D23E5"/>
    <w:rsid w:val="003D5CED"/>
    <w:rsid w:val="003F2426"/>
    <w:rsid w:val="003F48C2"/>
    <w:rsid w:val="0040139C"/>
    <w:rsid w:val="00411EA2"/>
    <w:rsid w:val="00412CB2"/>
    <w:rsid w:val="004211BB"/>
    <w:rsid w:val="00433746"/>
    <w:rsid w:val="00434C88"/>
    <w:rsid w:val="00435E69"/>
    <w:rsid w:val="00436ABE"/>
    <w:rsid w:val="0043730D"/>
    <w:rsid w:val="00444DD6"/>
    <w:rsid w:val="0044584B"/>
    <w:rsid w:val="00445BDF"/>
    <w:rsid w:val="00447F6F"/>
    <w:rsid w:val="00451621"/>
    <w:rsid w:val="0045183E"/>
    <w:rsid w:val="0046008D"/>
    <w:rsid w:val="00471F3E"/>
    <w:rsid w:val="0047538D"/>
    <w:rsid w:val="00490F50"/>
    <w:rsid w:val="00495E7C"/>
    <w:rsid w:val="004970E4"/>
    <w:rsid w:val="004A4555"/>
    <w:rsid w:val="004A555E"/>
    <w:rsid w:val="004B08C4"/>
    <w:rsid w:val="004B532B"/>
    <w:rsid w:val="004B541F"/>
    <w:rsid w:val="004B7227"/>
    <w:rsid w:val="004C4912"/>
    <w:rsid w:val="004C5A6B"/>
    <w:rsid w:val="004C6E57"/>
    <w:rsid w:val="004D30D2"/>
    <w:rsid w:val="004E7007"/>
    <w:rsid w:val="004F2589"/>
    <w:rsid w:val="00500949"/>
    <w:rsid w:val="0050457B"/>
    <w:rsid w:val="005201B3"/>
    <w:rsid w:val="005228CE"/>
    <w:rsid w:val="00524DA5"/>
    <w:rsid w:val="00525F49"/>
    <w:rsid w:val="00526DBD"/>
    <w:rsid w:val="00543DF4"/>
    <w:rsid w:val="00544812"/>
    <w:rsid w:val="00553ADE"/>
    <w:rsid w:val="00560A41"/>
    <w:rsid w:val="0056120D"/>
    <w:rsid w:val="0056593F"/>
    <w:rsid w:val="00570434"/>
    <w:rsid w:val="00572EE4"/>
    <w:rsid w:val="00572FBB"/>
    <w:rsid w:val="00576423"/>
    <w:rsid w:val="00582CCB"/>
    <w:rsid w:val="00584038"/>
    <w:rsid w:val="00584D73"/>
    <w:rsid w:val="0059329D"/>
    <w:rsid w:val="00596383"/>
    <w:rsid w:val="005A2510"/>
    <w:rsid w:val="005B1BC6"/>
    <w:rsid w:val="005B1F7F"/>
    <w:rsid w:val="005B6967"/>
    <w:rsid w:val="005C094E"/>
    <w:rsid w:val="005C6EB1"/>
    <w:rsid w:val="005C73EE"/>
    <w:rsid w:val="005D11C8"/>
    <w:rsid w:val="005D26CE"/>
    <w:rsid w:val="005E2798"/>
    <w:rsid w:val="005E661B"/>
    <w:rsid w:val="005F6D21"/>
    <w:rsid w:val="00600164"/>
    <w:rsid w:val="00605683"/>
    <w:rsid w:val="0061575C"/>
    <w:rsid w:val="006248F2"/>
    <w:rsid w:val="00624DE5"/>
    <w:rsid w:val="00640407"/>
    <w:rsid w:val="0064068B"/>
    <w:rsid w:val="00645087"/>
    <w:rsid w:val="00645497"/>
    <w:rsid w:val="006463D2"/>
    <w:rsid w:val="00654ACD"/>
    <w:rsid w:val="00657396"/>
    <w:rsid w:val="0066421B"/>
    <w:rsid w:val="006760BF"/>
    <w:rsid w:val="00681338"/>
    <w:rsid w:val="00682003"/>
    <w:rsid w:val="00684B16"/>
    <w:rsid w:val="00687291"/>
    <w:rsid w:val="006A7606"/>
    <w:rsid w:val="006B7928"/>
    <w:rsid w:val="006C079B"/>
    <w:rsid w:val="006C76CB"/>
    <w:rsid w:val="006E1E37"/>
    <w:rsid w:val="006E2C84"/>
    <w:rsid w:val="006E7483"/>
    <w:rsid w:val="006F2F0D"/>
    <w:rsid w:val="006F5316"/>
    <w:rsid w:val="006F559F"/>
    <w:rsid w:val="006F754E"/>
    <w:rsid w:val="00724F08"/>
    <w:rsid w:val="00730CD7"/>
    <w:rsid w:val="00733023"/>
    <w:rsid w:val="007378E2"/>
    <w:rsid w:val="00742A15"/>
    <w:rsid w:val="007468D5"/>
    <w:rsid w:val="00752AA4"/>
    <w:rsid w:val="00755FEA"/>
    <w:rsid w:val="00767DA9"/>
    <w:rsid w:val="0077694E"/>
    <w:rsid w:val="0078072F"/>
    <w:rsid w:val="007918B3"/>
    <w:rsid w:val="00793961"/>
    <w:rsid w:val="00794C1B"/>
    <w:rsid w:val="00796A29"/>
    <w:rsid w:val="007A2D13"/>
    <w:rsid w:val="007B127F"/>
    <w:rsid w:val="007C1D2A"/>
    <w:rsid w:val="007D3257"/>
    <w:rsid w:val="007D4C16"/>
    <w:rsid w:val="007D68AF"/>
    <w:rsid w:val="007F1C1D"/>
    <w:rsid w:val="007F7C0D"/>
    <w:rsid w:val="007F7D80"/>
    <w:rsid w:val="00807185"/>
    <w:rsid w:val="00810552"/>
    <w:rsid w:val="00810663"/>
    <w:rsid w:val="0081767D"/>
    <w:rsid w:val="0082665A"/>
    <w:rsid w:val="0083166F"/>
    <w:rsid w:val="0083324E"/>
    <w:rsid w:val="00836BC2"/>
    <w:rsid w:val="00850F28"/>
    <w:rsid w:val="00852676"/>
    <w:rsid w:val="00852D5B"/>
    <w:rsid w:val="0085547C"/>
    <w:rsid w:val="00856E29"/>
    <w:rsid w:val="00861757"/>
    <w:rsid w:val="008673B7"/>
    <w:rsid w:val="00867D7F"/>
    <w:rsid w:val="00887F3B"/>
    <w:rsid w:val="00891412"/>
    <w:rsid w:val="00892E82"/>
    <w:rsid w:val="00893ACC"/>
    <w:rsid w:val="008A0447"/>
    <w:rsid w:val="008A1DE1"/>
    <w:rsid w:val="008A3C3E"/>
    <w:rsid w:val="008A3DA9"/>
    <w:rsid w:val="008A566D"/>
    <w:rsid w:val="008B08C9"/>
    <w:rsid w:val="008C74EC"/>
    <w:rsid w:val="008E3C3E"/>
    <w:rsid w:val="008E54E2"/>
    <w:rsid w:val="008F3B5A"/>
    <w:rsid w:val="009017CB"/>
    <w:rsid w:val="009039FE"/>
    <w:rsid w:val="00913EA1"/>
    <w:rsid w:val="0091435C"/>
    <w:rsid w:val="00920909"/>
    <w:rsid w:val="00922B2E"/>
    <w:rsid w:val="00927BD1"/>
    <w:rsid w:val="0093480E"/>
    <w:rsid w:val="00943959"/>
    <w:rsid w:val="00950355"/>
    <w:rsid w:val="00952B06"/>
    <w:rsid w:val="00954BF1"/>
    <w:rsid w:val="00962B86"/>
    <w:rsid w:val="009731D8"/>
    <w:rsid w:val="00974836"/>
    <w:rsid w:val="009943E1"/>
    <w:rsid w:val="00994D26"/>
    <w:rsid w:val="00997CC5"/>
    <w:rsid w:val="009A3FC7"/>
    <w:rsid w:val="009B22ED"/>
    <w:rsid w:val="009B2C0B"/>
    <w:rsid w:val="009C00A0"/>
    <w:rsid w:val="009C0313"/>
    <w:rsid w:val="009D07E2"/>
    <w:rsid w:val="009D36B8"/>
    <w:rsid w:val="009D49BE"/>
    <w:rsid w:val="009D57DB"/>
    <w:rsid w:val="009D59FC"/>
    <w:rsid w:val="009E0861"/>
    <w:rsid w:val="009E0F2E"/>
    <w:rsid w:val="009E30F4"/>
    <w:rsid w:val="009E41F7"/>
    <w:rsid w:val="009E704F"/>
    <w:rsid w:val="009E79EC"/>
    <w:rsid w:val="009E7CE1"/>
    <w:rsid w:val="009F6E4A"/>
    <w:rsid w:val="00A00324"/>
    <w:rsid w:val="00A17FF9"/>
    <w:rsid w:val="00A32FAF"/>
    <w:rsid w:val="00A364BA"/>
    <w:rsid w:val="00A40629"/>
    <w:rsid w:val="00A42B23"/>
    <w:rsid w:val="00A5061A"/>
    <w:rsid w:val="00A55B1D"/>
    <w:rsid w:val="00A5658F"/>
    <w:rsid w:val="00A608BE"/>
    <w:rsid w:val="00A67498"/>
    <w:rsid w:val="00A742D1"/>
    <w:rsid w:val="00A74475"/>
    <w:rsid w:val="00A8746F"/>
    <w:rsid w:val="00A87924"/>
    <w:rsid w:val="00A96933"/>
    <w:rsid w:val="00AA090B"/>
    <w:rsid w:val="00AA3A4D"/>
    <w:rsid w:val="00AB3E26"/>
    <w:rsid w:val="00AB43A0"/>
    <w:rsid w:val="00AC333A"/>
    <w:rsid w:val="00AC798F"/>
    <w:rsid w:val="00AD25D5"/>
    <w:rsid w:val="00AE0B64"/>
    <w:rsid w:val="00AE1F39"/>
    <w:rsid w:val="00AE62A9"/>
    <w:rsid w:val="00AF3B6B"/>
    <w:rsid w:val="00AF457A"/>
    <w:rsid w:val="00B040B6"/>
    <w:rsid w:val="00B068A1"/>
    <w:rsid w:val="00B15FE7"/>
    <w:rsid w:val="00B263C5"/>
    <w:rsid w:val="00B34F83"/>
    <w:rsid w:val="00B42C85"/>
    <w:rsid w:val="00B45295"/>
    <w:rsid w:val="00B6587C"/>
    <w:rsid w:val="00B67355"/>
    <w:rsid w:val="00B7176A"/>
    <w:rsid w:val="00B7393F"/>
    <w:rsid w:val="00B761B1"/>
    <w:rsid w:val="00B9745A"/>
    <w:rsid w:val="00BA5A39"/>
    <w:rsid w:val="00BB0601"/>
    <w:rsid w:val="00BB6EE3"/>
    <w:rsid w:val="00BC4882"/>
    <w:rsid w:val="00BC55D2"/>
    <w:rsid w:val="00BD06FC"/>
    <w:rsid w:val="00BD4705"/>
    <w:rsid w:val="00BD5DBE"/>
    <w:rsid w:val="00BE274B"/>
    <w:rsid w:val="00BE3564"/>
    <w:rsid w:val="00BE6575"/>
    <w:rsid w:val="00BE7F49"/>
    <w:rsid w:val="00BF1384"/>
    <w:rsid w:val="00BF177B"/>
    <w:rsid w:val="00C0131C"/>
    <w:rsid w:val="00C0357E"/>
    <w:rsid w:val="00C0425F"/>
    <w:rsid w:val="00C044FA"/>
    <w:rsid w:val="00C056BD"/>
    <w:rsid w:val="00C14D5C"/>
    <w:rsid w:val="00C30FD6"/>
    <w:rsid w:val="00C31FEE"/>
    <w:rsid w:val="00C53E95"/>
    <w:rsid w:val="00C543A5"/>
    <w:rsid w:val="00C54625"/>
    <w:rsid w:val="00C55FFC"/>
    <w:rsid w:val="00C57E29"/>
    <w:rsid w:val="00C623B1"/>
    <w:rsid w:val="00C67608"/>
    <w:rsid w:val="00C75CE0"/>
    <w:rsid w:val="00C85E39"/>
    <w:rsid w:val="00C960BB"/>
    <w:rsid w:val="00CA7627"/>
    <w:rsid w:val="00CC1DA0"/>
    <w:rsid w:val="00CC66DA"/>
    <w:rsid w:val="00CC68E1"/>
    <w:rsid w:val="00CD17C6"/>
    <w:rsid w:val="00CD4339"/>
    <w:rsid w:val="00CD6D1C"/>
    <w:rsid w:val="00CE343C"/>
    <w:rsid w:val="00CE50F9"/>
    <w:rsid w:val="00CE657A"/>
    <w:rsid w:val="00CE747B"/>
    <w:rsid w:val="00CF11EE"/>
    <w:rsid w:val="00D02D93"/>
    <w:rsid w:val="00D05740"/>
    <w:rsid w:val="00D13875"/>
    <w:rsid w:val="00D15D07"/>
    <w:rsid w:val="00D160F2"/>
    <w:rsid w:val="00D32C2C"/>
    <w:rsid w:val="00D357E1"/>
    <w:rsid w:val="00D368A8"/>
    <w:rsid w:val="00D378C3"/>
    <w:rsid w:val="00D37CDC"/>
    <w:rsid w:val="00D45BDF"/>
    <w:rsid w:val="00D50D8F"/>
    <w:rsid w:val="00D51426"/>
    <w:rsid w:val="00D55429"/>
    <w:rsid w:val="00D62313"/>
    <w:rsid w:val="00D65D0C"/>
    <w:rsid w:val="00D666D4"/>
    <w:rsid w:val="00D7239D"/>
    <w:rsid w:val="00D75FAE"/>
    <w:rsid w:val="00D77F63"/>
    <w:rsid w:val="00D9114A"/>
    <w:rsid w:val="00D96166"/>
    <w:rsid w:val="00DA11C0"/>
    <w:rsid w:val="00DA3468"/>
    <w:rsid w:val="00DB1585"/>
    <w:rsid w:val="00DC0586"/>
    <w:rsid w:val="00DC4A9C"/>
    <w:rsid w:val="00DD2991"/>
    <w:rsid w:val="00DE14A1"/>
    <w:rsid w:val="00DF30C7"/>
    <w:rsid w:val="00DF47E7"/>
    <w:rsid w:val="00DF6CA0"/>
    <w:rsid w:val="00E00FC8"/>
    <w:rsid w:val="00E030BC"/>
    <w:rsid w:val="00E11DB1"/>
    <w:rsid w:val="00E145E1"/>
    <w:rsid w:val="00E2040D"/>
    <w:rsid w:val="00E26123"/>
    <w:rsid w:val="00E26AC4"/>
    <w:rsid w:val="00E26DFC"/>
    <w:rsid w:val="00E34559"/>
    <w:rsid w:val="00E345D1"/>
    <w:rsid w:val="00E41481"/>
    <w:rsid w:val="00E416F8"/>
    <w:rsid w:val="00E45036"/>
    <w:rsid w:val="00E472AD"/>
    <w:rsid w:val="00E5412C"/>
    <w:rsid w:val="00E656C1"/>
    <w:rsid w:val="00E73BB6"/>
    <w:rsid w:val="00E7538D"/>
    <w:rsid w:val="00E82D9C"/>
    <w:rsid w:val="00E82F77"/>
    <w:rsid w:val="00E83683"/>
    <w:rsid w:val="00E8492D"/>
    <w:rsid w:val="00E93F81"/>
    <w:rsid w:val="00EA6540"/>
    <w:rsid w:val="00EA7E26"/>
    <w:rsid w:val="00EB6EEA"/>
    <w:rsid w:val="00EB7128"/>
    <w:rsid w:val="00EB72AB"/>
    <w:rsid w:val="00EC6DDF"/>
    <w:rsid w:val="00EE29F6"/>
    <w:rsid w:val="00EF482C"/>
    <w:rsid w:val="00F011F6"/>
    <w:rsid w:val="00F0218F"/>
    <w:rsid w:val="00F12E63"/>
    <w:rsid w:val="00F14384"/>
    <w:rsid w:val="00F17F34"/>
    <w:rsid w:val="00F2424F"/>
    <w:rsid w:val="00F3298A"/>
    <w:rsid w:val="00F32B83"/>
    <w:rsid w:val="00F36E2D"/>
    <w:rsid w:val="00F4155E"/>
    <w:rsid w:val="00F41611"/>
    <w:rsid w:val="00F421EC"/>
    <w:rsid w:val="00F43ECC"/>
    <w:rsid w:val="00F60843"/>
    <w:rsid w:val="00F86573"/>
    <w:rsid w:val="00FA177C"/>
    <w:rsid w:val="00FA3D79"/>
    <w:rsid w:val="00FA7DC0"/>
    <w:rsid w:val="00FB3044"/>
    <w:rsid w:val="00FB3400"/>
    <w:rsid w:val="00FB59D6"/>
    <w:rsid w:val="00FB5C13"/>
    <w:rsid w:val="00FC051E"/>
    <w:rsid w:val="00FC1D9D"/>
    <w:rsid w:val="00FC1F32"/>
    <w:rsid w:val="00FC4F8B"/>
    <w:rsid w:val="00FC57A4"/>
    <w:rsid w:val="00FD1849"/>
    <w:rsid w:val="00FD3150"/>
    <w:rsid w:val="00FD530D"/>
    <w:rsid w:val="00FE322A"/>
    <w:rsid w:val="00FE42D2"/>
    <w:rsid w:val="00FE73F3"/>
    <w:rsid w:val="00FF1F13"/>
    <w:rsid w:val="00FF22F6"/>
    <w:rsid w:val="00FF2EC5"/>
    <w:rsid w:val="00FF60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73A751"/>
  <w15:docId w15:val="{C05CBA83-0314-4E17-A4C9-4E84278E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6CE"/>
  </w:style>
  <w:style w:type="paragraph" w:styleId="Ttulo2">
    <w:name w:val="heading 2"/>
    <w:basedOn w:val="Normal"/>
    <w:next w:val="Normal"/>
    <w:link w:val="Ttulo2Car"/>
    <w:uiPriority w:val="9"/>
    <w:unhideWhenUsed/>
    <w:qFormat/>
    <w:rsid w:val="00332256"/>
    <w:pPr>
      <w:keepNext/>
      <w:keepLines/>
      <w:spacing w:before="40" w:after="0"/>
      <w:outlineLvl w:val="1"/>
    </w:pPr>
    <w:rPr>
      <w:rFonts w:ascii="Palatino Linotype" w:eastAsiaTheme="majorEastAsia" w:hAnsi="Palatino Linotype" w:cstheme="majorBidi"/>
      <w:b/>
      <w:color w:val="000000" w:themeColor="text1"/>
      <w:sz w:val="24"/>
      <w:szCs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5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uiPriority w:val="22"/>
    <w:qFormat/>
    <w:rsid w:val="00082543"/>
    <w:rPr>
      <w:b/>
      <w:bCs/>
    </w:rPr>
  </w:style>
  <w:style w:type="character" w:styleId="Refdecomentario">
    <w:name w:val="annotation reference"/>
    <w:basedOn w:val="Fuentedeprrafopredeter"/>
    <w:uiPriority w:val="99"/>
    <w:semiHidden/>
    <w:unhideWhenUsed/>
    <w:rsid w:val="00C056BD"/>
    <w:rPr>
      <w:sz w:val="16"/>
      <w:szCs w:val="16"/>
    </w:rPr>
  </w:style>
  <w:style w:type="paragraph" w:styleId="Textocomentario">
    <w:name w:val="annotation text"/>
    <w:basedOn w:val="Normal"/>
    <w:link w:val="TextocomentarioCar"/>
    <w:uiPriority w:val="99"/>
    <w:semiHidden/>
    <w:unhideWhenUsed/>
    <w:rsid w:val="00C056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056BD"/>
    <w:rPr>
      <w:sz w:val="20"/>
      <w:szCs w:val="20"/>
    </w:rPr>
  </w:style>
  <w:style w:type="paragraph" w:styleId="Asuntodelcomentario">
    <w:name w:val="annotation subject"/>
    <w:basedOn w:val="Textocomentario"/>
    <w:next w:val="Textocomentario"/>
    <w:link w:val="AsuntodelcomentarioCar"/>
    <w:uiPriority w:val="99"/>
    <w:semiHidden/>
    <w:unhideWhenUsed/>
    <w:rsid w:val="00C056BD"/>
    <w:rPr>
      <w:b/>
      <w:bCs/>
    </w:rPr>
  </w:style>
  <w:style w:type="character" w:customStyle="1" w:styleId="AsuntodelcomentarioCar">
    <w:name w:val="Asunto del comentario Car"/>
    <w:basedOn w:val="TextocomentarioCar"/>
    <w:link w:val="Asuntodelcomentario"/>
    <w:uiPriority w:val="99"/>
    <w:semiHidden/>
    <w:rsid w:val="00C056BD"/>
    <w:rPr>
      <w:b/>
      <w:bCs/>
      <w:sz w:val="20"/>
      <w:szCs w:val="20"/>
    </w:rPr>
  </w:style>
  <w:style w:type="character" w:customStyle="1" w:styleId="Ttulo2Car">
    <w:name w:val="Título 2 Car"/>
    <w:basedOn w:val="Fuentedeprrafopredeter"/>
    <w:link w:val="Ttulo2"/>
    <w:uiPriority w:val="9"/>
    <w:rsid w:val="00332256"/>
    <w:rPr>
      <w:rFonts w:ascii="Palatino Linotype" w:eastAsiaTheme="majorEastAsia" w:hAnsi="Palatino Linotype" w:cstheme="majorBidi"/>
      <w:b/>
      <w:color w:val="000000" w:themeColor="text1"/>
      <w:sz w:val="24"/>
      <w:szCs w:val="26"/>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2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48486">
      <w:bodyDiv w:val="1"/>
      <w:marLeft w:val="0"/>
      <w:marRight w:val="0"/>
      <w:marTop w:val="0"/>
      <w:marBottom w:val="0"/>
      <w:divBdr>
        <w:top w:val="none" w:sz="0" w:space="0" w:color="auto"/>
        <w:left w:val="none" w:sz="0" w:space="0" w:color="auto"/>
        <w:bottom w:val="none" w:sz="0" w:space="0" w:color="auto"/>
        <w:right w:val="none" w:sz="0" w:space="0" w:color="auto"/>
      </w:divBdr>
    </w:div>
    <w:div w:id="123234365">
      <w:bodyDiv w:val="1"/>
      <w:marLeft w:val="0"/>
      <w:marRight w:val="0"/>
      <w:marTop w:val="0"/>
      <w:marBottom w:val="0"/>
      <w:divBdr>
        <w:top w:val="none" w:sz="0" w:space="0" w:color="auto"/>
        <w:left w:val="none" w:sz="0" w:space="0" w:color="auto"/>
        <w:bottom w:val="none" w:sz="0" w:space="0" w:color="auto"/>
        <w:right w:val="none" w:sz="0" w:space="0" w:color="auto"/>
      </w:divBdr>
    </w:div>
    <w:div w:id="269632363">
      <w:bodyDiv w:val="1"/>
      <w:marLeft w:val="0"/>
      <w:marRight w:val="0"/>
      <w:marTop w:val="0"/>
      <w:marBottom w:val="0"/>
      <w:divBdr>
        <w:top w:val="none" w:sz="0" w:space="0" w:color="auto"/>
        <w:left w:val="none" w:sz="0" w:space="0" w:color="auto"/>
        <w:bottom w:val="none" w:sz="0" w:space="0" w:color="auto"/>
        <w:right w:val="none" w:sz="0" w:space="0" w:color="auto"/>
      </w:divBdr>
    </w:div>
    <w:div w:id="577130131">
      <w:bodyDiv w:val="1"/>
      <w:marLeft w:val="0"/>
      <w:marRight w:val="0"/>
      <w:marTop w:val="0"/>
      <w:marBottom w:val="0"/>
      <w:divBdr>
        <w:top w:val="none" w:sz="0" w:space="0" w:color="auto"/>
        <w:left w:val="none" w:sz="0" w:space="0" w:color="auto"/>
        <w:bottom w:val="none" w:sz="0" w:space="0" w:color="auto"/>
        <w:right w:val="none" w:sz="0" w:space="0" w:color="auto"/>
      </w:divBdr>
    </w:div>
    <w:div w:id="641422420">
      <w:bodyDiv w:val="1"/>
      <w:marLeft w:val="0"/>
      <w:marRight w:val="0"/>
      <w:marTop w:val="0"/>
      <w:marBottom w:val="0"/>
      <w:divBdr>
        <w:top w:val="none" w:sz="0" w:space="0" w:color="auto"/>
        <w:left w:val="none" w:sz="0" w:space="0" w:color="auto"/>
        <w:bottom w:val="none" w:sz="0" w:space="0" w:color="auto"/>
        <w:right w:val="none" w:sz="0" w:space="0" w:color="auto"/>
      </w:divBdr>
    </w:div>
    <w:div w:id="668337122">
      <w:bodyDiv w:val="1"/>
      <w:marLeft w:val="0"/>
      <w:marRight w:val="0"/>
      <w:marTop w:val="0"/>
      <w:marBottom w:val="0"/>
      <w:divBdr>
        <w:top w:val="none" w:sz="0" w:space="0" w:color="auto"/>
        <w:left w:val="none" w:sz="0" w:space="0" w:color="auto"/>
        <w:bottom w:val="none" w:sz="0" w:space="0" w:color="auto"/>
        <w:right w:val="none" w:sz="0" w:space="0" w:color="auto"/>
      </w:divBdr>
    </w:div>
    <w:div w:id="728068848">
      <w:bodyDiv w:val="1"/>
      <w:marLeft w:val="0"/>
      <w:marRight w:val="0"/>
      <w:marTop w:val="0"/>
      <w:marBottom w:val="0"/>
      <w:divBdr>
        <w:top w:val="none" w:sz="0" w:space="0" w:color="auto"/>
        <w:left w:val="none" w:sz="0" w:space="0" w:color="auto"/>
        <w:bottom w:val="none" w:sz="0" w:space="0" w:color="auto"/>
        <w:right w:val="none" w:sz="0" w:space="0" w:color="auto"/>
      </w:divBdr>
    </w:div>
    <w:div w:id="751853112">
      <w:bodyDiv w:val="1"/>
      <w:marLeft w:val="0"/>
      <w:marRight w:val="0"/>
      <w:marTop w:val="0"/>
      <w:marBottom w:val="0"/>
      <w:divBdr>
        <w:top w:val="none" w:sz="0" w:space="0" w:color="auto"/>
        <w:left w:val="none" w:sz="0" w:space="0" w:color="auto"/>
        <w:bottom w:val="none" w:sz="0" w:space="0" w:color="auto"/>
        <w:right w:val="none" w:sz="0" w:space="0" w:color="auto"/>
      </w:divBdr>
    </w:div>
    <w:div w:id="1471048538">
      <w:bodyDiv w:val="1"/>
      <w:marLeft w:val="0"/>
      <w:marRight w:val="0"/>
      <w:marTop w:val="0"/>
      <w:marBottom w:val="0"/>
      <w:divBdr>
        <w:top w:val="none" w:sz="0" w:space="0" w:color="auto"/>
        <w:left w:val="none" w:sz="0" w:space="0" w:color="auto"/>
        <w:bottom w:val="none" w:sz="0" w:space="0" w:color="auto"/>
        <w:right w:val="none" w:sz="0" w:space="0" w:color="auto"/>
      </w:divBdr>
    </w:div>
    <w:div w:id="174976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F894E-B702-4F3A-B0AF-1978BAE43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3533</Words>
  <Characters>19434</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Sandra Ivette Razo De La Paz</cp:lastModifiedBy>
  <cp:revision>2</cp:revision>
  <cp:lastPrinted>2021-07-12T22:53:00Z</cp:lastPrinted>
  <dcterms:created xsi:type="dcterms:W3CDTF">2021-09-06T17:33:00Z</dcterms:created>
  <dcterms:modified xsi:type="dcterms:W3CDTF">2021-09-06T17:33:00Z</dcterms:modified>
</cp:coreProperties>
</file>