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E3227" w14:textId="3B9F54B1" w:rsidR="00D45CA3" w:rsidRDefault="00D45CA3" w:rsidP="005933D5">
      <w:pPr>
        <w:spacing w:line="360" w:lineRule="auto"/>
        <w:ind w:left="284"/>
        <w:jc w:val="both"/>
        <w:rPr>
          <w:rFonts w:ascii="Palatino Linotype" w:hAnsi="Palatino Linotype" w:cs="Arial"/>
          <w:b/>
        </w:rPr>
      </w:pPr>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174517">
        <w:rPr>
          <w:rFonts w:ascii="Palatino Linotype" w:hAnsi="Palatino Linotype" w:cs="Arial"/>
          <w:b/>
        </w:rPr>
        <w:t>03444</w:t>
      </w:r>
      <w:r w:rsidRPr="009565F9">
        <w:rPr>
          <w:rFonts w:ascii="Palatino Linotype" w:hAnsi="Palatino Linotype" w:cs="Arial"/>
          <w:b/>
        </w:rPr>
        <w:t>/INFOEM/IP/RR/202</w:t>
      </w:r>
      <w:r w:rsidR="005D2361" w:rsidRPr="009565F9">
        <w:rPr>
          <w:rFonts w:ascii="Palatino Linotype" w:hAnsi="Palatino Linotype" w:cs="Arial"/>
          <w:b/>
        </w:rPr>
        <w:t>1</w:t>
      </w:r>
      <w:r w:rsidRPr="009565F9">
        <w:rPr>
          <w:rFonts w:ascii="Palatino Linotype" w:hAnsi="Palatino Linotype" w:cs="Arial"/>
          <w:b/>
        </w:rPr>
        <w:t>.</w:t>
      </w:r>
    </w:p>
    <w:p w14:paraId="27DC139C" w14:textId="77777777" w:rsidR="00956560" w:rsidRPr="009565F9" w:rsidRDefault="00956560" w:rsidP="009565F9">
      <w:pPr>
        <w:spacing w:line="360" w:lineRule="auto"/>
        <w:jc w:val="both"/>
        <w:rPr>
          <w:rFonts w:ascii="Palatino Linotype" w:hAnsi="Palatino Linotype" w:cs="Arial"/>
          <w:b/>
        </w:rPr>
      </w:pPr>
    </w:p>
    <w:p w14:paraId="3B7C8DDE" w14:textId="711E737F" w:rsidR="001333C3" w:rsidRDefault="00956560" w:rsidP="001333C3">
      <w:pPr>
        <w:pStyle w:val="Prrafodelista"/>
        <w:spacing w:line="360" w:lineRule="auto"/>
        <w:ind w:left="284"/>
        <w:jc w:val="both"/>
        <w:rPr>
          <w:rFonts w:ascii="Palatino Linotype" w:hAnsi="Palatino Linotype" w:cs="Arial"/>
          <w:sz w:val="24"/>
          <w:szCs w:val="24"/>
        </w:rPr>
      </w:pPr>
      <w:r w:rsidRPr="005933D5">
        <w:rPr>
          <w:rFonts w:ascii="Palatino Linotype" w:hAnsi="Palatino Linotype" w:cs="Arial"/>
          <w:sz w:val="24"/>
          <w:szCs w:val="24"/>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EF6323">
        <w:rPr>
          <w:rFonts w:ascii="Palatino Linotype" w:hAnsi="Palatino Linotype" w:cs="Arial"/>
          <w:sz w:val="24"/>
          <w:szCs w:val="24"/>
        </w:rPr>
        <w:t xml:space="preserve">, </w:t>
      </w:r>
      <w:r w:rsidRPr="005933D5">
        <w:rPr>
          <w:rFonts w:ascii="Palatino Linotype" w:hAnsi="Palatino Linotype" w:cs="Arial"/>
          <w:sz w:val="24"/>
          <w:szCs w:val="24"/>
        </w:rPr>
        <w:t xml:space="preserve"> por no compartir en su totalidad las consideraciones que sustentan la Resolución del Recurso de Revisión 03444/INFOEM/IP/RR/2021, promovido en contra del Poder Judicial</w:t>
      </w:r>
      <w:r w:rsidR="00EF6323">
        <w:rPr>
          <w:rFonts w:ascii="Palatino Linotype" w:hAnsi="Palatino Linotype" w:cs="Arial"/>
          <w:sz w:val="24"/>
          <w:szCs w:val="24"/>
        </w:rPr>
        <w:t>; e</w:t>
      </w:r>
      <w:r w:rsidR="005933D5">
        <w:rPr>
          <w:rFonts w:ascii="Palatino Linotype" w:hAnsi="Palatino Linotype" w:cs="Arial"/>
          <w:sz w:val="24"/>
          <w:szCs w:val="24"/>
        </w:rPr>
        <w:t>llo en razón d</w:t>
      </w:r>
      <w:r w:rsidR="00B31562">
        <w:rPr>
          <w:rFonts w:ascii="Palatino Linotype" w:hAnsi="Palatino Linotype" w:cs="Arial"/>
          <w:sz w:val="24"/>
          <w:szCs w:val="24"/>
        </w:rPr>
        <w:t xml:space="preserve">e que, se solicitó un Acta de Sesión del Consejo de la Judicatura, </w:t>
      </w:r>
      <w:r w:rsidR="00E870FF">
        <w:rPr>
          <w:rFonts w:ascii="Palatino Linotype" w:hAnsi="Palatino Linotype" w:cs="Arial"/>
          <w:sz w:val="24"/>
          <w:szCs w:val="24"/>
        </w:rPr>
        <w:t xml:space="preserve">y </w:t>
      </w:r>
      <w:r w:rsidR="00B31562">
        <w:rPr>
          <w:rFonts w:ascii="Palatino Linotype" w:hAnsi="Palatino Linotype" w:cs="Arial"/>
          <w:sz w:val="24"/>
          <w:szCs w:val="24"/>
        </w:rPr>
        <w:t>dentro del estudio de la resolución se omitió</w:t>
      </w:r>
      <w:r w:rsidR="009B02C5">
        <w:rPr>
          <w:rFonts w:ascii="Palatino Linotype" w:hAnsi="Palatino Linotype" w:cs="Arial"/>
          <w:sz w:val="24"/>
          <w:szCs w:val="24"/>
        </w:rPr>
        <w:t xml:space="preserve"> abordar que la </w:t>
      </w:r>
      <w:r w:rsidR="00B31562">
        <w:rPr>
          <w:rFonts w:ascii="Palatino Linotype" w:hAnsi="Palatino Linotype" w:cs="Arial"/>
          <w:sz w:val="24"/>
          <w:szCs w:val="24"/>
        </w:rPr>
        <w:t xml:space="preserve">información solicitada se relaciona con un procedimiento de responsabilidad administrativa que recibió una sentencia absolutoria; </w:t>
      </w:r>
      <w:r w:rsidR="005933D5">
        <w:rPr>
          <w:rFonts w:ascii="Palatino Linotype" w:hAnsi="Palatino Linotype" w:cs="Arial"/>
          <w:sz w:val="24"/>
          <w:szCs w:val="24"/>
        </w:rPr>
        <w:t xml:space="preserve">por lo que </w:t>
      </w:r>
      <w:r w:rsidR="00B31562">
        <w:rPr>
          <w:rFonts w:ascii="Palatino Linotype" w:hAnsi="Palatino Linotype" w:cs="Arial"/>
          <w:sz w:val="24"/>
          <w:szCs w:val="24"/>
        </w:rPr>
        <w:t>se debió ordenar la entrega lo solicitado sin clasificar el</w:t>
      </w:r>
      <w:r w:rsidR="00290929" w:rsidRPr="009565F9">
        <w:rPr>
          <w:rFonts w:ascii="Palatino Linotype" w:hAnsi="Palatino Linotype" w:cs="Arial"/>
          <w:sz w:val="24"/>
          <w:szCs w:val="24"/>
        </w:rPr>
        <w:t xml:space="preserve"> nombre de</w:t>
      </w:r>
      <w:r w:rsidR="00B31562">
        <w:rPr>
          <w:rFonts w:ascii="Palatino Linotype" w:hAnsi="Palatino Linotype" w:cs="Arial"/>
          <w:sz w:val="24"/>
          <w:szCs w:val="24"/>
        </w:rPr>
        <w:t>l</w:t>
      </w:r>
      <w:r w:rsidR="00290929" w:rsidRPr="009565F9">
        <w:rPr>
          <w:rFonts w:ascii="Palatino Linotype" w:hAnsi="Palatino Linotype" w:cs="Arial"/>
          <w:sz w:val="24"/>
          <w:szCs w:val="24"/>
        </w:rPr>
        <w:t xml:space="preserve"> servidor público sujeto a</w:t>
      </w:r>
      <w:r w:rsidR="00B31562">
        <w:rPr>
          <w:rFonts w:ascii="Palatino Linotype" w:hAnsi="Palatino Linotype" w:cs="Arial"/>
          <w:sz w:val="24"/>
          <w:szCs w:val="24"/>
        </w:rPr>
        <w:t>l</w:t>
      </w:r>
      <w:r w:rsidR="00290929" w:rsidRPr="009565F9">
        <w:rPr>
          <w:rFonts w:ascii="Palatino Linotype" w:hAnsi="Palatino Linotype" w:cs="Arial"/>
          <w:sz w:val="24"/>
          <w:szCs w:val="24"/>
        </w:rPr>
        <w:t xml:space="preserve"> procedimiento administrativo concluido</w:t>
      </w:r>
      <w:r w:rsidR="00B31562">
        <w:rPr>
          <w:rFonts w:ascii="Palatino Linotype" w:hAnsi="Palatino Linotype" w:cs="Arial"/>
          <w:sz w:val="24"/>
          <w:szCs w:val="24"/>
        </w:rPr>
        <w:t xml:space="preserve">,  toda vez que </w:t>
      </w:r>
      <w:r w:rsidR="00290929" w:rsidRPr="009565F9">
        <w:rPr>
          <w:rFonts w:ascii="Palatino Linotype" w:hAnsi="Palatino Linotype" w:cs="Arial"/>
          <w:sz w:val="24"/>
          <w:szCs w:val="24"/>
        </w:rPr>
        <w:t>es información pública.</w:t>
      </w:r>
    </w:p>
    <w:p w14:paraId="3068E5D7" w14:textId="77777777" w:rsidR="001333C3" w:rsidRDefault="001333C3" w:rsidP="001333C3">
      <w:pPr>
        <w:pStyle w:val="Prrafodelista"/>
        <w:spacing w:line="360" w:lineRule="auto"/>
        <w:ind w:left="284"/>
        <w:jc w:val="both"/>
        <w:rPr>
          <w:rFonts w:ascii="Palatino Linotype" w:hAnsi="Palatino Linotype" w:cs="Arial"/>
          <w:sz w:val="24"/>
          <w:szCs w:val="24"/>
        </w:rPr>
      </w:pPr>
    </w:p>
    <w:p w14:paraId="3B67607A" w14:textId="43462BA4" w:rsidR="00B31562" w:rsidRDefault="001333C3" w:rsidP="001333C3">
      <w:pPr>
        <w:pStyle w:val="Prrafodelista"/>
        <w:spacing w:line="360" w:lineRule="auto"/>
        <w:ind w:left="284"/>
        <w:jc w:val="both"/>
        <w:rPr>
          <w:rFonts w:ascii="Palatino Linotype" w:eastAsiaTheme="majorEastAsia" w:hAnsi="Palatino Linotype" w:cstheme="majorBidi"/>
          <w:sz w:val="24"/>
          <w:szCs w:val="24"/>
        </w:rPr>
      </w:pPr>
      <w:r>
        <w:rPr>
          <w:rFonts w:ascii="Palatino Linotype" w:hAnsi="Palatino Linotype" w:cs="Arial"/>
          <w:sz w:val="24"/>
          <w:szCs w:val="24"/>
        </w:rPr>
        <w:t>A</w:t>
      </w:r>
      <w:r w:rsidR="00B31562" w:rsidRPr="001333C3">
        <w:rPr>
          <w:rFonts w:ascii="Palatino Linotype" w:eastAsiaTheme="majorEastAsia" w:hAnsi="Palatino Linotype" w:cstheme="majorBidi"/>
          <w:sz w:val="24"/>
          <w:szCs w:val="24"/>
        </w:rPr>
        <w:t xml:space="preserve"> través de la solicitud de información </w:t>
      </w:r>
      <w:r w:rsidR="00B31562" w:rsidRPr="001333C3">
        <w:rPr>
          <w:rFonts w:ascii="Palatino Linotype" w:eastAsiaTheme="majorEastAsia" w:hAnsi="Palatino Linotype" w:cstheme="majorBidi"/>
          <w:b/>
          <w:sz w:val="24"/>
          <w:szCs w:val="24"/>
        </w:rPr>
        <w:t>00467/PJUDICI/IP/2021</w:t>
      </w:r>
      <w:r w:rsidR="00B31562" w:rsidRPr="001333C3">
        <w:rPr>
          <w:rFonts w:ascii="Palatino Linotype" w:eastAsiaTheme="majorEastAsia" w:hAnsi="Palatino Linotype" w:cstheme="majorBidi"/>
          <w:sz w:val="24"/>
          <w:szCs w:val="24"/>
        </w:rPr>
        <w:t xml:space="preserve">, se requirió al </w:t>
      </w:r>
      <w:r w:rsidR="00B31562" w:rsidRPr="001333C3">
        <w:rPr>
          <w:rFonts w:ascii="Palatino Linotype" w:eastAsiaTheme="majorEastAsia" w:hAnsi="Palatino Linotype" w:cstheme="majorBidi"/>
          <w:b/>
          <w:sz w:val="24"/>
          <w:szCs w:val="24"/>
        </w:rPr>
        <w:t>Poder Judicial</w:t>
      </w:r>
      <w:r w:rsidR="00B31562" w:rsidRPr="001333C3">
        <w:rPr>
          <w:rFonts w:ascii="Palatino Linotype" w:eastAsiaTheme="majorEastAsia" w:hAnsi="Palatino Linotype" w:cstheme="majorBidi"/>
          <w:sz w:val="24"/>
          <w:szCs w:val="24"/>
        </w:rPr>
        <w:t>, a modo desagregado, el Acta de la Sesión del Consejo de la Judicatura en la que se aprobó la resolución emitida en un procedimiento de responsabilidad administrativa específico.</w:t>
      </w:r>
    </w:p>
    <w:p w14:paraId="6114ED72" w14:textId="77777777" w:rsidR="00C64AB2" w:rsidRPr="001333C3" w:rsidRDefault="00C64AB2" w:rsidP="001333C3">
      <w:pPr>
        <w:pStyle w:val="Prrafodelista"/>
        <w:spacing w:line="360" w:lineRule="auto"/>
        <w:ind w:left="284"/>
        <w:jc w:val="both"/>
        <w:rPr>
          <w:rFonts w:ascii="Palatino Linotype" w:eastAsia="Calibri" w:hAnsi="Palatino Linotype" w:cs="Arial"/>
          <w:bCs/>
          <w:i/>
          <w:sz w:val="24"/>
          <w:szCs w:val="24"/>
          <w:lang w:val="es-ES"/>
        </w:rPr>
      </w:pPr>
    </w:p>
    <w:p w14:paraId="07ED00F7" w14:textId="529D9411" w:rsidR="00B31562" w:rsidRPr="00B31562" w:rsidRDefault="00B31562" w:rsidP="00EF6323">
      <w:pPr>
        <w:pStyle w:val="Prrafodelista"/>
        <w:tabs>
          <w:tab w:val="left" w:pos="7938"/>
        </w:tabs>
        <w:spacing w:line="360" w:lineRule="auto"/>
        <w:ind w:left="284" w:right="49"/>
        <w:jc w:val="both"/>
        <w:rPr>
          <w:rFonts w:ascii="Palatino Linotype" w:eastAsia="Calibri" w:hAnsi="Palatino Linotype" w:cs="Arial"/>
          <w:bCs/>
          <w:i/>
          <w:sz w:val="24"/>
          <w:szCs w:val="24"/>
          <w:lang w:val="es-ES"/>
        </w:rPr>
      </w:pPr>
      <w:r>
        <w:rPr>
          <w:rFonts w:ascii="Palatino Linotype" w:eastAsiaTheme="majorEastAsia" w:hAnsi="Palatino Linotype" w:cstheme="majorBidi"/>
          <w:sz w:val="24"/>
          <w:szCs w:val="24"/>
        </w:rPr>
        <w:lastRenderedPageBreak/>
        <w:t xml:space="preserve">En </w:t>
      </w:r>
      <w:r w:rsidR="002F0634">
        <w:rPr>
          <w:rFonts w:ascii="Palatino Linotype" w:eastAsiaTheme="majorEastAsia" w:hAnsi="Palatino Linotype" w:cstheme="majorBidi"/>
          <w:sz w:val="24"/>
          <w:szCs w:val="24"/>
        </w:rPr>
        <w:t xml:space="preserve">respuesta a la solicitud, el </w:t>
      </w:r>
      <w:r w:rsidR="002F0634">
        <w:rPr>
          <w:rFonts w:ascii="Palatino Linotype" w:eastAsiaTheme="majorEastAsia" w:hAnsi="Palatino Linotype" w:cstheme="majorBidi"/>
          <w:b/>
          <w:sz w:val="24"/>
          <w:szCs w:val="24"/>
        </w:rPr>
        <w:t>SUJETO OBLIGADO</w:t>
      </w:r>
      <w:r w:rsidR="002F0634">
        <w:rPr>
          <w:rFonts w:ascii="Palatino Linotype" w:eastAsiaTheme="majorEastAsia" w:hAnsi="Palatino Linotype" w:cstheme="majorBidi"/>
          <w:sz w:val="24"/>
          <w:szCs w:val="24"/>
        </w:rPr>
        <w:t xml:space="preserve"> entregó un documento signado por la Secretaria General de Acuerdos del Tribunal Superior de Justicia y del Consejo de la Judicatura, por medio del cual, certifica que en el Acta de la Sesión Ordinaria del Pleno del Consejo de la Judicatura, de veintiséis (26) de abril de dos mil veintiuno, se estimó que </w:t>
      </w:r>
      <w:r w:rsidR="002F0634" w:rsidRPr="002F0634">
        <w:rPr>
          <w:rFonts w:ascii="Palatino Linotype" w:eastAsiaTheme="majorEastAsia" w:hAnsi="Palatino Linotype" w:cstheme="majorBidi"/>
          <w:b/>
          <w:sz w:val="24"/>
          <w:szCs w:val="24"/>
        </w:rPr>
        <w:t>no</w:t>
      </w:r>
      <w:r w:rsidR="002F0634">
        <w:rPr>
          <w:rFonts w:ascii="Palatino Linotype" w:eastAsiaTheme="majorEastAsia" w:hAnsi="Palatino Linotype" w:cstheme="majorBidi"/>
          <w:sz w:val="24"/>
          <w:szCs w:val="24"/>
        </w:rPr>
        <w:t xml:space="preserve"> existía responsabilidad administrativa cometida por parte de una Servidora Judicial dentro del expediente con número indicado por el particular.</w:t>
      </w:r>
    </w:p>
    <w:p w14:paraId="2F7524DE" w14:textId="77777777" w:rsidR="00B31562" w:rsidRPr="00B31562" w:rsidRDefault="00B31562" w:rsidP="00EF6323">
      <w:pPr>
        <w:pStyle w:val="Prrafodelista"/>
        <w:tabs>
          <w:tab w:val="left" w:pos="7938"/>
        </w:tabs>
        <w:spacing w:line="360" w:lineRule="auto"/>
        <w:ind w:left="284" w:right="49"/>
        <w:jc w:val="both"/>
        <w:rPr>
          <w:rFonts w:ascii="Palatino Linotype" w:eastAsia="Calibri" w:hAnsi="Palatino Linotype" w:cs="Arial"/>
          <w:bCs/>
          <w:i/>
          <w:sz w:val="24"/>
          <w:szCs w:val="24"/>
          <w:lang w:val="es-ES"/>
        </w:rPr>
      </w:pPr>
    </w:p>
    <w:p w14:paraId="3C441B44" w14:textId="7AE61AFB" w:rsidR="00B31562" w:rsidRDefault="002F0634" w:rsidP="00EF6323">
      <w:pPr>
        <w:pStyle w:val="Prrafodelista"/>
        <w:tabs>
          <w:tab w:val="left" w:pos="7938"/>
        </w:tabs>
        <w:spacing w:line="360" w:lineRule="auto"/>
        <w:ind w:left="284" w:right="49"/>
        <w:jc w:val="both"/>
        <w:rPr>
          <w:rFonts w:ascii="Palatino Linotype" w:eastAsiaTheme="majorEastAsia" w:hAnsi="Palatino Linotype" w:cstheme="majorBidi"/>
          <w:sz w:val="24"/>
          <w:szCs w:val="24"/>
        </w:rPr>
      </w:pPr>
      <w:r>
        <w:rPr>
          <w:rFonts w:ascii="Palatino Linotype" w:eastAsiaTheme="majorEastAsia" w:hAnsi="Palatino Linotype" w:cstheme="majorBidi"/>
          <w:sz w:val="24"/>
          <w:szCs w:val="24"/>
        </w:rPr>
        <w:t xml:space="preserve">Dentro del estudio de la resolución, la Ponencia Resolutora se ciñó únicamente en establecer la competencia del </w:t>
      </w:r>
      <w:r>
        <w:rPr>
          <w:rFonts w:ascii="Palatino Linotype" w:eastAsiaTheme="majorEastAsia" w:hAnsi="Palatino Linotype" w:cstheme="majorBidi"/>
          <w:b/>
          <w:sz w:val="24"/>
          <w:szCs w:val="24"/>
        </w:rPr>
        <w:t>SUJETO OBLIGADO</w:t>
      </w:r>
      <w:r>
        <w:rPr>
          <w:rFonts w:ascii="Palatino Linotype" w:eastAsiaTheme="majorEastAsia" w:hAnsi="Palatino Linotype" w:cstheme="majorBidi"/>
          <w:sz w:val="24"/>
          <w:szCs w:val="24"/>
        </w:rPr>
        <w:t xml:space="preserve"> para poseer, generar y administrar el Acta de la Sesión del Pleno del Consejo de la Judicatura, por lo que ordenó su entrega en versión pública, sin analizar la naturaleza de la información solicitada; o inclusive, el marco legal que engloba al procedimiento de</w:t>
      </w:r>
      <w:r w:rsidR="00E870FF">
        <w:rPr>
          <w:rFonts w:ascii="Palatino Linotype" w:eastAsiaTheme="majorEastAsia" w:hAnsi="Palatino Linotype" w:cstheme="majorBidi"/>
          <w:sz w:val="24"/>
          <w:szCs w:val="24"/>
        </w:rPr>
        <w:t xml:space="preserve"> responsabilidad administrativa, a pesar de  que en el documento solicitado el Acta de la Sesión Ordinaria del Pleno del Consejo de la Judicatura, de veintiséis (26) de abril de dos mil veintiuno, se estimó que </w:t>
      </w:r>
      <w:r w:rsidR="00E870FF" w:rsidRPr="002F0634">
        <w:rPr>
          <w:rFonts w:ascii="Palatino Linotype" w:eastAsiaTheme="majorEastAsia" w:hAnsi="Palatino Linotype" w:cstheme="majorBidi"/>
          <w:b/>
          <w:sz w:val="24"/>
          <w:szCs w:val="24"/>
        </w:rPr>
        <w:t>no</w:t>
      </w:r>
      <w:r w:rsidR="00E870FF">
        <w:rPr>
          <w:rFonts w:ascii="Palatino Linotype" w:eastAsiaTheme="majorEastAsia" w:hAnsi="Palatino Linotype" w:cstheme="majorBidi"/>
          <w:sz w:val="24"/>
          <w:szCs w:val="24"/>
        </w:rPr>
        <w:t xml:space="preserve"> existía responsabilidad administrativa cometida por parte de una Servidora Judicial, </w:t>
      </w:r>
      <w:r w:rsidR="00E870FF">
        <w:rPr>
          <w:rFonts w:ascii="Palatino Linotype" w:hAnsi="Palatino Linotype" w:cs="Arial"/>
          <w:sz w:val="24"/>
          <w:szCs w:val="24"/>
        </w:rPr>
        <w:t>por lo que debió ordenar la entrega lo solicitado sin clasificar el</w:t>
      </w:r>
      <w:r w:rsidR="00E870FF" w:rsidRPr="009565F9">
        <w:rPr>
          <w:rFonts w:ascii="Palatino Linotype" w:hAnsi="Palatino Linotype" w:cs="Arial"/>
          <w:sz w:val="24"/>
          <w:szCs w:val="24"/>
        </w:rPr>
        <w:t xml:space="preserve"> nombre de</w:t>
      </w:r>
      <w:r w:rsidR="00E870FF">
        <w:rPr>
          <w:rFonts w:ascii="Palatino Linotype" w:hAnsi="Palatino Linotype" w:cs="Arial"/>
          <w:sz w:val="24"/>
          <w:szCs w:val="24"/>
        </w:rPr>
        <w:t>l</w:t>
      </w:r>
      <w:r w:rsidR="00E870FF" w:rsidRPr="009565F9">
        <w:rPr>
          <w:rFonts w:ascii="Palatino Linotype" w:hAnsi="Palatino Linotype" w:cs="Arial"/>
          <w:sz w:val="24"/>
          <w:szCs w:val="24"/>
        </w:rPr>
        <w:t xml:space="preserve"> servidor público sujeto a</w:t>
      </w:r>
      <w:r w:rsidR="00E870FF">
        <w:rPr>
          <w:rFonts w:ascii="Palatino Linotype" w:hAnsi="Palatino Linotype" w:cs="Arial"/>
          <w:sz w:val="24"/>
          <w:szCs w:val="24"/>
        </w:rPr>
        <w:t>l</w:t>
      </w:r>
      <w:r w:rsidR="00E870FF" w:rsidRPr="009565F9">
        <w:rPr>
          <w:rFonts w:ascii="Palatino Linotype" w:hAnsi="Palatino Linotype" w:cs="Arial"/>
          <w:sz w:val="24"/>
          <w:szCs w:val="24"/>
        </w:rPr>
        <w:t xml:space="preserve"> procedimiento administrativo concluido</w:t>
      </w:r>
      <w:r w:rsidR="00E870FF">
        <w:rPr>
          <w:rFonts w:ascii="Palatino Linotype" w:hAnsi="Palatino Linotype" w:cs="Arial"/>
          <w:sz w:val="24"/>
          <w:szCs w:val="24"/>
        </w:rPr>
        <w:t>.</w:t>
      </w:r>
    </w:p>
    <w:p w14:paraId="053480EE" w14:textId="77777777" w:rsidR="001333C3" w:rsidRDefault="001333C3" w:rsidP="00EF6323">
      <w:pPr>
        <w:pStyle w:val="Prrafodelista"/>
        <w:tabs>
          <w:tab w:val="left" w:pos="7938"/>
        </w:tabs>
        <w:spacing w:line="360" w:lineRule="auto"/>
        <w:ind w:left="284" w:right="49"/>
        <w:jc w:val="both"/>
        <w:rPr>
          <w:rFonts w:ascii="Palatino Linotype" w:eastAsiaTheme="majorEastAsia" w:hAnsi="Palatino Linotype" w:cstheme="majorBidi"/>
          <w:sz w:val="24"/>
          <w:szCs w:val="24"/>
        </w:rPr>
      </w:pPr>
    </w:p>
    <w:p w14:paraId="2DEDC2F2" w14:textId="14D2CD86" w:rsidR="00912C77" w:rsidRPr="009565F9" w:rsidRDefault="00E870FF"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Pr>
          <w:rFonts w:ascii="Palatino Linotype" w:hAnsi="Palatino Linotype"/>
          <w:sz w:val="24"/>
          <w:szCs w:val="24"/>
        </w:rPr>
        <w:t>Toda vez que  l</w:t>
      </w:r>
      <w:r w:rsidR="00912C77" w:rsidRPr="009565F9">
        <w:rPr>
          <w:rFonts w:ascii="Palatino Linotype" w:hAnsi="Palatino Linotype"/>
          <w:sz w:val="24"/>
          <w:szCs w:val="24"/>
        </w:rPr>
        <w:t xml:space="preserve">as </w:t>
      </w:r>
      <w:r w:rsidR="00A02002" w:rsidRPr="009565F9">
        <w:rPr>
          <w:rFonts w:ascii="Palatino Linotype" w:hAnsi="Palatino Linotype"/>
          <w:sz w:val="24"/>
          <w:szCs w:val="24"/>
        </w:rPr>
        <w:t xml:space="preserve">determinaciones en donde la conducta investigada no fue contraria en derecho; </w:t>
      </w:r>
      <w:r w:rsidR="00912C77" w:rsidRPr="009565F9">
        <w:rPr>
          <w:rFonts w:ascii="Palatino Linotype" w:hAnsi="Palatino Linotype"/>
          <w:sz w:val="24"/>
          <w:szCs w:val="24"/>
        </w:rPr>
        <w:t xml:space="preserve">donde se </w:t>
      </w:r>
      <w:r w:rsidR="00A02002" w:rsidRPr="009565F9">
        <w:rPr>
          <w:rFonts w:ascii="Palatino Linotype" w:hAnsi="Palatino Linotype"/>
          <w:sz w:val="24"/>
          <w:szCs w:val="24"/>
        </w:rPr>
        <w:t>logra apreciar los elementos y las circunstancias que llevaron a concluir que a l</w:t>
      </w:r>
      <w:r w:rsidR="00912C77" w:rsidRPr="009565F9">
        <w:rPr>
          <w:rFonts w:ascii="Palatino Linotype" w:hAnsi="Palatino Linotype"/>
          <w:sz w:val="24"/>
          <w:szCs w:val="24"/>
        </w:rPr>
        <w:t>os servidores públicos</w:t>
      </w:r>
      <w:r w:rsidR="00A02002" w:rsidRPr="009565F9">
        <w:rPr>
          <w:rFonts w:ascii="Palatino Linotype" w:hAnsi="Palatino Linotype"/>
          <w:sz w:val="24"/>
          <w:szCs w:val="24"/>
        </w:rPr>
        <w:t>, no le eran imputables las conductas</w:t>
      </w:r>
      <w:r w:rsidR="00912C77" w:rsidRPr="009565F9">
        <w:rPr>
          <w:rFonts w:ascii="Palatino Linotype" w:hAnsi="Palatino Linotype"/>
          <w:sz w:val="24"/>
          <w:szCs w:val="24"/>
        </w:rPr>
        <w:t xml:space="preserve"> que se le atribuían, permite</w:t>
      </w:r>
      <w:r w:rsidR="00A02002" w:rsidRPr="009565F9">
        <w:rPr>
          <w:rFonts w:ascii="Palatino Linotype" w:hAnsi="Palatino Linotype"/>
          <w:sz w:val="24"/>
          <w:szCs w:val="24"/>
        </w:rPr>
        <w:t xml:space="preserve"> la rendición de cuentas del servidor público, pues se podría observar, que dicho </w:t>
      </w:r>
      <w:r w:rsidR="00A02002" w:rsidRPr="009565F9">
        <w:rPr>
          <w:rFonts w:ascii="Palatino Linotype" w:hAnsi="Palatino Linotype"/>
          <w:sz w:val="24"/>
          <w:szCs w:val="24"/>
        </w:rPr>
        <w:lastRenderedPageBreak/>
        <w:t xml:space="preserve">trabajador, </w:t>
      </w:r>
      <w:r w:rsidR="00912C77" w:rsidRPr="009565F9">
        <w:rPr>
          <w:rFonts w:ascii="Palatino Linotype" w:hAnsi="Palatino Linotype"/>
          <w:sz w:val="24"/>
          <w:szCs w:val="24"/>
        </w:rPr>
        <w:t>ha cumplido con sus obligaciones y no</w:t>
      </w:r>
      <w:r w:rsidR="00A02002" w:rsidRPr="009565F9">
        <w:rPr>
          <w:rFonts w:ascii="Palatino Linotype" w:hAnsi="Palatino Linotype"/>
          <w:sz w:val="24"/>
          <w:szCs w:val="24"/>
        </w:rPr>
        <w:t xml:space="preserve"> ha cometido actos irregulares y ha actuado conforme a las normatividad aplicable. </w:t>
      </w:r>
    </w:p>
    <w:p w14:paraId="1748B190" w14:textId="77777777" w:rsidR="00912C77" w:rsidRPr="009565F9" w:rsidRDefault="00912C77" w:rsidP="009565F9">
      <w:pPr>
        <w:pStyle w:val="Prrafodelista"/>
        <w:spacing w:before="100" w:beforeAutospacing="1" w:after="100" w:afterAutospacing="1" w:line="360" w:lineRule="auto"/>
        <w:ind w:left="567" w:hanging="425"/>
        <w:jc w:val="both"/>
        <w:rPr>
          <w:rFonts w:ascii="Palatino Linotype" w:eastAsia="Calibri" w:hAnsi="Palatino Linotype" w:cs="Arial"/>
          <w:sz w:val="24"/>
          <w:szCs w:val="24"/>
        </w:rPr>
      </w:pPr>
    </w:p>
    <w:p w14:paraId="5AD09A68" w14:textId="25B5620D"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Además, proporcionar dicha información, no generaría una afectación a su honor, intimidad o buena imagen</w:t>
      </w:r>
      <w:r w:rsidR="00890486">
        <w:rPr>
          <w:rFonts w:ascii="Palatino Linotype" w:hAnsi="Palatino Linotype"/>
          <w:sz w:val="24"/>
          <w:szCs w:val="24"/>
        </w:rPr>
        <w:t>;</w:t>
      </w:r>
      <w:r w:rsidRPr="009565F9">
        <w:rPr>
          <w:rFonts w:ascii="Palatino Linotype" w:hAnsi="Palatino Linotype"/>
          <w:sz w:val="24"/>
          <w:szCs w:val="24"/>
        </w:rPr>
        <w:t xml:space="preserve"> pues contrario a esto, a través de la resolución, es posible conocer que la actuación de dicho trabajador, fue apegada a la normatividad aplicable, esto es, que ha ejercido su cargo, de manera honesta, responsable y conforme a lo establecido en las diversas disposiciones. </w:t>
      </w:r>
    </w:p>
    <w:p w14:paraId="64C98746" w14:textId="77777777" w:rsidR="00912C77" w:rsidRPr="009565F9" w:rsidRDefault="00912C77" w:rsidP="00EF6323">
      <w:pPr>
        <w:pStyle w:val="Prrafodelista"/>
        <w:ind w:left="284" w:hanging="425"/>
        <w:jc w:val="both"/>
        <w:rPr>
          <w:rFonts w:ascii="Palatino Linotype" w:hAnsi="Palatino Linotype"/>
          <w:sz w:val="24"/>
          <w:szCs w:val="24"/>
        </w:rPr>
      </w:pPr>
    </w:p>
    <w:p w14:paraId="5C341A4D" w14:textId="4064651C"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En ese orden de ideas, dar a conocer la información relativa a las resoluciones absolutorias</w:t>
      </w:r>
      <w:r w:rsidR="00B754F1">
        <w:rPr>
          <w:rFonts w:ascii="Palatino Linotype" w:hAnsi="Palatino Linotype"/>
          <w:sz w:val="24"/>
          <w:szCs w:val="24"/>
        </w:rPr>
        <w:t xml:space="preserve"> por responsabilidades administrativas graves</w:t>
      </w:r>
      <w:r w:rsidRPr="009565F9">
        <w:rPr>
          <w:rFonts w:ascii="Palatino Linotype" w:hAnsi="Palatino Linotype"/>
          <w:sz w:val="24"/>
          <w:szCs w:val="24"/>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sz w:val="24"/>
          <w:szCs w:val="24"/>
        </w:rPr>
        <w:t>determinan</w:t>
      </w:r>
      <w:r w:rsidRPr="009565F9">
        <w:rPr>
          <w:rFonts w:ascii="Palatino Linotype" w:hAnsi="Palatino Linotype"/>
          <w:sz w:val="24"/>
          <w:szCs w:val="24"/>
        </w:rPr>
        <w:t xml:space="preserve"> la falta de elementos para sancionarlo. </w:t>
      </w:r>
    </w:p>
    <w:p w14:paraId="53672326" w14:textId="77777777" w:rsidR="00912C77" w:rsidRPr="009565F9" w:rsidRDefault="00912C77" w:rsidP="009565F9">
      <w:pPr>
        <w:pStyle w:val="Prrafodelista"/>
        <w:ind w:left="567" w:hanging="425"/>
        <w:jc w:val="both"/>
        <w:rPr>
          <w:rFonts w:ascii="Palatino Linotype" w:hAnsi="Palatino Linotype"/>
          <w:sz w:val="24"/>
          <w:szCs w:val="24"/>
        </w:rPr>
      </w:pPr>
    </w:p>
    <w:p w14:paraId="7981EFE1" w14:textId="77777777"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 xml:space="preserve">Igualmente, debe traerse a colación la jurisprudencia con el rubro LIBERTAD DE EXPRESIÓN Y DERECHO AL HONOR. EXPRESIONES QUE SE ENCUENTRAN PROTEGIDAS CONSTITUCIONALMENTE,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w:t>
      </w:r>
      <w:r w:rsidRPr="009565F9">
        <w:rPr>
          <w:rFonts w:ascii="Palatino Linotype" w:hAnsi="Palatino Linotype"/>
          <w:sz w:val="24"/>
          <w:szCs w:val="24"/>
        </w:rPr>
        <w:lastRenderedPageBreak/>
        <w:t xml:space="preserve">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0D07F11D" w14:textId="77777777" w:rsidR="00912C77" w:rsidRPr="009565F9" w:rsidRDefault="00912C77" w:rsidP="009565F9">
      <w:pPr>
        <w:pStyle w:val="Prrafodelista"/>
        <w:ind w:left="567" w:hanging="425"/>
        <w:jc w:val="both"/>
        <w:rPr>
          <w:rFonts w:ascii="Palatino Linotype" w:hAnsi="Palatino Linotype"/>
          <w:sz w:val="24"/>
          <w:szCs w:val="24"/>
        </w:rPr>
      </w:pPr>
    </w:p>
    <w:p w14:paraId="0E6C8740" w14:textId="08DAFDE8"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Si bien</w:t>
      </w:r>
      <w:r w:rsidR="00D65F5F">
        <w:rPr>
          <w:rFonts w:ascii="Palatino Linotype" w:hAnsi="Palatino Linotype"/>
          <w:sz w:val="24"/>
          <w:szCs w:val="24"/>
        </w:rPr>
        <w:t>,</w:t>
      </w:r>
      <w:r w:rsidRPr="009565F9">
        <w:rPr>
          <w:rFonts w:ascii="Palatino Linotype" w:hAnsi="Palatino Linotype"/>
          <w:sz w:val="24"/>
          <w:szCs w:val="24"/>
        </w:rPr>
        <w:t xml:space="preserve"> el caso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 </w:t>
      </w:r>
    </w:p>
    <w:p w14:paraId="6D918D11" w14:textId="77777777" w:rsidR="00912C77" w:rsidRPr="009565F9" w:rsidRDefault="00912C77" w:rsidP="00EF6323">
      <w:pPr>
        <w:pStyle w:val="Prrafodelista"/>
        <w:ind w:left="284" w:hanging="425"/>
        <w:jc w:val="both"/>
        <w:rPr>
          <w:rFonts w:ascii="Palatino Linotype" w:hAnsi="Palatino Linotype"/>
          <w:sz w:val="24"/>
          <w:szCs w:val="24"/>
        </w:rPr>
      </w:pPr>
    </w:p>
    <w:p w14:paraId="5C69D18D" w14:textId="77777777"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 xml:space="preserve">Por otro lado, en la tesis aislada con el rubro DERECHO A SER INFORMADO Y DERECHO AL HONOR. ESTÁNDAR PARA DETERMINAR SU PREVALENCIA,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1F563C20" w14:textId="77777777" w:rsidR="00912C77" w:rsidRPr="009565F9" w:rsidRDefault="00912C77"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p>
    <w:p w14:paraId="13666930" w14:textId="77777777" w:rsidR="00912C77" w:rsidRPr="009565F9"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 xml:space="preserve">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14995763" w14:textId="77777777" w:rsidR="00912C77" w:rsidRPr="009565F9" w:rsidRDefault="00912C77" w:rsidP="00EF6323">
      <w:pPr>
        <w:pStyle w:val="Prrafodelista"/>
        <w:ind w:left="284"/>
        <w:jc w:val="both"/>
        <w:rPr>
          <w:rFonts w:ascii="Palatino Linotype" w:hAnsi="Palatino Linotype"/>
          <w:sz w:val="24"/>
          <w:szCs w:val="24"/>
        </w:rPr>
      </w:pPr>
    </w:p>
    <w:p w14:paraId="5222D709" w14:textId="630D9FEB" w:rsidR="00A02002" w:rsidRPr="0096112E" w:rsidRDefault="00A02002"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sidRPr="009565F9">
        <w:rPr>
          <w:rFonts w:ascii="Palatino Linotype" w:hAnsi="Palatino Linotype"/>
          <w:sz w:val="24"/>
          <w:szCs w:val="24"/>
        </w:rPr>
        <w:t xml:space="preserve">Por lo anterior, </w:t>
      </w:r>
      <w:r w:rsidR="00EF6323">
        <w:rPr>
          <w:rFonts w:ascii="Palatino Linotype" w:hAnsi="Palatino Linotype"/>
          <w:sz w:val="24"/>
          <w:szCs w:val="24"/>
        </w:rPr>
        <w:t xml:space="preserve">el </w:t>
      </w:r>
      <w:r w:rsidRPr="009565F9">
        <w:rPr>
          <w:rFonts w:ascii="Palatino Linotype" w:hAnsi="Palatino Linotype"/>
          <w:sz w:val="24"/>
          <w:szCs w:val="24"/>
        </w:rPr>
        <w:t>dar a conocer</w:t>
      </w:r>
      <w:r w:rsidR="00EF6323">
        <w:rPr>
          <w:rFonts w:ascii="Palatino Linotype" w:hAnsi="Palatino Linotype"/>
          <w:sz w:val="24"/>
          <w:szCs w:val="24"/>
        </w:rPr>
        <w:t xml:space="preserve"> las resoluciones absolutorias </w:t>
      </w:r>
      <w:r w:rsidRPr="009565F9">
        <w:rPr>
          <w:rFonts w:ascii="Palatino Linotype" w:hAnsi="Palatino Linotype"/>
          <w:sz w:val="24"/>
          <w:szCs w:val="24"/>
        </w:rPr>
        <w:t xml:space="preserve"> derivadas de procedimientos de responsabilidades administrativas</w:t>
      </w:r>
      <w:r w:rsidR="00B754F1">
        <w:rPr>
          <w:rFonts w:ascii="Palatino Linotype" w:hAnsi="Palatino Linotype"/>
          <w:sz w:val="24"/>
          <w:szCs w:val="24"/>
        </w:rPr>
        <w:t xml:space="preserve"> graves</w:t>
      </w:r>
      <w:r w:rsidR="00EF6323">
        <w:rPr>
          <w:rFonts w:ascii="Palatino Linotype" w:hAnsi="Palatino Linotype"/>
          <w:sz w:val="24"/>
          <w:szCs w:val="24"/>
        </w:rPr>
        <w:t>, no actualiza</w:t>
      </w:r>
      <w:r w:rsidRPr="009565F9">
        <w:rPr>
          <w:rFonts w:ascii="Palatino Linotype" w:hAnsi="Palatino Linotype"/>
          <w:sz w:val="24"/>
          <w:szCs w:val="24"/>
        </w:rPr>
        <w:t xml:space="preserve"> la causal de clasificación prevista en el artículo 143, fracción I de la Ley de Transparencia y Acceso a la Información Pública del Estado de México y Municipios</w:t>
      </w:r>
      <w:r w:rsidR="00890486">
        <w:rPr>
          <w:rFonts w:ascii="Palatino Linotype" w:hAnsi="Palatino Linotype"/>
          <w:sz w:val="24"/>
          <w:szCs w:val="24"/>
        </w:rPr>
        <w:t>;</w:t>
      </w:r>
      <w:r w:rsidRPr="009565F9">
        <w:rPr>
          <w:rFonts w:ascii="Palatino Linotype" w:hAnsi="Palatino Linotype"/>
          <w:sz w:val="24"/>
          <w:szCs w:val="24"/>
        </w:rPr>
        <w:t xml:space="preserve"> pues como se precisó</w:t>
      </w:r>
      <w:r w:rsidR="00890486">
        <w:rPr>
          <w:rFonts w:ascii="Palatino Linotype" w:hAnsi="Palatino Linotype"/>
          <w:sz w:val="24"/>
          <w:szCs w:val="24"/>
        </w:rPr>
        <w:t>, dicha información no afecta su intimidad, honor o</w:t>
      </w:r>
      <w:r w:rsidRPr="009565F9">
        <w:rPr>
          <w:rFonts w:ascii="Palatino Linotype" w:hAnsi="Palatino Linotype"/>
          <w:sz w:val="24"/>
          <w:szCs w:val="24"/>
        </w:rPr>
        <w:t xml:space="preserve"> buen nombre. Así, en su caso, se considera procedente</w:t>
      </w:r>
      <w:r w:rsidR="00EF6323">
        <w:rPr>
          <w:rFonts w:ascii="Palatino Linotype" w:hAnsi="Palatino Linotype"/>
          <w:sz w:val="24"/>
          <w:szCs w:val="24"/>
        </w:rPr>
        <w:t xml:space="preserve"> la</w:t>
      </w:r>
      <w:r w:rsidRPr="009565F9">
        <w:rPr>
          <w:rFonts w:ascii="Palatino Linotype" w:hAnsi="Palatino Linotype"/>
          <w:sz w:val="24"/>
          <w:szCs w:val="24"/>
        </w:rPr>
        <w:t xml:space="preserve"> entrega de las que obren en sus archivos.</w:t>
      </w:r>
    </w:p>
    <w:p w14:paraId="6F19CA97" w14:textId="77777777" w:rsidR="0096112E" w:rsidRPr="0096112E" w:rsidRDefault="0096112E" w:rsidP="00EF6323">
      <w:pPr>
        <w:pStyle w:val="Prrafodelista"/>
        <w:ind w:left="284"/>
        <w:rPr>
          <w:rFonts w:ascii="Palatino Linotype" w:eastAsia="Calibri" w:hAnsi="Palatino Linotype" w:cs="Arial"/>
          <w:sz w:val="24"/>
          <w:szCs w:val="24"/>
        </w:rPr>
      </w:pPr>
    </w:p>
    <w:p w14:paraId="72325C7B" w14:textId="77777777" w:rsidR="00EF6323" w:rsidRDefault="0096112E" w:rsidP="00EF6323">
      <w:pPr>
        <w:pStyle w:val="Prrafodelista"/>
        <w:spacing w:before="100" w:beforeAutospacing="1" w:after="100" w:afterAutospacing="1" w:line="360" w:lineRule="auto"/>
        <w:ind w:left="284"/>
        <w:jc w:val="both"/>
        <w:rPr>
          <w:rFonts w:ascii="Palatino Linotype" w:hAnsi="Palatino Linotype"/>
          <w:sz w:val="24"/>
          <w:szCs w:val="24"/>
        </w:rPr>
      </w:pPr>
      <w:r w:rsidRPr="009565F9">
        <w:rPr>
          <w:rFonts w:ascii="Palatino Linotype" w:hAnsi="Palatino Linotype"/>
          <w:sz w:val="24"/>
          <w:szCs w:val="24"/>
        </w:rPr>
        <w:t xml:space="preserve">Si bien </w:t>
      </w:r>
      <w:r w:rsidR="00E870FF">
        <w:rPr>
          <w:rFonts w:ascii="Palatino Linotype" w:hAnsi="Palatino Linotype"/>
          <w:sz w:val="24"/>
          <w:szCs w:val="24"/>
        </w:rPr>
        <w:t>se comparte</w:t>
      </w:r>
      <w:r w:rsidRPr="009565F9">
        <w:rPr>
          <w:rFonts w:ascii="Palatino Linotype" w:hAnsi="Palatino Linotype"/>
          <w:sz w:val="24"/>
          <w:szCs w:val="24"/>
        </w:rPr>
        <w:t xml:space="preserve"> la clasificación del nombre de los servidores públicos a los que se les fincó una falta administrativa no grave y aquellos que cometieron faltas administrativas graves y que no se encuentran en los supuestos del artículo 142 de la Ley de Transparencia y Acceso a la Información Pública del Estado de México y Municipios, también lo es que, </w:t>
      </w:r>
      <w:r>
        <w:rPr>
          <w:rFonts w:ascii="Palatino Linotype" w:hAnsi="Palatino Linotype"/>
          <w:sz w:val="24"/>
          <w:szCs w:val="24"/>
        </w:rPr>
        <w:t xml:space="preserve">no </w:t>
      </w:r>
      <w:r w:rsidR="00E870FF">
        <w:rPr>
          <w:rFonts w:ascii="Palatino Linotype" w:hAnsi="Palatino Linotype"/>
          <w:sz w:val="24"/>
          <w:szCs w:val="24"/>
        </w:rPr>
        <w:t xml:space="preserve">se </w:t>
      </w:r>
      <w:r>
        <w:rPr>
          <w:rFonts w:ascii="Palatino Linotype" w:hAnsi="Palatino Linotype"/>
          <w:sz w:val="24"/>
          <w:szCs w:val="24"/>
        </w:rPr>
        <w:t>compart</w:t>
      </w:r>
      <w:r w:rsidR="00E870FF">
        <w:rPr>
          <w:rFonts w:ascii="Palatino Linotype" w:hAnsi="Palatino Linotype"/>
          <w:sz w:val="24"/>
          <w:szCs w:val="24"/>
        </w:rPr>
        <w:t>e</w:t>
      </w:r>
      <w:r>
        <w:rPr>
          <w:rFonts w:ascii="Palatino Linotype" w:hAnsi="Palatino Linotype"/>
          <w:sz w:val="24"/>
          <w:szCs w:val="24"/>
        </w:rPr>
        <w:t xml:space="preserve"> el hecho de que se clasifique como información confidencial el nombre de los servidores públicos a los que se les emitió una resolución con carácter </w:t>
      </w:r>
      <w:r w:rsidR="00D65F5F">
        <w:rPr>
          <w:rFonts w:ascii="Palatino Linotype" w:hAnsi="Palatino Linotype"/>
          <w:sz w:val="24"/>
          <w:szCs w:val="24"/>
        </w:rPr>
        <w:t>absolutoria</w:t>
      </w:r>
      <w:r w:rsidR="00B754F1">
        <w:rPr>
          <w:rFonts w:ascii="Palatino Linotype" w:hAnsi="Palatino Linotype"/>
          <w:sz w:val="24"/>
          <w:szCs w:val="24"/>
        </w:rPr>
        <w:t xml:space="preserve"> derivada de una responsabilidad administrativa grave</w:t>
      </w:r>
      <w:r w:rsidR="00E870FF">
        <w:rPr>
          <w:rFonts w:ascii="Palatino Linotype" w:hAnsi="Palatino Linotype"/>
          <w:sz w:val="24"/>
          <w:szCs w:val="24"/>
        </w:rPr>
        <w:t>, por tal razón se formula</w:t>
      </w:r>
      <w:r w:rsidR="00D65F5F">
        <w:rPr>
          <w:rFonts w:ascii="Palatino Linotype" w:hAnsi="Palatino Linotype"/>
          <w:sz w:val="24"/>
          <w:szCs w:val="24"/>
        </w:rPr>
        <w:t xml:space="preserve"> el presente voto particular.</w:t>
      </w:r>
      <w:bookmarkStart w:id="0" w:name="_Toc88160704"/>
    </w:p>
    <w:p w14:paraId="18A6A7C5" w14:textId="77777777" w:rsidR="00EF6323" w:rsidRDefault="00EF6323" w:rsidP="00EF6323">
      <w:pPr>
        <w:pStyle w:val="Prrafodelista"/>
        <w:spacing w:before="100" w:beforeAutospacing="1" w:after="100" w:afterAutospacing="1" w:line="360" w:lineRule="auto"/>
        <w:ind w:left="284"/>
        <w:jc w:val="both"/>
        <w:rPr>
          <w:rFonts w:ascii="Palatino Linotype" w:hAnsi="Palatino Linotype"/>
          <w:sz w:val="24"/>
          <w:szCs w:val="24"/>
        </w:rPr>
      </w:pPr>
    </w:p>
    <w:p w14:paraId="65ACC09D" w14:textId="1112C89B" w:rsidR="00174517" w:rsidRPr="00EF6323" w:rsidRDefault="00174517" w:rsidP="00EF6323">
      <w:pPr>
        <w:pStyle w:val="Prrafodelista"/>
        <w:spacing w:before="100" w:beforeAutospacing="1" w:after="100" w:afterAutospacing="1" w:line="360" w:lineRule="auto"/>
        <w:ind w:left="284"/>
        <w:jc w:val="both"/>
        <w:rPr>
          <w:rFonts w:ascii="Palatino Linotype" w:hAnsi="Palatino Linotype"/>
          <w:b/>
          <w:sz w:val="24"/>
          <w:szCs w:val="24"/>
        </w:rPr>
      </w:pPr>
      <w:r w:rsidRPr="00EF6323">
        <w:rPr>
          <w:rFonts w:ascii="Palatino Linotype" w:hAnsi="Palatino Linotype"/>
          <w:b/>
          <w:sz w:val="24"/>
          <w:szCs w:val="24"/>
        </w:rPr>
        <w:t>Conclusión.</w:t>
      </w:r>
      <w:bookmarkEnd w:id="0"/>
    </w:p>
    <w:p w14:paraId="67B0D34E" w14:textId="77777777" w:rsidR="00174517" w:rsidRDefault="00174517" w:rsidP="00174517">
      <w:pPr>
        <w:pStyle w:val="Prrafodelista"/>
        <w:spacing w:before="100" w:beforeAutospacing="1" w:after="100" w:afterAutospacing="1" w:line="360" w:lineRule="auto"/>
        <w:ind w:left="567"/>
        <w:jc w:val="both"/>
        <w:rPr>
          <w:rFonts w:ascii="Palatino Linotype" w:eastAsia="Calibri" w:hAnsi="Palatino Linotype" w:cs="Arial"/>
          <w:sz w:val="24"/>
          <w:szCs w:val="24"/>
        </w:rPr>
      </w:pPr>
    </w:p>
    <w:p w14:paraId="22603E82" w14:textId="7EFA1798" w:rsidR="00174517" w:rsidRDefault="00D6455A"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r>
        <w:rPr>
          <w:rFonts w:ascii="Palatino Linotype" w:eastAsia="Calibri" w:hAnsi="Palatino Linotype" w:cs="Arial"/>
          <w:sz w:val="24"/>
          <w:szCs w:val="24"/>
        </w:rPr>
        <w:t>E</w:t>
      </w:r>
      <w:r w:rsidR="00174517" w:rsidRPr="00174517">
        <w:rPr>
          <w:rFonts w:ascii="Palatino Linotype" w:eastAsia="Calibri" w:hAnsi="Palatino Linotype" w:cs="Arial"/>
          <w:sz w:val="24"/>
          <w:szCs w:val="24"/>
        </w:rPr>
        <w:t>l nombre de los servidores públicos que estuvieron sujetos a investigación por faltas administrativas</w:t>
      </w:r>
      <w:r>
        <w:rPr>
          <w:rFonts w:ascii="Palatino Linotype" w:eastAsia="Calibri" w:hAnsi="Palatino Linotype" w:cs="Arial"/>
          <w:sz w:val="24"/>
          <w:szCs w:val="24"/>
        </w:rPr>
        <w:t xml:space="preserve"> graves,</w:t>
      </w:r>
      <w:r w:rsidR="00174517" w:rsidRPr="00174517">
        <w:rPr>
          <w:rFonts w:ascii="Palatino Linotype" w:eastAsia="Calibri" w:hAnsi="Palatino Linotype" w:cs="Arial"/>
          <w:sz w:val="24"/>
          <w:szCs w:val="24"/>
        </w:rPr>
        <w:t xml:space="preserve"> y de los cuales, la autoridad emitió un fall</w:t>
      </w:r>
      <w:r>
        <w:rPr>
          <w:rFonts w:ascii="Palatino Linotype" w:eastAsia="Calibri" w:hAnsi="Palatino Linotype" w:cs="Arial"/>
          <w:sz w:val="24"/>
          <w:szCs w:val="24"/>
        </w:rPr>
        <w:t xml:space="preserve">o absolutorio, en razón de que </w:t>
      </w:r>
      <w:r w:rsidR="00174517" w:rsidRPr="00174517">
        <w:rPr>
          <w:rFonts w:ascii="Palatino Linotype" w:eastAsia="Calibri" w:hAnsi="Palatino Linotype" w:cs="Arial"/>
          <w:sz w:val="24"/>
          <w:szCs w:val="24"/>
        </w:rPr>
        <w:t>al no existir una sanción impuesta, no existe afectación alguna al honor y decoro de los servidores públicos.</w:t>
      </w:r>
    </w:p>
    <w:p w14:paraId="32031E5D" w14:textId="77777777" w:rsidR="00174517" w:rsidRDefault="00174517" w:rsidP="00EF6323">
      <w:pPr>
        <w:pStyle w:val="Prrafodelista"/>
        <w:spacing w:before="100" w:beforeAutospacing="1" w:after="100" w:afterAutospacing="1" w:line="360" w:lineRule="auto"/>
        <w:ind w:left="284"/>
        <w:jc w:val="both"/>
        <w:rPr>
          <w:rFonts w:ascii="Palatino Linotype" w:eastAsia="Calibri" w:hAnsi="Palatino Linotype" w:cs="Arial"/>
          <w:sz w:val="24"/>
          <w:szCs w:val="24"/>
        </w:rPr>
      </w:pPr>
    </w:p>
    <w:p w14:paraId="69A5E8D3" w14:textId="43529619" w:rsidR="00E664AA" w:rsidRPr="00E870FF" w:rsidRDefault="00174517" w:rsidP="00EF6323">
      <w:pPr>
        <w:pStyle w:val="Prrafodelista"/>
        <w:spacing w:before="100" w:beforeAutospacing="1" w:after="100" w:afterAutospacing="1" w:line="360" w:lineRule="auto"/>
        <w:ind w:left="284"/>
        <w:jc w:val="both"/>
        <w:rPr>
          <w:rFonts w:ascii="Palatino Linotype" w:hAnsi="Palatino Linotype"/>
          <w:sz w:val="20"/>
        </w:rPr>
      </w:pPr>
      <w:r w:rsidRPr="00E870FF">
        <w:rPr>
          <w:rFonts w:ascii="Palatino Linotype" w:eastAsia="Calibri" w:hAnsi="Palatino Linotype" w:cs="Arial"/>
          <w:sz w:val="24"/>
          <w:szCs w:val="24"/>
        </w:rPr>
        <w:t>La publicidad del nombre de los servidores públicos en resoluciones absolutorias de procedimientos administrativos</w:t>
      </w:r>
      <w:r w:rsidR="00E664AA" w:rsidRPr="00E870FF">
        <w:rPr>
          <w:rFonts w:ascii="Palatino Linotype" w:eastAsia="Calibri" w:hAnsi="Palatino Linotype" w:cs="Arial"/>
          <w:sz w:val="24"/>
          <w:szCs w:val="24"/>
        </w:rPr>
        <w:t xml:space="preserve"> por faltas graves</w:t>
      </w:r>
      <w:r w:rsidRPr="00E870FF">
        <w:rPr>
          <w:rFonts w:ascii="Palatino Linotype" w:eastAsia="Calibri" w:hAnsi="Palatino Linotype" w:cs="Arial"/>
          <w:sz w:val="24"/>
          <w:szCs w:val="24"/>
        </w:rPr>
        <w:t xml:space="preserve"> refleja que no e</w:t>
      </w:r>
      <w:r w:rsidR="00E664AA" w:rsidRPr="00E870FF">
        <w:rPr>
          <w:rFonts w:ascii="Palatino Linotype" w:eastAsia="Calibri" w:hAnsi="Palatino Linotype" w:cs="Arial"/>
          <w:sz w:val="24"/>
          <w:szCs w:val="24"/>
        </w:rPr>
        <w:t>xistió una falta administrativa;</w:t>
      </w:r>
      <w:r w:rsidRPr="00E870FF">
        <w:rPr>
          <w:rFonts w:ascii="Palatino Linotype" w:eastAsia="Calibri" w:hAnsi="Palatino Linotype" w:cs="Arial"/>
          <w:sz w:val="24"/>
          <w:szCs w:val="24"/>
        </w:rPr>
        <w:t xml:space="preserve"> es decir, que la autoridad investigadora, substanciadora y resolutora no encontraron elementos suficientes para determinar que </w:t>
      </w:r>
      <w:r w:rsidR="00E664AA" w:rsidRPr="00E870FF">
        <w:rPr>
          <w:rFonts w:ascii="Palatino Linotype" w:eastAsia="Calibri" w:hAnsi="Palatino Linotype" w:cs="Arial"/>
          <w:sz w:val="24"/>
          <w:szCs w:val="24"/>
        </w:rPr>
        <w:t xml:space="preserve">la o </w:t>
      </w:r>
      <w:r w:rsidRPr="00E870FF">
        <w:rPr>
          <w:rFonts w:ascii="Palatino Linotype" w:eastAsia="Calibri" w:hAnsi="Palatino Linotype" w:cs="Arial"/>
          <w:sz w:val="24"/>
          <w:szCs w:val="24"/>
        </w:rPr>
        <w:t>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r w:rsidR="00E664AA" w:rsidRPr="00E870FF">
        <w:rPr>
          <w:rFonts w:ascii="Palatino Linotype" w:eastAsia="Calibri" w:hAnsi="Palatino Linotype" w:cs="Arial"/>
          <w:sz w:val="24"/>
          <w:szCs w:val="24"/>
        </w:rPr>
        <w:t xml:space="preserve"> --------------------</w:t>
      </w:r>
      <w:bookmarkStart w:id="1" w:name="_GoBack"/>
      <w:r w:rsidR="00E664AA" w:rsidRPr="00E870FF">
        <w:rPr>
          <w:rFonts w:ascii="Palatino Linotype" w:eastAsia="Calibri" w:hAnsi="Palatino Linotype" w:cs="Arial"/>
          <w:sz w:val="24"/>
          <w:szCs w:val="24"/>
        </w:rPr>
        <w:t>---------------------------------------------------------------------------------------</w:t>
      </w:r>
      <w:bookmarkEnd w:id="1"/>
      <w:r w:rsidR="00E664AA" w:rsidRPr="00E870FF">
        <w:rPr>
          <w:rFonts w:ascii="Palatino Linotype" w:eastAsia="Calibri" w:hAnsi="Palatino Linotype" w:cs="Arial"/>
          <w:sz w:val="24"/>
          <w:szCs w:val="24"/>
        </w:rPr>
        <w:t>----------------------------------------------------------------------------------------------------------</w:t>
      </w:r>
      <w:r w:rsidR="009565F9" w:rsidRPr="00E870FF">
        <w:rPr>
          <w:rFonts w:ascii="Palatino Linotype" w:hAnsi="Palatino Linotype"/>
          <w:b/>
          <w:sz w:val="20"/>
        </w:rPr>
        <w:t>MRMA/</w:t>
      </w:r>
      <w:r w:rsidR="00E664AA" w:rsidRPr="00E870FF">
        <w:rPr>
          <w:rFonts w:ascii="Palatino Linotype" w:hAnsi="Palatino Linotype"/>
          <w:b/>
          <w:sz w:val="20"/>
        </w:rPr>
        <w:t xml:space="preserve">JAAV </w:t>
      </w:r>
      <w:r w:rsidR="00E664AA" w:rsidRPr="00E870FF">
        <w:rPr>
          <w:rFonts w:ascii="Palatino Linotype" w:hAnsi="Palatino Linotype"/>
          <w:sz w:val="20"/>
        </w:rPr>
        <w:br w:type="page"/>
      </w:r>
    </w:p>
    <w:p w14:paraId="6F4A6B55" w14:textId="77777777" w:rsidR="00FA3F69" w:rsidRPr="00E664AA" w:rsidRDefault="00FA3F69" w:rsidP="00E664AA">
      <w:pPr>
        <w:spacing w:line="360" w:lineRule="auto"/>
        <w:ind w:left="567"/>
        <w:contextualSpacing/>
        <w:jc w:val="both"/>
        <w:rPr>
          <w:rFonts w:ascii="Palatino Linotype" w:hAnsi="Palatino Linotype"/>
        </w:rPr>
      </w:pPr>
    </w:p>
    <w:sectPr w:rsidR="00FA3F69" w:rsidRPr="00E664AA" w:rsidSect="00B754F1">
      <w:headerReference w:type="even" r:id="rId8"/>
      <w:headerReference w:type="default" r:id="rId9"/>
      <w:footerReference w:type="default" r:id="rId10"/>
      <w:headerReference w:type="first" r:id="rId11"/>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5AE91" w14:textId="77777777" w:rsidR="003929EE" w:rsidRDefault="003929EE" w:rsidP="00C80F8C">
      <w:r>
        <w:separator/>
      </w:r>
    </w:p>
  </w:endnote>
  <w:endnote w:type="continuationSeparator" w:id="0">
    <w:p w14:paraId="043C1035" w14:textId="77777777" w:rsidR="003929EE" w:rsidRDefault="003929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D62C5E"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Pr>
            <w:rFonts w:ascii="Palatino Linotype" w:hAnsi="Palatino Linotype"/>
            <w:b/>
            <w:bCs/>
            <w:noProof/>
          </w:rPr>
          <w:t>8</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Pr>
            <w:rFonts w:ascii="Palatino Linotype" w:hAnsi="Palatino Linotype"/>
            <w:b/>
            <w:bCs/>
            <w:noProof/>
          </w:rPr>
          <w:t>8</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0D9E" w14:textId="77777777" w:rsidR="003929EE" w:rsidRDefault="003929EE" w:rsidP="00C80F8C">
      <w:r>
        <w:separator/>
      </w:r>
    </w:p>
  </w:footnote>
  <w:footnote w:type="continuationSeparator" w:id="0">
    <w:p w14:paraId="30355B31" w14:textId="77777777" w:rsidR="003929EE" w:rsidRDefault="003929E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D62C5E">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D62C5E"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D62C5E">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985"/>
    <w:multiLevelType w:val="hybridMultilevel"/>
    <w:tmpl w:val="8578DB06"/>
    <w:lvl w:ilvl="0" w:tplc="196E030C">
      <w:start w:val="1"/>
      <w:numFmt w:val="decimal"/>
      <w:lvlText w:val="%1."/>
      <w:lvlJc w:val="left"/>
      <w:pPr>
        <w:ind w:left="786" w:hanging="360"/>
      </w:pPr>
      <w:rPr>
        <w:b/>
        <w:bCs/>
        <w:i w:val="0"/>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9"/>
  </w:num>
  <w:num w:numId="6">
    <w:abstractNumId w:val="0"/>
  </w:num>
  <w:num w:numId="7">
    <w:abstractNumId w:val="1"/>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8542A"/>
    <w:rsid w:val="000A6E4B"/>
    <w:rsid w:val="000B3FFD"/>
    <w:rsid w:val="000C4453"/>
    <w:rsid w:val="00111AE8"/>
    <w:rsid w:val="00116DE7"/>
    <w:rsid w:val="00132AC5"/>
    <w:rsid w:val="001333C3"/>
    <w:rsid w:val="00174517"/>
    <w:rsid w:val="00186E33"/>
    <w:rsid w:val="001C57DE"/>
    <w:rsid w:val="001E70EE"/>
    <w:rsid w:val="00263858"/>
    <w:rsid w:val="00290929"/>
    <w:rsid w:val="002F0634"/>
    <w:rsid w:val="00360C08"/>
    <w:rsid w:val="003907F3"/>
    <w:rsid w:val="003929EE"/>
    <w:rsid w:val="003B3BFB"/>
    <w:rsid w:val="003E7406"/>
    <w:rsid w:val="004112A3"/>
    <w:rsid w:val="00426E22"/>
    <w:rsid w:val="00430DD5"/>
    <w:rsid w:val="00473AB7"/>
    <w:rsid w:val="00477B81"/>
    <w:rsid w:val="004D0A26"/>
    <w:rsid w:val="004E383A"/>
    <w:rsid w:val="005373E8"/>
    <w:rsid w:val="00542EE3"/>
    <w:rsid w:val="00575235"/>
    <w:rsid w:val="00591350"/>
    <w:rsid w:val="005933D5"/>
    <w:rsid w:val="005C64CC"/>
    <w:rsid w:val="005D1946"/>
    <w:rsid w:val="005D2361"/>
    <w:rsid w:val="005D6FA5"/>
    <w:rsid w:val="00634485"/>
    <w:rsid w:val="006622F4"/>
    <w:rsid w:val="00672E7C"/>
    <w:rsid w:val="006A04B1"/>
    <w:rsid w:val="006B5505"/>
    <w:rsid w:val="006E6389"/>
    <w:rsid w:val="006F30F8"/>
    <w:rsid w:val="0071093C"/>
    <w:rsid w:val="00736C06"/>
    <w:rsid w:val="00762C20"/>
    <w:rsid w:val="007F3B57"/>
    <w:rsid w:val="00890486"/>
    <w:rsid w:val="00892AFC"/>
    <w:rsid w:val="008C4B6B"/>
    <w:rsid w:val="008D1526"/>
    <w:rsid w:val="00912C77"/>
    <w:rsid w:val="00956560"/>
    <w:rsid w:val="009565F9"/>
    <w:rsid w:val="0096112E"/>
    <w:rsid w:val="00970D11"/>
    <w:rsid w:val="00975EB9"/>
    <w:rsid w:val="009B02C5"/>
    <w:rsid w:val="009E0F9C"/>
    <w:rsid w:val="00A02002"/>
    <w:rsid w:val="00A47DA4"/>
    <w:rsid w:val="00A81140"/>
    <w:rsid w:val="00A84529"/>
    <w:rsid w:val="00B17515"/>
    <w:rsid w:val="00B31562"/>
    <w:rsid w:val="00B4428F"/>
    <w:rsid w:val="00B53290"/>
    <w:rsid w:val="00B73667"/>
    <w:rsid w:val="00B754F1"/>
    <w:rsid w:val="00B76282"/>
    <w:rsid w:val="00BD7483"/>
    <w:rsid w:val="00C64AB2"/>
    <w:rsid w:val="00C80F8C"/>
    <w:rsid w:val="00CA07CB"/>
    <w:rsid w:val="00CB50F4"/>
    <w:rsid w:val="00D45CA3"/>
    <w:rsid w:val="00D62C5E"/>
    <w:rsid w:val="00D6455A"/>
    <w:rsid w:val="00D65F5F"/>
    <w:rsid w:val="00D728E2"/>
    <w:rsid w:val="00E664AA"/>
    <w:rsid w:val="00E870FF"/>
    <w:rsid w:val="00E9134A"/>
    <w:rsid w:val="00EB35BD"/>
    <w:rsid w:val="00EB780C"/>
    <w:rsid w:val="00EF62DD"/>
    <w:rsid w:val="00EF6323"/>
    <w:rsid w:val="00F1720D"/>
    <w:rsid w:val="00FA3F69"/>
    <w:rsid w:val="00FB48D6"/>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3156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31562"/>
    <w:rPr>
      <w:rFonts w:asciiTheme="majorHAnsi" w:eastAsiaTheme="majorEastAsia" w:hAnsiTheme="majorHAnsi" w:cstheme="majorBidi"/>
      <w:color w:val="243F60" w:themeColor="accent1" w:themeShade="7F"/>
      <w:lang w:val="es-ES"/>
    </w:rPr>
  </w:style>
  <w:style w:type="paragraph" w:styleId="TDC3">
    <w:name w:val="toc 3"/>
    <w:basedOn w:val="Normal"/>
    <w:next w:val="Normal"/>
    <w:autoRedefine/>
    <w:uiPriority w:val="39"/>
    <w:unhideWhenUsed/>
    <w:rsid w:val="00E664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1544-3920-49F5-B77F-8D18320B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1469</Words>
  <Characters>8084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6</cp:revision>
  <cp:lastPrinted>2021-03-08T19:20:00Z</cp:lastPrinted>
  <dcterms:created xsi:type="dcterms:W3CDTF">2021-11-19T01:28:00Z</dcterms:created>
  <dcterms:modified xsi:type="dcterms:W3CDTF">2021-11-23T23:04:00Z</dcterms:modified>
</cp:coreProperties>
</file>