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56084CF4"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51F35">
        <w:rPr>
          <w:rFonts w:ascii="Palatino Linotype" w:eastAsia="Times New Roman" w:hAnsi="Palatino Linotype" w:cs="Arial"/>
          <w:color w:val="000000"/>
          <w:sz w:val="24"/>
          <w:szCs w:val="24"/>
          <w:lang w:eastAsia="es-MX"/>
        </w:rPr>
        <w:t xml:space="preserve">veintiséis de mayo de dos mil veintiuno. </w:t>
      </w:r>
    </w:p>
    <w:p w14:paraId="177D188A" w14:textId="60C3CBC9" w:rsidR="00151F35" w:rsidRPr="00105AC7"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545EFC">
        <w:rPr>
          <w:rFonts w:ascii="Palatino Linotype" w:hAnsi="Palatino Linotype" w:cs="Arial"/>
          <w:b/>
          <w:sz w:val="24"/>
        </w:rPr>
        <w:t>S</w:t>
      </w:r>
      <w:r w:rsidRPr="00D336C5">
        <w:rPr>
          <w:rFonts w:ascii="Palatino Linotype" w:hAnsi="Palatino Linotype" w:cs="Arial"/>
          <w:sz w:val="24"/>
        </w:rPr>
        <w:t xml:space="preserve"> </w:t>
      </w:r>
      <w:r w:rsidR="00545EFC">
        <w:rPr>
          <w:rFonts w:ascii="Palatino Linotype" w:hAnsi="Palatino Linotype" w:cs="Arial"/>
          <w:sz w:val="24"/>
        </w:rPr>
        <w:t>los</w:t>
      </w:r>
      <w:r w:rsidRPr="00D336C5">
        <w:rPr>
          <w:rFonts w:ascii="Palatino Linotype" w:hAnsi="Palatino Linotype" w:cs="Arial"/>
          <w:sz w:val="24"/>
        </w:rPr>
        <w:t xml:space="preserve"> expediente</w:t>
      </w:r>
      <w:r w:rsidR="00545EFC">
        <w:rPr>
          <w:rFonts w:ascii="Palatino Linotype" w:hAnsi="Palatino Linotype" w:cs="Arial"/>
          <w:sz w:val="24"/>
        </w:rPr>
        <w:t>s</w:t>
      </w:r>
      <w:r w:rsidRPr="00D336C5">
        <w:rPr>
          <w:rFonts w:ascii="Palatino Linotype" w:hAnsi="Palatino Linotype" w:cs="Arial"/>
          <w:sz w:val="24"/>
        </w:rPr>
        <w:t xml:space="preserve"> electrónico</w:t>
      </w:r>
      <w:r w:rsidR="00545EFC">
        <w:rPr>
          <w:rFonts w:ascii="Palatino Linotype" w:hAnsi="Palatino Linotype" w:cs="Arial"/>
          <w:sz w:val="24"/>
        </w:rPr>
        <w:t>s</w:t>
      </w:r>
      <w:r w:rsidRPr="00D336C5">
        <w:rPr>
          <w:rFonts w:ascii="Palatino Linotype" w:hAnsi="Palatino Linotype" w:cs="Arial"/>
          <w:sz w:val="24"/>
        </w:rPr>
        <w:t xml:space="preserve"> formado</w:t>
      </w:r>
      <w:r w:rsidR="00545EFC">
        <w:rPr>
          <w:rFonts w:ascii="Palatino Linotype" w:hAnsi="Palatino Linotype" w:cs="Arial"/>
          <w:sz w:val="24"/>
        </w:rPr>
        <w:t>s</w:t>
      </w:r>
      <w:r w:rsidRPr="00D336C5">
        <w:rPr>
          <w:rFonts w:ascii="Palatino Linotype" w:hAnsi="Palatino Linotype" w:cs="Arial"/>
          <w:sz w:val="24"/>
        </w:rPr>
        <w:t xml:space="preserve"> con motivo de</w:t>
      </w:r>
      <w:r w:rsidR="00545EFC">
        <w:rPr>
          <w:rFonts w:ascii="Palatino Linotype" w:hAnsi="Palatino Linotype" w:cs="Arial"/>
          <w:sz w:val="24"/>
        </w:rPr>
        <w:t xml:space="preserve"> los</w:t>
      </w:r>
      <w:r w:rsidRPr="00D336C5">
        <w:rPr>
          <w:rFonts w:ascii="Palatino Linotype" w:hAnsi="Palatino Linotype" w:cs="Arial"/>
          <w:sz w:val="24"/>
        </w:rPr>
        <w:t xml:space="preserve"> recurso</w:t>
      </w:r>
      <w:r w:rsidR="00545EFC">
        <w:rPr>
          <w:rFonts w:ascii="Palatino Linotype" w:hAnsi="Palatino Linotype" w:cs="Arial"/>
          <w:sz w:val="24"/>
        </w:rPr>
        <w:t>s</w:t>
      </w:r>
      <w:r w:rsidRPr="00D336C5">
        <w:rPr>
          <w:rFonts w:ascii="Palatino Linotype" w:hAnsi="Palatino Linotype" w:cs="Arial"/>
          <w:sz w:val="24"/>
        </w:rPr>
        <w:t xml:space="preserve"> de revisión número</w:t>
      </w:r>
      <w:r w:rsidR="00545EFC">
        <w:rPr>
          <w:rFonts w:ascii="Palatino Linotype" w:hAnsi="Palatino Linotype" w:cs="Arial"/>
          <w:sz w:val="24"/>
        </w:rPr>
        <w:t>s</w:t>
      </w:r>
      <w:r w:rsidRPr="00D336C5">
        <w:rPr>
          <w:rFonts w:ascii="Palatino Linotype" w:hAnsi="Palatino Linotype" w:cs="Arial"/>
          <w:sz w:val="24"/>
        </w:rPr>
        <w:t xml:space="preserve"> </w:t>
      </w:r>
      <w:r w:rsidR="00151F35">
        <w:rPr>
          <w:rFonts w:ascii="Palatino Linotype" w:hAnsi="Palatino Linotype" w:cs="Arial"/>
          <w:b/>
          <w:sz w:val="24"/>
        </w:rPr>
        <w:t xml:space="preserve">02260/INFOEM/IP/RR/2021, 02261/INFOEM/IP/RR/2021, 02262/INFOEM/IP/RR/2021 y 02263/INFOEM/IP/RR/2021, </w:t>
      </w:r>
      <w:r w:rsidR="00151F35">
        <w:rPr>
          <w:rFonts w:ascii="Palatino Linotype" w:hAnsi="Palatino Linotype" w:cs="Arial"/>
          <w:sz w:val="24"/>
        </w:rPr>
        <w:t xml:space="preserve">interpuestos por la </w:t>
      </w:r>
      <w:r w:rsidR="00151F35">
        <w:rPr>
          <w:rFonts w:ascii="Palatino Linotype" w:hAnsi="Palatino Linotype" w:cs="Arial"/>
          <w:b/>
          <w:sz w:val="24"/>
        </w:rPr>
        <w:t xml:space="preserve">C. </w:t>
      </w:r>
      <w:proofErr w:type="spellStart"/>
      <w:r w:rsidR="00EE266A">
        <w:rPr>
          <w:rFonts w:ascii="Palatino Linotype" w:hAnsi="Palatino Linotype" w:cs="Arial"/>
          <w:b/>
          <w:sz w:val="24"/>
        </w:rPr>
        <w:t>xxxxxxxxxxxxxxxxxxxxxxxxxxxxxxxxxxxxxxxxxx</w:t>
      </w:r>
      <w:proofErr w:type="spellEnd"/>
      <w:r w:rsidR="00151F35">
        <w:rPr>
          <w:rFonts w:ascii="Palatino Linotype" w:hAnsi="Palatino Linotype" w:cs="Arial"/>
          <w:b/>
          <w:sz w:val="24"/>
        </w:rPr>
        <w:t xml:space="preserve">, </w:t>
      </w:r>
      <w:r w:rsidR="00151F35">
        <w:rPr>
          <w:rFonts w:ascii="Palatino Linotype" w:hAnsi="Palatino Linotype" w:cs="Arial"/>
          <w:sz w:val="24"/>
        </w:rPr>
        <w:t xml:space="preserve">en lo sucesivo </w:t>
      </w:r>
      <w:r w:rsidR="00151F35">
        <w:rPr>
          <w:rFonts w:ascii="Palatino Linotype" w:hAnsi="Palatino Linotype" w:cs="Arial"/>
          <w:b/>
          <w:sz w:val="24"/>
        </w:rPr>
        <w:t xml:space="preserve">La Recurrente, </w:t>
      </w:r>
      <w:r w:rsidR="00151F35">
        <w:rPr>
          <w:rFonts w:ascii="Palatino Linotype" w:hAnsi="Palatino Linotype" w:cs="Arial"/>
          <w:sz w:val="24"/>
        </w:rPr>
        <w:t xml:space="preserve">en contra de la falta de respuesta del </w:t>
      </w:r>
      <w:r w:rsidR="00151F35">
        <w:rPr>
          <w:rFonts w:ascii="Palatino Linotype" w:hAnsi="Palatino Linotype" w:cs="Arial"/>
          <w:b/>
          <w:sz w:val="24"/>
        </w:rPr>
        <w:t>Ayuntamiento de Coatepec Harinas</w:t>
      </w:r>
      <w:r w:rsidR="00105AC7">
        <w:rPr>
          <w:rFonts w:ascii="Palatino Linotype" w:hAnsi="Palatino Linotype" w:cs="Arial"/>
          <w:b/>
          <w:sz w:val="24"/>
        </w:rPr>
        <w:t xml:space="preserve">, </w:t>
      </w:r>
      <w:r w:rsidR="00105AC7">
        <w:rPr>
          <w:rFonts w:ascii="Palatino Linotype" w:hAnsi="Palatino Linotype" w:cs="Arial"/>
          <w:sz w:val="24"/>
        </w:rPr>
        <w:t xml:space="preserve">en lo sucesivo </w:t>
      </w:r>
      <w:r w:rsidR="00105AC7">
        <w:rPr>
          <w:rFonts w:ascii="Palatino Linotype" w:hAnsi="Palatino Linotype" w:cs="Arial"/>
          <w:b/>
          <w:sz w:val="24"/>
        </w:rPr>
        <w:t xml:space="preserve">El Sujeto Obligado, </w:t>
      </w:r>
      <w:r w:rsidR="00105AC7">
        <w:rPr>
          <w:rFonts w:ascii="Palatino Linotype" w:hAnsi="Palatino Linotype" w:cs="Arial"/>
          <w:sz w:val="24"/>
        </w:rPr>
        <w:t xml:space="preserve">se procede a dictar la presente resolución. </w:t>
      </w:r>
    </w:p>
    <w:p w14:paraId="0626BDDB" w14:textId="77777777" w:rsidR="00105AC7" w:rsidRDefault="00105AC7" w:rsidP="00B9640A">
      <w:pPr>
        <w:pStyle w:val="infoemcitas"/>
        <w:jc w:val="center"/>
        <w:rPr>
          <w:b/>
          <w:bCs/>
          <w:i w:val="0"/>
          <w:iCs/>
          <w:sz w:val="28"/>
          <w:szCs w:val="28"/>
        </w:rPr>
      </w:pPr>
    </w:p>
    <w:p w14:paraId="5A777984" w14:textId="0FD852DC"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74E3CF3" w14:textId="65BEA39C" w:rsidR="00105AC7" w:rsidRPr="00105AC7" w:rsidRDefault="00190EA0" w:rsidP="00190EA0">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105AC7">
        <w:rPr>
          <w:rFonts w:ascii="Palatino Linotype" w:hAnsi="Palatino Linotype" w:cs="Arial"/>
          <w:sz w:val="24"/>
        </w:rPr>
        <w:t xml:space="preserve">dieciséis de marzo de dos mil veintiuno, </w:t>
      </w:r>
      <w:r w:rsidR="00105AC7">
        <w:rPr>
          <w:rFonts w:ascii="Palatino Linotype" w:hAnsi="Palatino Linotype" w:cs="Arial"/>
          <w:b/>
          <w:sz w:val="24"/>
        </w:rPr>
        <w:t xml:space="preserve">La Recurrente, </w:t>
      </w:r>
      <w:r w:rsidR="00105AC7">
        <w:rPr>
          <w:rFonts w:ascii="Palatino Linotype" w:hAnsi="Palatino Linotype" w:cs="Arial"/>
          <w:sz w:val="24"/>
        </w:rPr>
        <w:t xml:space="preserve">presentó a través del </w:t>
      </w:r>
      <w:r w:rsidR="00105AC7" w:rsidRPr="00D3218F">
        <w:rPr>
          <w:rFonts w:ascii="Palatino Linotype" w:hAnsi="Palatino Linotype" w:cs="Arial"/>
          <w:sz w:val="24"/>
        </w:rPr>
        <w:t>Sistema de Acceso a la Información Mexiquense (</w:t>
      </w:r>
      <w:r w:rsidR="00105AC7" w:rsidRPr="00D3218F">
        <w:rPr>
          <w:rFonts w:ascii="Palatino Linotype" w:hAnsi="Palatino Linotype" w:cs="Arial"/>
          <w:b/>
          <w:sz w:val="24"/>
        </w:rPr>
        <w:t>SAIMEX)</w:t>
      </w:r>
      <w:r w:rsidR="00105AC7" w:rsidRPr="00D3218F">
        <w:rPr>
          <w:rFonts w:ascii="Palatino Linotype" w:hAnsi="Palatino Linotype" w:cs="Arial"/>
          <w:sz w:val="24"/>
        </w:rPr>
        <w:t xml:space="preserve"> ante </w:t>
      </w:r>
      <w:r w:rsidR="00105AC7" w:rsidRPr="00D3218F">
        <w:rPr>
          <w:rFonts w:ascii="Palatino Linotype" w:hAnsi="Palatino Linotype" w:cs="Arial"/>
          <w:b/>
          <w:sz w:val="24"/>
        </w:rPr>
        <w:t>El Sujeto Obligado</w:t>
      </w:r>
      <w:r w:rsidR="00105AC7" w:rsidRPr="00D3218F">
        <w:rPr>
          <w:rFonts w:ascii="Palatino Linotype" w:hAnsi="Palatino Linotype" w:cs="Arial"/>
          <w:sz w:val="24"/>
        </w:rPr>
        <w:t xml:space="preserve">, las solicitudes de acceso a la información pública, registradas bajo los </w:t>
      </w:r>
      <w:r w:rsidR="00105AC7">
        <w:rPr>
          <w:rFonts w:ascii="Palatino Linotype" w:hAnsi="Palatino Linotype" w:cs="Arial"/>
          <w:sz w:val="24"/>
        </w:rPr>
        <w:t xml:space="preserve"> </w:t>
      </w:r>
      <w:r w:rsidR="00105AC7" w:rsidRPr="00D3218F">
        <w:rPr>
          <w:rFonts w:ascii="Palatino Linotype" w:hAnsi="Palatino Linotype" w:cs="Arial"/>
          <w:sz w:val="24"/>
        </w:rPr>
        <w:t>números de expediente</w:t>
      </w:r>
      <w:r w:rsidR="00105AC7">
        <w:rPr>
          <w:rFonts w:ascii="Palatino Linotype" w:hAnsi="Palatino Linotype" w:cs="Arial"/>
          <w:sz w:val="24"/>
        </w:rPr>
        <w:t xml:space="preserve"> </w:t>
      </w:r>
      <w:r w:rsidR="00105AC7">
        <w:rPr>
          <w:rFonts w:ascii="Palatino Linotype" w:hAnsi="Palatino Linotype" w:cs="Arial"/>
          <w:b/>
          <w:sz w:val="24"/>
        </w:rPr>
        <w:t xml:space="preserve">00046/COATHAR/IP/2021, 00047/COATHAR/IP/2021, 00048/COATHAR/IP/2021 y 00049/COATHAR/IP/2021, </w:t>
      </w:r>
      <w:r w:rsidR="00105AC7">
        <w:rPr>
          <w:rFonts w:ascii="Palatino Linotype" w:hAnsi="Palatino Linotype" w:cs="Arial"/>
          <w:sz w:val="24"/>
        </w:rPr>
        <w:t xml:space="preserve">mediante las cuales solicitó información en el tenor siguiente: </w:t>
      </w:r>
    </w:p>
    <w:p w14:paraId="18A6A72F" w14:textId="77777777" w:rsidR="00105AC7" w:rsidRDefault="00105AC7" w:rsidP="00190EA0">
      <w:pPr>
        <w:spacing w:before="240" w:line="360" w:lineRule="auto"/>
        <w:jc w:val="both"/>
        <w:rPr>
          <w:rFonts w:ascii="Palatino Linotype" w:hAnsi="Palatino Linotype" w:cs="Arial"/>
          <w:sz w:val="24"/>
        </w:rPr>
      </w:pPr>
    </w:p>
    <w:p w14:paraId="71DDE0BF" w14:textId="77777777" w:rsidR="00105AC7" w:rsidRDefault="00105AC7" w:rsidP="00190EA0">
      <w:pPr>
        <w:spacing w:before="240" w:line="360" w:lineRule="auto"/>
        <w:jc w:val="both"/>
        <w:rPr>
          <w:rFonts w:ascii="Palatino Linotype" w:hAnsi="Palatino Linotype" w:cs="Arial"/>
          <w:b/>
          <w:sz w:val="24"/>
        </w:rPr>
      </w:pPr>
      <w:r>
        <w:rPr>
          <w:rFonts w:ascii="Palatino Linotype" w:hAnsi="Palatino Linotype" w:cs="Arial"/>
          <w:b/>
          <w:sz w:val="24"/>
        </w:rPr>
        <w:lastRenderedPageBreak/>
        <w:t>Solicitud de información 00046/COATHAR/IP/2021</w:t>
      </w:r>
    </w:p>
    <w:p w14:paraId="4EA131D6" w14:textId="4F475F0B" w:rsidR="00105AC7" w:rsidRDefault="00105AC7" w:rsidP="00105AC7">
      <w:pPr>
        <w:pStyle w:val="Citas"/>
        <w:rPr>
          <w:b/>
        </w:rPr>
      </w:pPr>
      <w:r>
        <w:t xml:space="preserve">“TODAS LAS ACTAS DEL LEVANTAMIENTO FISICO DE LOS BIENES MUEBLES DE AÑOS 2019” </w:t>
      </w:r>
      <w:r>
        <w:rPr>
          <w:b/>
        </w:rPr>
        <w:t>[Sic]</w:t>
      </w:r>
    </w:p>
    <w:p w14:paraId="0015F80D" w14:textId="77777777" w:rsidR="00105AC7" w:rsidRPr="00105AC7" w:rsidRDefault="00105AC7" w:rsidP="00105AC7">
      <w:pPr>
        <w:pStyle w:val="Citas"/>
        <w:rPr>
          <w:b/>
          <w:sz w:val="24"/>
        </w:rPr>
      </w:pPr>
    </w:p>
    <w:p w14:paraId="6E4CF7CA" w14:textId="77978505" w:rsidR="00105AC7" w:rsidRDefault="00105AC7" w:rsidP="00190EA0">
      <w:pPr>
        <w:spacing w:before="240" w:line="360" w:lineRule="auto"/>
        <w:jc w:val="both"/>
        <w:rPr>
          <w:rFonts w:ascii="Palatino Linotype" w:hAnsi="Palatino Linotype" w:cs="Arial"/>
          <w:b/>
          <w:sz w:val="24"/>
        </w:rPr>
      </w:pPr>
      <w:r>
        <w:rPr>
          <w:rFonts w:ascii="Palatino Linotype" w:hAnsi="Palatino Linotype" w:cs="Arial"/>
          <w:b/>
          <w:sz w:val="24"/>
        </w:rPr>
        <w:t>Solicitud de información 00047/COATHAR/IP/2021</w:t>
      </w:r>
    </w:p>
    <w:p w14:paraId="1901AB66" w14:textId="3C5CA7F3" w:rsidR="00105AC7" w:rsidRDefault="00105AC7" w:rsidP="00105AC7">
      <w:pPr>
        <w:pStyle w:val="Citas"/>
        <w:rPr>
          <w:b/>
        </w:rPr>
      </w:pPr>
      <w:r>
        <w:t xml:space="preserve">“TODAS LAS ACTAS DEL LEVANTAMIENTO FISICO DE BIENES MUEBLES DEL AÑO 2020” </w:t>
      </w:r>
      <w:r>
        <w:rPr>
          <w:b/>
        </w:rPr>
        <w:t>[Sic]</w:t>
      </w:r>
    </w:p>
    <w:p w14:paraId="49A3D6D7" w14:textId="77777777" w:rsidR="00105AC7" w:rsidRPr="00105AC7" w:rsidRDefault="00105AC7" w:rsidP="00105AC7">
      <w:pPr>
        <w:pStyle w:val="Citas"/>
        <w:rPr>
          <w:b/>
          <w:sz w:val="24"/>
        </w:rPr>
      </w:pPr>
    </w:p>
    <w:p w14:paraId="524B2DDC" w14:textId="0AD70AA7" w:rsidR="00105AC7" w:rsidRDefault="00105AC7" w:rsidP="00190EA0">
      <w:pPr>
        <w:spacing w:before="240" w:line="360" w:lineRule="auto"/>
        <w:jc w:val="both"/>
        <w:rPr>
          <w:rFonts w:ascii="Palatino Linotype" w:hAnsi="Palatino Linotype" w:cs="Arial"/>
          <w:b/>
          <w:sz w:val="24"/>
        </w:rPr>
      </w:pPr>
      <w:r>
        <w:rPr>
          <w:rFonts w:ascii="Palatino Linotype" w:hAnsi="Palatino Linotype" w:cs="Arial"/>
          <w:b/>
          <w:sz w:val="24"/>
        </w:rPr>
        <w:t>Solicitud de información 00048/COATHAR/IP/2021</w:t>
      </w:r>
    </w:p>
    <w:p w14:paraId="7019148F" w14:textId="04641AB4" w:rsidR="00105AC7" w:rsidRPr="00105AC7" w:rsidRDefault="00105AC7" w:rsidP="00105AC7">
      <w:pPr>
        <w:pStyle w:val="Citas"/>
        <w:rPr>
          <w:b/>
        </w:rPr>
      </w:pPr>
      <w:r>
        <w:t xml:space="preserve">“TODAS LAS ACTAS DE LEVANTAMIENTO FISICO DE LOS BIENES INMUEBLES 2019” </w:t>
      </w:r>
      <w:r>
        <w:rPr>
          <w:b/>
        </w:rPr>
        <w:t>[Sic]</w:t>
      </w:r>
    </w:p>
    <w:p w14:paraId="7DC37FBD" w14:textId="77777777" w:rsidR="00105AC7" w:rsidRDefault="00105AC7" w:rsidP="00190EA0">
      <w:pPr>
        <w:spacing w:before="240" w:line="360" w:lineRule="auto"/>
        <w:jc w:val="both"/>
        <w:rPr>
          <w:rFonts w:ascii="Palatino Linotype" w:hAnsi="Palatino Linotype" w:cs="Arial"/>
          <w:b/>
          <w:sz w:val="24"/>
        </w:rPr>
      </w:pPr>
    </w:p>
    <w:p w14:paraId="4C688220" w14:textId="76C069A1" w:rsidR="00105AC7" w:rsidRDefault="00105AC7" w:rsidP="00190EA0">
      <w:pPr>
        <w:spacing w:before="240" w:line="360" w:lineRule="auto"/>
        <w:jc w:val="both"/>
        <w:rPr>
          <w:rFonts w:ascii="Palatino Linotype" w:hAnsi="Palatino Linotype" w:cs="Arial"/>
          <w:b/>
          <w:sz w:val="24"/>
        </w:rPr>
      </w:pPr>
      <w:r>
        <w:rPr>
          <w:rFonts w:ascii="Palatino Linotype" w:hAnsi="Palatino Linotype" w:cs="Arial"/>
          <w:b/>
          <w:sz w:val="24"/>
        </w:rPr>
        <w:t>Solicitud de información 00049/COATHAR/IP/2021</w:t>
      </w:r>
    </w:p>
    <w:p w14:paraId="26DAB96E" w14:textId="6FF02330" w:rsidR="00105AC7" w:rsidRPr="00105AC7" w:rsidRDefault="00105AC7" w:rsidP="00105AC7">
      <w:pPr>
        <w:pStyle w:val="Citas"/>
        <w:rPr>
          <w:b/>
          <w:sz w:val="24"/>
        </w:rPr>
      </w:pPr>
      <w:r>
        <w:t xml:space="preserve">“TODAS LAS ACTAS DEL INVENTARIO DE LEVANTAMIENTO FISICO DE LOS BIENES INMUEBLES 2020” </w:t>
      </w:r>
      <w:r>
        <w:rPr>
          <w:b/>
        </w:rPr>
        <w:t>[Sic]</w:t>
      </w:r>
    </w:p>
    <w:p w14:paraId="1BE1ED57" w14:textId="77777777" w:rsidR="00105AC7" w:rsidRDefault="00105AC7" w:rsidP="00190EA0">
      <w:pPr>
        <w:spacing w:before="240" w:line="360" w:lineRule="auto"/>
        <w:ind w:right="850"/>
        <w:jc w:val="both"/>
        <w:rPr>
          <w:rFonts w:ascii="Palatino Linotype" w:eastAsia="Times New Roman" w:hAnsi="Palatino Linotype" w:cs="Times New Roman"/>
          <w:b/>
          <w:sz w:val="24"/>
          <w:szCs w:val="24"/>
          <w:lang w:val="es-ES_tradnl" w:eastAsia="es-ES"/>
        </w:rPr>
      </w:pPr>
    </w:p>
    <w:p w14:paraId="00344FBF" w14:textId="1837486B" w:rsidR="00190EA0" w:rsidRDefault="00190EA0" w:rsidP="00190EA0">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105AC7">
        <w:rPr>
          <w:rFonts w:ascii="Palatino Linotype" w:eastAsia="Times New Roman" w:hAnsi="Palatino Linotype" w:cs="Times New Roman"/>
          <w:sz w:val="24"/>
          <w:szCs w:val="24"/>
          <w:lang w:val="es-ES_tradnl" w:eastAsia="es-ES"/>
        </w:rPr>
        <w:t>cuatro</w:t>
      </w:r>
      <w:r>
        <w:rPr>
          <w:rFonts w:ascii="Palatino Linotype" w:eastAsia="Times New Roman" w:hAnsi="Palatino Linotype" w:cs="Times New Roman"/>
          <w:sz w:val="24"/>
          <w:szCs w:val="24"/>
          <w:lang w:val="es-ES_tradnl" w:eastAsia="es-ES"/>
        </w:rPr>
        <w:t xml:space="preserve"> casos.     </w:t>
      </w:r>
    </w:p>
    <w:p w14:paraId="00BAF780" w14:textId="77777777" w:rsidR="00190EA0" w:rsidRDefault="00190EA0" w:rsidP="008E7DB4">
      <w:pPr>
        <w:spacing w:before="240" w:line="360" w:lineRule="auto"/>
        <w:jc w:val="both"/>
        <w:rPr>
          <w:rFonts w:ascii="Palatino Linotype" w:hAnsi="Palatino Linotype" w:cs="Arial"/>
          <w:b/>
          <w:sz w:val="28"/>
          <w:lang w:val="es-ES_tradnl"/>
        </w:rPr>
      </w:pPr>
    </w:p>
    <w:p w14:paraId="28D8A302" w14:textId="4E95E572"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19F23F26" w14:textId="479A7E71" w:rsidR="008E7DB4" w:rsidRDefault="00190EA0" w:rsidP="008E7DB4">
      <w:pPr>
        <w:spacing w:before="240" w:line="360" w:lineRule="auto"/>
        <w:jc w:val="both"/>
        <w:rPr>
          <w:rFonts w:ascii="Palatino Linotype" w:hAnsi="Palatino Linotype" w:cs="Arial"/>
          <w:sz w:val="24"/>
          <w:szCs w:val="24"/>
        </w:rPr>
      </w:pPr>
      <w:r w:rsidRPr="00190EA0">
        <w:rPr>
          <w:rFonts w:ascii="Palatino Linotype" w:hAnsi="Palatino Linotype" w:cs="Arial"/>
          <w:sz w:val="24"/>
          <w:szCs w:val="24"/>
        </w:rPr>
        <w:t xml:space="preserve">De las constancias de los expedientes electrónicos del </w:t>
      </w:r>
      <w:r w:rsidRPr="00190EA0">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fue omiso en dar respuesta</w:t>
      </w:r>
      <w:r>
        <w:rPr>
          <w:rFonts w:ascii="Palatino Linotype" w:hAnsi="Palatino Linotype" w:cs="Arial"/>
          <w:sz w:val="24"/>
          <w:szCs w:val="24"/>
        </w:rPr>
        <w:t>s</w:t>
      </w:r>
      <w:r w:rsidR="008E7DB4">
        <w:rPr>
          <w:rFonts w:ascii="Palatino Linotype" w:hAnsi="Palatino Linotype" w:cs="Arial"/>
          <w:sz w:val="24"/>
          <w:szCs w:val="24"/>
        </w:rPr>
        <w:t xml:space="preserve"> a la</w:t>
      </w:r>
      <w:r>
        <w:rPr>
          <w:rFonts w:ascii="Palatino Linotype" w:hAnsi="Palatino Linotype" w:cs="Arial"/>
          <w:sz w:val="24"/>
          <w:szCs w:val="24"/>
        </w:rPr>
        <w:t>s</w:t>
      </w:r>
      <w:r w:rsidR="008E7DB4">
        <w:rPr>
          <w:rFonts w:ascii="Palatino Linotype" w:hAnsi="Palatino Linotype" w:cs="Arial"/>
          <w:sz w:val="24"/>
          <w:szCs w:val="24"/>
        </w:rPr>
        <w:t xml:space="preserve"> solicitud</w:t>
      </w:r>
      <w:r>
        <w:rPr>
          <w:rFonts w:ascii="Palatino Linotype" w:hAnsi="Palatino Linotype" w:cs="Arial"/>
          <w:sz w:val="24"/>
          <w:szCs w:val="24"/>
        </w:rPr>
        <w:t>es</w:t>
      </w:r>
      <w:r w:rsidR="008E7DB4">
        <w:rPr>
          <w:rFonts w:ascii="Palatino Linotype" w:hAnsi="Palatino Linotype" w:cs="Arial"/>
          <w:sz w:val="24"/>
          <w:szCs w:val="24"/>
        </w:rPr>
        <w:t xml:space="preserve"> de información presentada</w:t>
      </w:r>
      <w:r>
        <w:rPr>
          <w:rFonts w:ascii="Palatino Linotype" w:hAnsi="Palatino Linotype" w:cs="Arial"/>
          <w:sz w:val="24"/>
          <w:szCs w:val="24"/>
        </w:rPr>
        <w:t>s</w:t>
      </w:r>
      <w:r w:rsidR="008E7DB4">
        <w:rPr>
          <w:rFonts w:ascii="Palatino Linotype" w:hAnsi="Palatino Linotype" w:cs="Arial"/>
          <w:sz w:val="24"/>
          <w:szCs w:val="24"/>
        </w:rPr>
        <w:t xml:space="preserve"> por </w:t>
      </w:r>
      <w:r>
        <w:rPr>
          <w:rFonts w:ascii="Palatino Linotype" w:hAnsi="Palatino Linotype" w:cs="Arial"/>
          <w:b/>
          <w:sz w:val="24"/>
          <w:szCs w:val="24"/>
        </w:rPr>
        <w:t>La</w:t>
      </w:r>
      <w:r w:rsidR="008E7DB4">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Pr>
          <w:rFonts w:ascii="Palatino Linotype" w:hAnsi="Palatino Linotype" w:cs="Arial"/>
          <w:sz w:val="24"/>
          <w:szCs w:val="24"/>
        </w:rPr>
        <w:t>d</w:t>
      </w:r>
      <w:r w:rsidR="008E7DB4">
        <w:rPr>
          <w:rFonts w:ascii="Palatino Linotype" w:hAnsi="Palatino Linotype" w:cs="Arial"/>
          <w:sz w:val="24"/>
          <w:szCs w:val="24"/>
        </w:rPr>
        <w:t xml:space="preserve">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4FECA69A"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8E7DB4" w:rsidRPr="00523CF0">
        <w:rPr>
          <w:rFonts w:ascii="Palatino Linotype" w:hAnsi="Palatino Linotype"/>
          <w:b/>
          <w:sz w:val="28"/>
        </w:rPr>
        <w:t>Del recurso de revisión.</w:t>
      </w:r>
    </w:p>
    <w:p w14:paraId="455AEC7C" w14:textId="39F30071" w:rsidR="00105AC7" w:rsidRPr="00105AC7" w:rsidRDefault="008E7DB4" w:rsidP="00190EA0">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falta de respuesta</w:t>
      </w:r>
      <w:r w:rsidR="00190EA0">
        <w:rPr>
          <w:rFonts w:ascii="Palatino Linotype" w:hAnsi="Palatino Linotype" w:cs="Arial"/>
          <w:sz w:val="24"/>
          <w:szCs w:val="24"/>
        </w:rPr>
        <w:t>s</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190EA0">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w:t>
      </w:r>
      <w:r w:rsidR="00190EA0">
        <w:rPr>
          <w:rFonts w:ascii="Palatino Linotype" w:hAnsi="Palatino Linotype" w:cs="Arial"/>
          <w:sz w:val="24"/>
          <w:szCs w:val="24"/>
        </w:rPr>
        <w:t>los</w:t>
      </w:r>
      <w:r w:rsidRPr="0096643B">
        <w:rPr>
          <w:rFonts w:ascii="Palatino Linotype" w:hAnsi="Palatino Linotype" w:cs="Arial"/>
          <w:sz w:val="24"/>
          <w:szCs w:val="24"/>
        </w:rPr>
        <w:t xml:space="preserve"> recurso</w:t>
      </w:r>
      <w:r w:rsidR="00190EA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190EA0">
        <w:rPr>
          <w:rFonts w:ascii="Palatino Linotype" w:hAnsi="Palatino Linotype" w:cs="Arial"/>
          <w:sz w:val="24"/>
          <w:szCs w:val="24"/>
        </w:rPr>
        <w:t xml:space="preserve"> </w:t>
      </w:r>
      <w:r w:rsidR="00105AC7">
        <w:rPr>
          <w:rFonts w:ascii="Palatino Linotype" w:hAnsi="Palatino Linotype" w:cs="Arial"/>
          <w:sz w:val="24"/>
          <w:szCs w:val="24"/>
        </w:rPr>
        <w:t xml:space="preserve">veintidós de abril del año en curso, los cuales fueron registrados en el sistema electrónico con los expedientes </w:t>
      </w:r>
      <w:r w:rsidR="00105AC7">
        <w:rPr>
          <w:rFonts w:ascii="Palatino Linotype" w:hAnsi="Palatino Linotype" w:cs="Arial"/>
          <w:b/>
          <w:sz w:val="24"/>
        </w:rPr>
        <w:t xml:space="preserve">02260/INFOEM/IP/RR/2021, 02261/INFOEM/IP/RR/2021, 02262/INFOEM/IP/RR/2021 y 02263/INFOEM/IP/RR/2021 </w:t>
      </w:r>
      <w:r w:rsidR="00105AC7">
        <w:rPr>
          <w:rFonts w:ascii="Palatino Linotype" w:hAnsi="Palatino Linotype" w:cs="Arial"/>
          <w:sz w:val="24"/>
        </w:rPr>
        <w:t>en los cuales arguye las siguientes manifestaciones:</w:t>
      </w:r>
    </w:p>
    <w:p w14:paraId="2AF49E89" w14:textId="2B58C66C" w:rsidR="00105AC7" w:rsidRDefault="00105AC7" w:rsidP="00105AC7">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02260/INFOEM/IP/RR/2021</w:t>
      </w:r>
    </w:p>
    <w:p w14:paraId="491CD1AC" w14:textId="0AD91779" w:rsidR="00105AC7" w:rsidRPr="00105AC7" w:rsidRDefault="00105AC7" w:rsidP="00190EA0">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71A47EA2" w14:textId="07A82BC7" w:rsidR="00105AC7" w:rsidRDefault="00105AC7" w:rsidP="00105AC7">
      <w:pPr>
        <w:pStyle w:val="Citas"/>
        <w:rPr>
          <w:b/>
        </w:rPr>
      </w:pPr>
      <w:r>
        <w:t xml:space="preserve">“TODAS LAS ACTAS DEL LEVANTAMIENTO FISICO DE LOS BIENES MUEBLES DE AÑOS 2019” </w:t>
      </w:r>
      <w:r>
        <w:rPr>
          <w:b/>
        </w:rPr>
        <w:t>[Sic]</w:t>
      </w:r>
    </w:p>
    <w:p w14:paraId="59A41542" w14:textId="77777777" w:rsidR="00105AC7" w:rsidRPr="00105AC7" w:rsidRDefault="00105AC7" w:rsidP="00105AC7">
      <w:pPr>
        <w:pStyle w:val="Citas"/>
        <w:rPr>
          <w:b/>
          <w:sz w:val="24"/>
          <w:szCs w:val="24"/>
        </w:rPr>
      </w:pPr>
    </w:p>
    <w:p w14:paraId="32C6017A" w14:textId="77777777" w:rsidR="00105AC7" w:rsidRPr="00053099" w:rsidRDefault="00105AC7" w:rsidP="00105AC7">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55425AE5" w14:textId="06115D7B" w:rsidR="00190EA0" w:rsidRPr="00105AC7" w:rsidRDefault="00105AC7" w:rsidP="00105AC7">
      <w:pPr>
        <w:pStyle w:val="Citas"/>
        <w:rPr>
          <w:b/>
          <w:sz w:val="24"/>
          <w:szCs w:val="24"/>
        </w:rPr>
      </w:pPr>
      <w:r>
        <w:t xml:space="preserve">“se hizo caso omiso a mi solicitud” </w:t>
      </w:r>
      <w:r>
        <w:rPr>
          <w:b/>
        </w:rPr>
        <w:t>[Sic]</w:t>
      </w:r>
    </w:p>
    <w:p w14:paraId="62D86AF2" w14:textId="77777777" w:rsidR="00545EFC" w:rsidRDefault="00545EFC" w:rsidP="008E7DB4">
      <w:pPr>
        <w:spacing w:before="240" w:line="360" w:lineRule="auto"/>
        <w:jc w:val="both"/>
        <w:rPr>
          <w:rFonts w:ascii="Palatino Linotype" w:hAnsi="Palatino Linotype" w:cs="Arial"/>
          <w:b/>
          <w:sz w:val="28"/>
        </w:rPr>
      </w:pPr>
    </w:p>
    <w:p w14:paraId="0A1E5105" w14:textId="1BEEAF8A" w:rsidR="00105AC7" w:rsidRDefault="00105AC7" w:rsidP="00105AC7">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02261/INFOEM/IP/RR/2021</w:t>
      </w:r>
    </w:p>
    <w:p w14:paraId="4816F400" w14:textId="77777777" w:rsidR="00105AC7" w:rsidRDefault="00105AC7" w:rsidP="00105AC7">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464C4AB4" w14:textId="62C2741A" w:rsidR="00105AC7" w:rsidRPr="00105AC7" w:rsidRDefault="00105AC7" w:rsidP="00105AC7">
      <w:pPr>
        <w:pStyle w:val="Citas"/>
        <w:rPr>
          <w:b/>
        </w:rPr>
      </w:pPr>
      <w:r>
        <w:t xml:space="preserve">“TODAS LAS ACTAS DEL LEVANTAMIENTO FISICO DE BIENES MUEBLES DEL AÑO 2020” </w:t>
      </w:r>
      <w:r>
        <w:rPr>
          <w:b/>
        </w:rPr>
        <w:t>[Sic]</w:t>
      </w:r>
    </w:p>
    <w:p w14:paraId="355CDB0D" w14:textId="77777777" w:rsidR="00105AC7" w:rsidRPr="00053099" w:rsidRDefault="00105AC7" w:rsidP="00105AC7">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4E180255" w14:textId="3E23CD0B" w:rsidR="00105AC7" w:rsidRDefault="00105AC7" w:rsidP="00105AC7">
      <w:pPr>
        <w:pStyle w:val="Citas"/>
        <w:rPr>
          <w:b/>
        </w:rPr>
      </w:pPr>
      <w:r>
        <w:t xml:space="preserve">“no se me </w:t>
      </w:r>
      <w:proofErr w:type="spellStart"/>
      <w:r>
        <w:t>entreo</w:t>
      </w:r>
      <w:proofErr w:type="spellEnd"/>
      <w:r>
        <w:t xml:space="preserve"> la </w:t>
      </w:r>
      <w:proofErr w:type="spellStart"/>
      <w:r>
        <w:t>informacion</w:t>
      </w:r>
      <w:proofErr w:type="spellEnd"/>
      <w:r>
        <w:t xml:space="preserve"> solicitada” </w:t>
      </w:r>
      <w:r>
        <w:rPr>
          <w:b/>
        </w:rPr>
        <w:t>[Sic]</w:t>
      </w:r>
    </w:p>
    <w:p w14:paraId="7E7DEDF8" w14:textId="77777777" w:rsidR="00105AC7" w:rsidRDefault="00105AC7" w:rsidP="00105AC7">
      <w:pPr>
        <w:pStyle w:val="Citas"/>
        <w:rPr>
          <w:b/>
          <w:sz w:val="28"/>
        </w:rPr>
      </w:pPr>
    </w:p>
    <w:p w14:paraId="738CE5F6" w14:textId="7DDB5C0E" w:rsidR="00105AC7" w:rsidRDefault="00105AC7" w:rsidP="00105AC7">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02262/INFOEM/IP/RR/2021</w:t>
      </w:r>
    </w:p>
    <w:p w14:paraId="7238652B" w14:textId="77777777" w:rsidR="00105AC7" w:rsidRDefault="00105AC7" w:rsidP="00105AC7">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401F2E2B" w14:textId="56A7CEE8" w:rsidR="00105AC7" w:rsidRDefault="00105AC7" w:rsidP="00105AC7">
      <w:pPr>
        <w:pStyle w:val="Citas"/>
        <w:rPr>
          <w:b/>
        </w:rPr>
      </w:pPr>
      <w:r>
        <w:t>“</w:t>
      </w:r>
      <w:r w:rsidRPr="00105AC7">
        <w:t>TODAS LAS ACTAS DE LEVANTAMIENTO FISICO DE LOS BIENES INMUEBLES 2019</w:t>
      </w:r>
      <w:r>
        <w:t xml:space="preserve">” </w:t>
      </w:r>
      <w:r>
        <w:rPr>
          <w:b/>
        </w:rPr>
        <w:t>[Sic]</w:t>
      </w:r>
    </w:p>
    <w:p w14:paraId="746CD0A5" w14:textId="77777777" w:rsidR="00105AC7" w:rsidRPr="00053099" w:rsidRDefault="00105AC7" w:rsidP="00105AC7">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73AF0D4" w14:textId="672D3CCA" w:rsidR="00105AC7" w:rsidRDefault="00105AC7" w:rsidP="00105AC7">
      <w:pPr>
        <w:pStyle w:val="Citas"/>
        <w:rPr>
          <w:b/>
        </w:rPr>
      </w:pPr>
      <w:r>
        <w:t>“</w:t>
      </w:r>
      <w:r w:rsidRPr="00105AC7">
        <w:t xml:space="preserve">no se me entrego la </w:t>
      </w:r>
      <w:proofErr w:type="spellStart"/>
      <w:r w:rsidRPr="00105AC7">
        <w:t>informacion</w:t>
      </w:r>
      <w:proofErr w:type="spellEnd"/>
      <w:r w:rsidRPr="00105AC7">
        <w:t xml:space="preserve"> solicitada</w:t>
      </w:r>
      <w:r>
        <w:t xml:space="preserve">” </w:t>
      </w:r>
      <w:r>
        <w:rPr>
          <w:b/>
        </w:rPr>
        <w:t>[Sic]</w:t>
      </w:r>
    </w:p>
    <w:p w14:paraId="4D81F2F0" w14:textId="77777777" w:rsidR="00105AC7" w:rsidRDefault="00105AC7" w:rsidP="00105AC7">
      <w:pPr>
        <w:pStyle w:val="Citas"/>
        <w:rPr>
          <w:b/>
        </w:rPr>
      </w:pPr>
    </w:p>
    <w:p w14:paraId="392AA099" w14:textId="02438024" w:rsidR="00105AC7" w:rsidRDefault="00105AC7" w:rsidP="00105AC7">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Recurso de revisión 02263/INFOEM/IP/RR/2021</w:t>
      </w:r>
    </w:p>
    <w:p w14:paraId="3DFDA32A" w14:textId="77777777" w:rsidR="00105AC7" w:rsidRDefault="00105AC7" w:rsidP="00105AC7">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6625AC48" w14:textId="328806A1" w:rsidR="00105AC7" w:rsidRPr="00105AC7" w:rsidRDefault="00105AC7" w:rsidP="00105AC7">
      <w:pPr>
        <w:pStyle w:val="Citas"/>
        <w:rPr>
          <w:b/>
          <w:sz w:val="24"/>
          <w:szCs w:val="24"/>
        </w:rPr>
      </w:pPr>
      <w:r>
        <w:t xml:space="preserve">“TODAS LAS ACTAS DEL INVENTARIO DE LEVANTAMIENTO FISICO DE LOS BIENES INMUEBLES 2020” </w:t>
      </w:r>
      <w:r>
        <w:rPr>
          <w:b/>
        </w:rPr>
        <w:t>[Sic]</w:t>
      </w:r>
    </w:p>
    <w:p w14:paraId="524CC4C5" w14:textId="77777777" w:rsidR="00105AC7" w:rsidRPr="00053099" w:rsidRDefault="00105AC7" w:rsidP="00105AC7">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D51CE10" w14:textId="53752F87" w:rsidR="00105AC7" w:rsidRDefault="00105AC7" w:rsidP="00105AC7">
      <w:pPr>
        <w:pStyle w:val="Citas"/>
        <w:rPr>
          <w:b/>
        </w:rPr>
      </w:pPr>
      <w:r>
        <w:t>“</w:t>
      </w:r>
      <w:r w:rsidRPr="00105AC7">
        <w:t xml:space="preserve">no se me entrego la </w:t>
      </w:r>
      <w:proofErr w:type="spellStart"/>
      <w:r w:rsidRPr="00105AC7">
        <w:t>informacion</w:t>
      </w:r>
      <w:proofErr w:type="spellEnd"/>
      <w:r w:rsidRPr="00105AC7">
        <w:t xml:space="preserve"> solicitada</w:t>
      </w:r>
      <w:r>
        <w:t xml:space="preserve">” </w:t>
      </w:r>
      <w:r>
        <w:rPr>
          <w:b/>
        </w:rPr>
        <w:t>[Sic]</w:t>
      </w:r>
    </w:p>
    <w:p w14:paraId="51AD29FB" w14:textId="77777777" w:rsidR="00105AC7" w:rsidRPr="00105AC7" w:rsidRDefault="00105AC7" w:rsidP="00105AC7">
      <w:pPr>
        <w:pStyle w:val="Citas"/>
        <w:rPr>
          <w:b/>
        </w:rPr>
      </w:pPr>
    </w:p>
    <w:p w14:paraId="6494D2D0" w14:textId="76B77992"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2B771EAC" w14:textId="14560665" w:rsidR="00A86C49" w:rsidRDefault="00545EFC" w:rsidP="00A86C49">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105AC7">
        <w:rPr>
          <w:rFonts w:ascii="Palatino Linotype" w:hAnsi="Palatino Linotype" w:cs="Arial"/>
        </w:rPr>
        <w:t xml:space="preserve">onados Zulema Martínez Sánchez, Luis Gustavo Parra Noriega, Eva Abaid Yapur y José Guadalupe Luna Hernández, </w:t>
      </w:r>
      <w:r w:rsidRPr="0004219E">
        <w:rPr>
          <w:rFonts w:ascii="Palatino Linotype" w:hAnsi="Palatino Linotype" w:cs="Arial"/>
        </w:rPr>
        <w:t>en</w:t>
      </w:r>
      <w:r w:rsidRPr="00955C54">
        <w:rPr>
          <w:rFonts w:ascii="Palatino Linotype" w:hAnsi="Palatino Linotype" w:cs="Arial"/>
        </w:rPr>
        <w:t xml:space="preserve"> términos del arábigo 185 fracción I de la Ley de Transparencia y Acceso a la información Pública del Estado de México y Municipios, de los cuales recayeron en acuerdos de admisión en fecha</w:t>
      </w:r>
      <w:r w:rsidR="00C41EBB">
        <w:rPr>
          <w:rFonts w:ascii="Palatino Linotype" w:hAnsi="Palatino Linotype" w:cs="Arial"/>
        </w:rPr>
        <w:t xml:space="preserve">s veintiséis, veintisiete y veintiocho de abril del año en curso, </w:t>
      </w:r>
      <w:r w:rsidR="00A86C49">
        <w:rPr>
          <w:rFonts w:ascii="Palatino Linotype" w:hAnsi="Palatino Linotype" w:cs="Arial"/>
        </w:rPr>
        <w:t xml:space="preserve">determinándose, un plazo de siete días para que las partes manifestaran lo que a su derecho corresponda en términos de los numerales ya citados. </w:t>
      </w:r>
    </w:p>
    <w:p w14:paraId="362355E4" w14:textId="13E067E8" w:rsidR="00A86C49" w:rsidRDefault="00A86C49" w:rsidP="00545EFC">
      <w:pPr>
        <w:pStyle w:val="Prrafodelista"/>
        <w:spacing w:line="360" w:lineRule="auto"/>
        <w:ind w:left="0"/>
        <w:jc w:val="both"/>
        <w:rPr>
          <w:rFonts w:ascii="Palatino Linotype" w:hAnsi="Palatino Linotype" w:cs="Arial"/>
        </w:rPr>
      </w:pPr>
    </w:p>
    <w:p w14:paraId="1A41EEAF" w14:textId="77777777" w:rsidR="00545EFC" w:rsidRPr="00696379" w:rsidRDefault="00545EFC" w:rsidP="00545EF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202514EF" w14:textId="487E13D3" w:rsidR="00A86C49" w:rsidRPr="00696379" w:rsidRDefault="00545EFC" w:rsidP="00A86C49">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C41EBB">
        <w:rPr>
          <w:rFonts w:ascii="Palatino Linotype" w:hAnsi="Palatino Linotype" w:cs="Arial"/>
        </w:rPr>
        <w:t xml:space="preserve">Décima Quinta Sesión Ordinaria, de fecha seis de mayo de dos mil veintiuno, </w:t>
      </w:r>
      <w:r w:rsidR="00A86C49" w:rsidRPr="00696379">
        <w:rPr>
          <w:rFonts w:ascii="Palatino Linotype" w:hAnsi="Palatino Linotype" w:cs="Arial"/>
        </w:rPr>
        <w:t xml:space="preserve">se determinó acumular los </w:t>
      </w:r>
      <w:r w:rsidR="00A86C49" w:rsidRPr="00696379">
        <w:rPr>
          <w:rFonts w:ascii="Palatino Linotype" w:hAnsi="Palatino Linotype" w:cs="Arial"/>
        </w:rPr>
        <w:lastRenderedPageBreak/>
        <w:t>recursos de revisión en estudio, ya que existe identidad de</w:t>
      </w:r>
      <w:r w:rsidR="007261E9">
        <w:rPr>
          <w:rFonts w:ascii="Palatino Linotype" w:hAnsi="Palatino Linotype" w:cs="Arial"/>
        </w:rPr>
        <w:t xml:space="preserve"> la</w:t>
      </w:r>
      <w:r w:rsidR="00A86C49" w:rsidRPr="00696379">
        <w:rPr>
          <w:rFonts w:ascii="Palatino Linotype" w:hAnsi="Palatino Linotype" w:cs="Arial"/>
        </w:rPr>
        <w:t xml:space="preserve"> solicitante, del sujeto obligado y similitud de causas y objeto de solicitud.</w:t>
      </w:r>
    </w:p>
    <w:p w14:paraId="278A5B6F" w14:textId="49A0E9DE" w:rsidR="00A86C49" w:rsidRDefault="00A86C49" w:rsidP="00545EFC">
      <w:pPr>
        <w:pStyle w:val="Prrafodelista"/>
        <w:spacing w:line="360" w:lineRule="auto"/>
        <w:ind w:left="0"/>
        <w:jc w:val="both"/>
        <w:rPr>
          <w:rFonts w:ascii="Palatino Linotype" w:hAnsi="Palatino Linotype" w:cs="Arial"/>
        </w:rPr>
      </w:pPr>
    </w:p>
    <w:p w14:paraId="76535F9A" w14:textId="77777777" w:rsidR="00545EFC" w:rsidRPr="00CA418F" w:rsidRDefault="00545EFC" w:rsidP="00545EF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7878A7B" w14:textId="77777777" w:rsidR="00545EFC" w:rsidRPr="007D54D0" w:rsidRDefault="00545EFC" w:rsidP="00545EF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5D8947C" w14:textId="77777777" w:rsidR="00545EFC" w:rsidRPr="00A6274E" w:rsidRDefault="00545EFC" w:rsidP="00545EF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569A0BB" w14:textId="77777777" w:rsidR="00545EFC" w:rsidRPr="001D1D00" w:rsidRDefault="00545EFC" w:rsidP="00545EF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047DBA8" w14:textId="77777777" w:rsidR="00545EFC" w:rsidRPr="006F2470" w:rsidRDefault="00545EFC" w:rsidP="00545EF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40592886" w14:textId="77777777" w:rsidR="00545EFC" w:rsidRDefault="00545EFC" w:rsidP="00545EFC">
      <w:pPr>
        <w:pStyle w:val="Prrafodelista"/>
        <w:spacing w:line="360" w:lineRule="auto"/>
        <w:ind w:left="0"/>
        <w:jc w:val="both"/>
        <w:rPr>
          <w:rFonts w:ascii="Palatino Linotype" w:hAnsi="Palatino Linotype" w:cs="Arial"/>
        </w:rPr>
      </w:pPr>
    </w:p>
    <w:p w14:paraId="27CB5860" w14:textId="77777777" w:rsidR="00C41EBB" w:rsidRDefault="00C41EBB" w:rsidP="00545EFC">
      <w:pPr>
        <w:pStyle w:val="Prrafodelista"/>
        <w:spacing w:line="360" w:lineRule="auto"/>
        <w:ind w:left="0"/>
        <w:jc w:val="both"/>
        <w:rPr>
          <w:rFonts w:ascii="Palatino Linotype" w:hAnsi="Palatino Linotype" w:cs="Arial"/>
        </w:rPr>
      </w:pPr>
    </w:p>
    <w:p w14:paraId="0B7ABEB7" w14:textId="77777777" w:rsidR="00545EFC" w:rsidRDefault="008E7DB4" w:rsidP="00545EFC">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sidR="00545EFC">
        <w:rPr>
          <w:rFonts w:ascii="Palatino Linotype" w:hAnsi="Palatino Linotype" w:cs="Arial"/>
          <w:b/>
          <w:sz w:val="28"/>
        </w:rPr>
        <w:t>SEXTO</w:t>
      </w:r>
      <w:r w:rsidR="00545EFC" w:rsidRPr="008551ED">
        <w:rPr>
          <w:rFonts w:ascii="Palatino Linotype" w:hAnsi="Palatino Linotype" w:cs="Arial"/>
          <w:b/>
          <w:sz w:val="24"/>
          <w:szCs w:val="24"/>
        </w:rPr>
        <w:t>.</w:t>
      </w:r>
      <w:r w:rsidR="00545EFC">
        <w:rPr>
          <w:rFonts w:ascii="Palatino Linotype" w:hAnsi="Palatino Linotype" w:cs="Arial"/>
          <w:b/>
          <w:sz w:val="24"/>
          <w:szCs w:val="24"/>
        </w:rPr>
        <w:t xml:space="preserve"> </w:t>
      </w:r>
      <w:r w:rsidR="00545EFC" w:rsidRPr="0087163A">
        <w:rPr>
          <w:rFonts w:ascii="Palatino Linotype" w:hAnsi="Palatino Linotype" w:cs="Arial"/>
          <w:b/>
          <w:sz w:val="28"/>
          <w:szCs w:val="28"/>
        </w:rPr>
        <w:t>De la etapa de instrucción.</w:t>
      </w:r>
    </w:p>
    <w:p w14:paraId="72B738E9" w14:textId="77777777" w:rsidR="00A86C49" w:rsidRPr="00BC559D" w:rsidRDefault="00A86C49" w:rsidP="00A86C4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sus informes justificados, asimismo,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rendir las manifestaciones estimadas pertinentes. </w:t>
      </w:r>
    </w:p>
    <w:p w14:paraId="5CA4D2AC" w14:textId="6348C5CC" w:rsidR="00A86C49" w:rsidRDefault="00A86C49" w:rsidP="00A86C4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w:t>
      </w:r>
      <w:r w:rsidRPr="00E27B53">
        <w:rPr>
          <w:rFonts w:ascii="Palatino Linotype" w:hAnsi="Palatino Linotype" w:cs="Arial"/>
          <w:sz w:val="24"/>
          <w:szCs w:val="24"/>
        </w:rPr>
        <w:t xml:space="preserve">establecido para que las partes manifestaran lo que a su derecho conviniera, en fecha </w:t>
      </w:r>
      <w:r w:rsidR="00C41EBB">
        <w:rPr>
          <w:rFonts w:ascii="Palatino Linotype" w:hAnsi="Palatino Linotype" w:cs="Arial"/>
          <w:sz w:val="24"/>
          <w:szCs w:val="24"/>
        </w:rPr>
        <w:t>once de mayo</w:t>
      </w:r>
      <w:r w:rsidRPr="00E27B53">
        <w:rPr>
          <w:rFonts w:ascii="Palatino Linotype" w:hAnsi="Palatino Linotype" w:cs="Arial"/>
          <w:sz w:val="24"/>
          <w:szCs w:val="24"/>
        </w:rPr>
        <w:t xml:space="preserve"> del presente se decretó el cierre de instrucción en términos del artículo 185 fracción VI</w:t>
      </w:r>
      <w:r>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 </w:t>
      </w:r>
    </w:p>
    <w:p w14:paraId="1CADCCB9" w14:textId="77777777" w:rsidR="00A86C49" w:rsidRDefault="00A86C49" w:rsidP="00A86C4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bookmarkStart w:id="0" w:name="_GoBack"/>
      <w:bookmarkEnd w:id="0"/>
    </w:p>
    <w:p w14:paraId="2D93F60A" w14:textId="77777777" w:rsidR="00C41EBB" w:rsidRDefault="00C41EBB" w:rsidP="00C41EBB">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w:t>
      </w:r>
      <w:r w:rsidRPr="008F797B">
        <w:rPr>
          <w:rFonts w:ascii="Palatino Linotype" w:hAnsi="Palatino Linotype" w:cs="Arial"/>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0529CF3" w14:textId="77777777" w:rsidR="00C41EBB" w:rsidRDefault="00C41EBB" w:rsidP="00C41EB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B45975F" w14:textId="77777777" w:rsidR="00EF2ECF" w:rsidRPr="008F797B" w:rsidRDefault="00EF2EC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5EAA08D" w14:textId="3F6480E6"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sidR="007261E9">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w:t>
      </w:r>
      <w:r w:rsidRPr="00584718">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51E0914"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p>
    <w:p w14:paraId="5C4F2585" w14:textId="5C94216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sidR="00D831E8">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w:t>
      </w:r>
      <w:r w:rsidR="005C4A72">
        <w:rPr>
          <w:rFonts w:ascii="Palatino Linotype" w:eastAsia="Times New Roman" w:hAnsi="Palatino Linotype" w:cs="Times New Roman"/>
          <w:sz w:val="24"/>
          <w:szCs w:val="24"/>
          <w:lang w:eastAsia="es-ES"/>
        </w:rPr>
        <w:t xml:space="preserve"> </w:t>
      </w:r>
      <w:r w:rsidR="005C4A72">
        <w:rPr>
          <w:rFonts w:ascii="Palatino Linotype" w:eastAsia="Times New Roman" w:hAnsi="Palatino Linotype" w:cs="Times New Roman"/>
          <w:b/>
          <w:bCs/>
          <w:sz w:val="24"/>
          <w:szCs w:val="24"/>
          <w:lang w:eastAsia="es-ES"/>
        </w:rPr>
        <w:t>La</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635F56AD"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5B8D123F"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E01EE33"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3B1C0946" w14:textId="26CE05E5" w:rsidR="00F66CC7" w:rsidRPr="00584718" w:rsidRDefault="00A86C49" w:rsidP="00F66CC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w:t>
      </w:r>
      <w:r w:rsidR="00F66CC7"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00F66CC7" w:rsidRPr="00D831E8">
        <w:rPr>
          <w:rFonts w:ascii="Palatino Linotype" w:eastAsia="Times New Roman" w:hAnsi="Palatino Linotype" w:cs="Times New Roman"/>
          <w:b/>
          <w:bCs/>
          <w:i/>
          <w:sz w:val="24"/>
          <w:szCs w:val="24"/>
          <w:lang w:eastAsia="es-ES"/>
        </w:rPr>
        <w:t>negativa ficta</w:t>
      </w:r>
      <w:r w:rsidR="00F66CC7"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00F66CC7" w:rsidRPr="005C4A72">
        <w:rPr>
          <w:rFonts w:ascii="Palatino Linotype" w:eastAsia="Times New Roman" w:hAnsi="Palatino Linotype" w:cs="Times New Roman"/>
          <w:b/>
          <w:bCs/>
          <w:sz w:val="24"/>
          <w:szCs w:val="24"/>
          <w:lang w:eastAsia="es-ES"/>
        </w:rPr>
        <w:lastRenderedPageBreak/>
        <w:t>Sujetos Obligados,</w:t>
      </w:r>
      <w:r w:rsidR="00F66CC7" w:rsidRPr="00584718">
        <w:rPr>
          <w:rFonts w:ascii="Palatino Linotype" w:eastAsia="Times New Roman" w:hAnsi="Palatino Linotype" w:cs="Times New Roman"/>
          <w:sz w:val="24"/>
          <w:szCs w:val="24"/>
          <w:lang w:eastAsia="es-ES"/>
        </w:rPr>
        <w:t xml:space="preserve"> conforme a los artículos 4, 12</w:t>
      </w:r>
      <w:r w:rsidR="00F66CC7">
        <w:rPr>
          <w:rFonts w:ascii="Palatino Linotype" w:eastAsia="Times New Roman" w:hAnsi="Palatino Linotype" w:cs="Times New Roman"/>
          <w:sz w:val="24"/>
          <w:szCs w:val="24"/>
          <w:lang w:eastAsia="es-ES"/>
        </w:rPr>
        <w:t xml:space="preserve"> </w:t>
      </w:r>
      <w:r w:rsidR="00F66CC7" w:rsidRPr="00584718">
        <w:rPr>
          <w:rFonts w:ascii="Palatino Linotype" w:eastAsia="Times New Roman" w:hAnsi="Palatino Linotype" w:cs="Times New Roman"/>
          <w:sz w:val="24"/>
          <w:szCs w:val="24"/>
          <w:lang w:eastAsia="es-ES"/>
        </w:rPr>
        <w:t>y 160, de la Ley local en la materia, que a la letra citan:</w:t>
      </w:r>
    </w:p>
    <w:p w14:paraId="3910382D" w14:textId="7BA24CEC" w:rsidR="00F66CC7" w:rsidRPr="00584718" w:rsidRDefault="00F66CC7" w:rsidP="00F66CC7">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35963" w14:textId="77777777" w:rsidR="00F66CC7" w:rsidRPr="00584718" w:rsidRDefault="00F66CC7" w:rsidP="00F66CC7">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8DB085" w14:textId="77777777" w:rsidR="00F66CC7" w:rsidRPr="00584718" w:rsidRDefault="00F66CC7" w:rsidP="00F66CC7">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14BB3523" w14:textId="77777777" w:rsidR="00F66CC7" w:rsidRPr="00584718" w:rsidRDefault="00F66CC7" w:rsidP="00F66CC7">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6D5C01B" w14:textId="77777777" w:rsidR="00F66CC7" w:rsidRPr="00584718" w:rsidRDefault="00F66CC7" w:rsidP="00F66CC7">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71379E74" w14:textId="77777777" w:rsidR="00F66CC7" w:rsidRPr="00584718" w:rsidRDefault="00F66CC7" w:rsidP="00F66CC7">
      <w:pPr>
        <w:pStyle w:val="infoemcitas"/>
        <w:rPr>
          <w:lang w:eastAsia="es-ES"/>
        </w:rPr>
      </w:pPr>
      <w:r w:rsidRPr="00584718">
        <w:rPr>
          <w:lang w:eastAsia="es-ES"/>
        </w:rPr>
        <w:t>(…)</w:t>
      </w:r>
    </w:p>
    <w:p w14:paraId="16E02AF7" w14:textId="77777777" w:rsidR="00F66CC7" w:rsidRPr="00584718" w:rsidRDefault="00F66CC7" w:rsidP="00F66CC7">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2B8297" w14:textId="56E320F2" w:rsidR="00F66CC7" w:rsidRPr="00F66CC7" w:rsidRDefault="00F66CC7" w:rsidP="00F66CC7">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23D9872"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700E3317"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1E0B6A2" w14:textId="5A4C5B86" w:rsidR="00F66CC7" w:rsidRPr="00F66CC7" w:rsidRDefault="00F66CC7" w:rsidP="00F66CC7">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4CB47FC"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05954DF1" w14:textId="4B01A0B6"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sidR="005C4A72">
        <w:rPr>
          <w:rFonts w:ascii="Palatino Linotype" w:eastAsia="Times New Roman" w:hAnsi="Palatino Linotype" w:cs="Times New Roman"/>
          <w:sz w:val="24"/>
          <w:szCs w:val="24"/>
          <w:lang w:eastAsia="es-ES"/>
        </w:rPr>
        <w:t xml:space="preserve"> </w:t>
      </w:r>
      <w:r w:rsidR="005C4A72" w:rsidRPr="005C4A72">
        <w:rPr>
          <w:rFonts w:ascii="Palatino Linotype" w:eastAsia="Times New Roman" w:hAnsi="Palatino Linotype" w:cs="Times New Roman"/>
          <w:b/>
          <w:bCs/>
          <w:sz w:val="24"/>
          <w:szCs w:val="24"/>
          <w:lang w:eastAsia="es-ES"/>
        </w:rPr>
        <w:t>La</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w:t>
      </w:r>
      <w:r w:rsidRPr="00584718">
        <w:rPr>
          <w:rFonts w:ascii="Palatino Linotype" w:eastAsia="Times New Roman" w:hAnsi="Palatino Linotype" w:cs="Times New Roman"/>
          <w:sz w:val="24"/>
          <w:szCs w:val="24"/>
          <w:lang w:eastAsia="es-ES"/>
        </w:rPr>
        <w:lastRenderedPageBreak/>
        <w:t>no entrega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sidR="00A804BA">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sidR="00A804BA">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BDBBD4A" w14:textId="77777777" w:rsidR="00F66CC7" w:rsidRPr="00584718" w:rsidRDefault="00F66CC7" w:rsidP="00F66CC7">
      <w:pPr>
        <w:pStyle w:val="Sinespaciado"/>
      </w:pPr>
    </w:p>
    <w:p w14:paraId="47F99633" w14:textId="313AE85B" w:rsidR="00F66CC7" w:rsidRPr="00584718" w:rsidRDefault="00F66CC7" w:rsidP="00F66CC7">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D0405F5" w14:textId="77777777" w:rsidR="00F66CC7" w:rsidRPr="00584718" w:rsidRDefault="00F66CC7" w:rsidP="00F66CC7">
      <w:pPr>
        <w:pStyle w:val="infoemcitas"/>
        <w:rPr>
          <w:lang w:eastAsia="es-ES"/>
        </w:rPr>
      </w:pPr>
      <w:r w:rsidRPr="00584718">
        <w:rPr>
          <w:bCs/>
          <w:lang w:eastAsia="es-ES"/>
        </w:rPr>
        <w:t>(..</w:t>
      </w:r>
      <w:r w:rsidRPr="00584718">
        <w:rPr>
          <w:lang w:eastAsia="es-ES"/>
        </w:rPr>
        <w:t>.)</w:t>
      </w:r>
    </w:p>
    <w:p w14:paraId="2E656345" w14:textId="1909B766" w:rsidR="00F66CC7" w:rsidRDefault="00F66CC7" w:rsidP="00F66CC7">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4CD8FCF" w14:textId="15122015" w:rsidR="00F66CC7" w:rsidRPr="00F66CC7" w:rsidRDefault="00F66CC7" w:rsidP="00F66CC7">
      <w:pPr>
        <w:pStyle w:val="infoemcitas"/>
        <w:rPr>
          <w:b/>
          <w:lang w:eastAsia="es-ES"/>
        </w:rPr>
      </w:pPr>
      <w:r>
        <w:rPr>
          <w:bCs/>
          <w:lang w:eastAsia="es-ES"/>
        </w:rPr>
        <w:t xml:space="preserve">(…)” </w:t>
      </w:r>
      <w:r>
        <w:rPr>
          <w:b/>
          <w:lang w:eastAsia="es-ES"/>
        </w:rPr>
        <w:t>[Sic]</w:t>
      </w:r>
    </w:p>
    <w:p w14:paraId="029E0AB0" w14:textId="77777777" w:rsidR="00F66CC7" w:rsidRPr="00584718"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040CB365" w14:textId="3A6300E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sidR="005C4A72">
        <w:rPr>
          <w:rFonts w:ascii="Palatino Linotype" w:hAnsi="Palatino Linotype" w:cs="Arial"/>
        </w:rPr>
        <w:t>los</w:t>
      </w:r>
      <w:r w:rsidRPr="00584718">
        <w:rPr>
          <w:rFonts w:ascii="Palatino Linotype" w:hAnsi="Palatino Linotype" w:cs="Arial"/>
        </w:rPr>
        <w:t xml:space="preserve"> expediente</w:t>
      </w:r>
      <w:r w:rsidR="005C4A72">
        <w:rPr>
          <w:rFonts w:ascii="Palatino Linotype" w:hAnsi="Palatino Linotype" w:cs="Arial"/>
        </w:rPr>
        <w:t>s</w:t>
      </w:r>
      <w:r w:rsidRPr="00584718">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64AD8A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30672B0C" w14:textId="272A0BFD"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sidR="00A86C49">
        <w:rPr>
          <w:rFonts w:ascii="Palatino Linotype" w:hAnsi="Palatino Linotype" w:cs="Arial"/>
        </w:rPr>
        <w:t xml:space="preserve"> los</w:t>
      </w:r>
      <w:r w:rsidRPr="00584718">
        <w:rPr>
          <w:rFonts w:ascii="Palatino Linotype" w:hAnsi="Palatino Linotype" w:cs="Arial"/>
        </w:rPr>
        <w:t xml:space="preserve"> acto</w:t>
      </w:r>
      <w:r w:rsidR="00A86C49">
        <w:rPr>
          <w:rFonts w:ascii="Palatino Linotype" w:hAnsi="Palatino Linotype" w:cs="Arial"/>
        </w:rPr>
        <w:t>s</w:t>
      </w:r>
      <w:r w:rsidRPr="00584718">
        <w:rPr>
          <w:rFonts w:ascii="Palatino Linotype" w:hAnsi="Palatino Linotype" w:cs="Arial"/>
        </w:rPr>
        <w:t xml:space="preserve"> impugnado</w:t>
      </w:r>
      <w:r w:rsidR="00A86C49">
        <w:rPr>
          <w:rFonts w:ascii="Palatino Linotype" w:hAnsi="Palatino Linotype" w:cs="Arial"/>
        </w:rPr>
        <w:t>s</w:t>
      </w:r>
      <w:r w:rsidRPr="00584718">
        <w:rPr>
          <w:rFonts w:ascii="Palatino Linotype" w:hAnsi="Palatino Linotype" w:cs="Arial"/>
        </w:rPr>
        <w:t xml:space="preserve"> por </w:t>
      </w:r>
      <w:r w:rsidR="00A86C49">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w:t>
      </w:r>
      <w:r w:rsidRPr="00584718">
        <w:rPr>
          <w:rFonts w:ascii="Palatino Linotype" w:hAnsi="Palatino Linotype" w:cs="Arial"/>
        </w:rPr>
        <w:lastRenderedPageBreak/>
        <w:t>forma toral, de la falta de respuesta</w:t>
      </w:r>
      <w:r w:rsidR="005C4A72">
        <w:rPr>
          <w:rFonts w:ascii="Palatino Linotype" w:hAnsi="Palatino Linotype" w:cs="Arial"/>
        </w:rPr>
        <w:t>s</w:t>
      </w:r>
      <w:r w:rsidRPr="00584718">
        <w:rPr>
          <w:rFonts w:ascii="Palatino Linotype" w:hAnsi="Palatino Linotype" w:cs="Arial"/>
        </w:rPr>
        <w:t xml:space="preserve"> a la</w:t>
      </w:r>
      <w:r w:rsidR="005C4A72">
        <w:rPr>
          <w:rFonts w:ascii="Palatino Linotype" w:hAnsi="Palatino Linotype" w:cs="Arial"/>
        </w:rPr>
        <w:t>s</w:t>
      </w:r>
      <w:r w:rsidRPr="00584718">
        <w:rPr>
          <w:rFonts w:ascii="Palatino Linotype" w:hAnsi="Palatino Linotype" w:cs="Arial"/>
        </w:rPr>
        <w:t xml:space="preserve"> solicitud</w:t>
      </w:r>
      <w:r w:rsidR="005C4A72">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5BA55464" w14:textId="77777777" w:rsidR="00F66CC7" w:rsidRDefault="00F66CC7" w:rsidP="00F66CC7">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0A35811" w14:textId="77777777" w:rsidR="00F66CC7" w:rsidRPr="00584718" w:rsidRDefault="00F66CC7" w:rsidP="00F66CC7">
      <w:pPr>
        <w:pStyle w:val="infoemcitas"/>
      </w:pPr>
      <w:r>
        <w:rPr>
          <w:b/>
          <w:bCs/>
        </w:rPr>
        <w:t>(…</w:t>
      </w:r>
      <w:r>
        <w:t>)</w:t>
      </w:r>
    </w:p>
    <w:p w14:paraId="45768461" w14:textId="77777777" w:rsidR="00F66CC7" w:rsidRPr="00584718" w:rsidRDefault="00F66CC7" w:rsidP="00F66CC7">
      <w:pPr>
        <w:pStyle w:val="infoemcitas"/>
      </w:pPr>
      <w:r w:rsidRPr="00584718">
        <w:rPr>
          <w:b/>
          <w:bCs/>
        </w:rPr>
        <w:t xml:space="preserve">VII. </w:t>
      </w:r>
      <w:r w:rsidRPr="00584718">
        <w:t>La falta de respuesta a una solicitud de acceso a la información</w:t>
      </w:r>
    </w:p>
    <w:p w14:paraId="6EC14EFC" w14:textId="3A3E48DD" w:rsidR="00F66CC7" w:rsidRDefault="00F66CC7" w:rsidP="00F66CC7">
      <w:pPr>
        <w:pStyle w:val="infoemcitas"/>
        <w:rPr>
          <w:rFonts w:cs="Arial"/>
          <w:b/>
        </w:rPr>
      </w:pPr>
      <w:r w:rsidRPr="00584718">
        <w:rPr>
          <w:rFonts w:cs="Arial"/>
          <w:b/>
        </w:rPr>
        <w:t>(…)”</w:t>
      </w:r>
      <w:r w:rsidRPr="00584718">
        <w:rPr>
          <w:rFonts w:cs="Arial"/>
        </w:rPr>
        <w:t xml:space="preserve"> </w:t>
      </w:r>
      <w:r w:rsidRPr="00584718">
        <w:rPr>
          <w:rFonts w:cs="Arial"/>
          <w:b/>
        </w:rPr>
        <w:t>[Sic]</w:t>
      </w:r>
    </w:p>
    <w:p w14:paraId="027E0647" w14:textId="77777777" w:rsidR="00A86C49" w:rsidRDefault="00A86C49" w:rsidP="00F66CC7">
      <w:pPr>
        <w:pStyle w:val="infoemcitas"/>
        <w:rPr>
          <w:rFonts w:cs="Arial"/>
          <w:b/>
        </w:rPr>
      </w:pPr>
    </w:p>
    <w:p w14:paraId="5F230389" w14:textId="37B7F16F"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A86C49">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C4A72">
        <w:rPr>
          <w:rFonts w:ascii="Palatino Linotype" w:hAnsi="Palatino Linotype" w:cs="Arial"/>
        </w:rPr>
        <w:t>los</w:t>
      </w:r>
      <w:r>
        <w:rPr>
          <w:rFonts w:ascii="Palatino Linotype" w:hAnsi="Palatino Linotype" w:cs="Arial"/>
        </w:rPr>
        <w:t xml:space="preserve"> expediente</w:t>
      </w:r>
      <w:r w:rsidR="005C4A72">
        <w:rPr>
          <w:rFonts w:ascii="Palatino Linotype" w:hAnsi="Palatino Linotype" w:cs="Arial"/>
        </w:rPr>
        <w:t>s</w:t>
      </w:r>
      <w:r>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hecha</w:t>
      </w:r>
      <w:r w:rsidR="00F404E9">
        <w:rPr>
          <w:rFonts w:ascii="Palatino Linotype" w:hAnsi="Palatino Linotype" w:cs="Arial"/>
        </w:rPr>
        <w:t>s</w:t>
      </w:r>
      <w:r w:rsidRPr="00584718">
        <w:rPr>
          <w:rFonts w:ascii="Palatino Linotype" w:hAnsi="Palatino Linotype" w:cs="Arial"/>
        </w:rPr>
        <w:t xml:space="preserve"> por </w:t>
      </w:r>
      <w:r w:rsidR="00F404E9">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D4B78D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p>
    <w:p w14:paraId="336769F5" w14:textId="59656AC4"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5C4A72">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en su</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y ante la falta de respuesta</w:t>
      </w:r>
      <w:r w:rsidR="00F404E9">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158A908"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61596741" w14:textId="188C28A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5C4A72">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5C4A72">
        <w:rPr>
          <w:rFonts w:ascii="Palatino Linotype" w:hAnsi="Palatino Linotype"/>
          <w:lang w:eastAsia="es-MX"/>
        </w:rPr>
        <w:t>s</w:t>
      </w:r>
      <w:r w:rsidRPr="00584718">
        <w:rPr>
          <w:rFonts w:ascii="Palatino Linotype" w:hAnsi="Palatino Linotype"/>
          <w:lang w:eastAsia="es-MX"/>
        </w:rPr>
        <w:t xml:space="preserve"> solicitud</w:t>
      </w:r>
      <w:r w:rsidR="005C4A72">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sidR="005C4A72">
        <w:rPr>
          <w:rFonts w:ascii="Palatino Linotype" w:hAnsi="Palatino Linotype"/>
          <w:lang w:eastAsia="es-MX"/>
        </w:rPr>
        <w:t>s</w:t>
      </w:r>
      <w:r w:rsidRPr="00584718">
        <w:rPr>
          <w:rFonts w:ascii="Palatino Linotype" w:hAnsi="Palatino Linotype"/>
          <w:lang w:eastAsia="es-MX"/>
        </w:rPr>
        <w:t xml:space="preserve"> petici</w:t>
      </w:r>
      <w:r w:rsidR="005C4A72">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807F626" w14:textId="77777777" w:rsidR="00F66CC7" w:rsidRPr="00584718" w:rsidRDefault="00F66CC7" w:rsidP="00F66CC7">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76883CF8" w14:textId="77777777" w:rsidR="00F66CC7" w:rsidRPr="00584718" w:rsidRDefault="00F66CC7" w:rsidP="00F66CC7">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6397EFED" w14:textId="77777777" w:rsidR="00F66CC7" w:rsidRPr="00584718" w:rsidRDefault="00F66CC7" w:rsidP="00F66CC7">
      <w:pPr>
        <w:pStyle w:val="infoemcitas"/>
        <w:rPr>
          <w:rFonts w:cs="Arial"/>
          <w:bCs/>
        </w:rPr>
      </w:pPr>
      <w:r w:rsidRPr="00584718">
        <w:rPr>
          <w:rFonts w:cs="Arial"/>
          <w:bCs/>
        </w:rPr>
        <w:t>(…)</w:t>
      </w:r>
    </w:p>
    <w:p w14:paraId="56DC3E6C" w14:textId="77777777" w:rsidR="00F66CC7" w:rsidRPr="00584718" w:rsidRDefault="00F66CC7" w:rsidP="00F66CC7">
      <w:pPr>
        <w:pStyle w:val="infoemcitas"/>
        <w:rPr>
          <w:rFonts w:cs="Arial"/>
          <w:bCs/>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5A53A194" w14:textId="77777777"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6A9DA1" w14:textId="5F045DE5"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sidR="005C4A72">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sidR="00F404E9">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razones de inconformidad emitidos, se distingue que se adolece, de forma toral, de la falta de respuesta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sidR="005C4A72">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27011EA5" w14:textId="71015477" w:rsidR="00F404E9" w:rsidRDefault="00F404E9"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41E0C2" w14:textId="31D33369" w:rsidR="00F404E9" w:rsidRDefault="00F404E9" w:rsidP="00F404E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Bajo estas líneas argumentativas, al retomar y delimitar los requerimientos de la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4244A1ED" w14:textId="49C289ED" w:rsidR="00F404E9" w:rsidRPr="00F404E9" w:rsidRDefault="00C41EBB" w:rsidP="00F404E9">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Actas de levantamiento de bienes muebles e inmuebles </w:t>
      </w:r>
      <w:r w:rsidR="008E2F5D">
        <w:rPr>
          <w:rFonts w:ascii="Palatino Linotype" w:hAnsi="Palatino Linotype" w:cs="Arial"/>
        </w:rPr>
        <w:t xml:space="preserve">correspondientes a los ejercicios fiscales dos mil diecinueve y dos mil veinte. </w:t>
      </w:r>
      <w:r>
        <w:rPr>
          <w:rFonts w:ascii="Palatino Linotype" w:hAnsi="Palatino Linotype" w:cs="Arial"/>
        </w:rPr>
        <w:t xml:space="preserve"> </w:t>
      </w:r>
    </w:p>
    <w:p w14:paraId="482A6BC1" w14:textId="436DB678" w:rsidR="00F404E9" w:rsidRDefault="00F404E9"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941A3C" w14:textId="77777777" w:rsidR="008E2F5D" w:rsidRDefault="001119AB"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8D1DFF">
        <w:rPr>
          <w:rFonts w:ascii="Palatino Linotype" w:hAnsi="Palatino Linotype" w:cs="Arial"/>
        </w:rPr>
        <w:t>En este tenor, en alusión a</w:t>
      </w:r>
      <w:r w:rsidR="00AB5D1C">
        <w:rPr>
          <w:rFonts w:ascii="Palatino Linotype" w:hAnsi="Palatino Linotype" w:cs="Arial"/>
        </w:rPr>
        <w:t xml:space="preserve"> los</w:t>
      </w:r>
      <w:r w:rsidRPr="008D1DFF">
        <w:rPr>
          <w:rFonts w:ascii="Palatino Linotype" w:hAnsi="Palatino Linotype" w:cs="Arial"/>
        </w:rPr>
        <w:t xml:space="preserve"> requerimiento</w:t>
      </w:r>
      <w:r w:rsidR="00AB5D1C">
        <w:rPr>
          <w:rFonts w:ascii="Palatino Linotype" w:hAnsi="Palatino Linotype" w:cs="Arial"/>
        </w:rPr>
        <w:t>s</w:t>
      </w:r>
      <w:r w:rsidRPr="008D1DFF">
        <w:rPr>
          <w:rFonts w:ascii="Palatino Linotype" w:hAnsi="Palatino Linotype" w:cs="Arial"/>
        </w:rPr>
        <w:t xml:space="preserve"> formulado</w:t>
      </w:r>
      <w:r w:rsidR="00AB5D1C">
        <w:rPr>
          <w:rFonts w:ascii="Palatino Linotype" w:hAnsi="Palatino Linotype" w:cs="Arial"/>
        </w:rPr>
        <w:t>s</w:t>
      </w:r>
      <w:r w:rsidRPr="008D1DFF">
        <w:rPr>
          <w:rFonts w:ascii="Palatino Linotype" w:hAnsi="Palatino Linotype" w:cs="Arial"/>
        </w:rPr>
        <w:t xml:space="preserve"> por </w:t>
      </w:r>
      <w:r w:rsidR="00AB5D1C">
        <w:rPr>
          <w:rFonts w:ascii="Palatino Linotype" w:hAnsi="Palatino Linotype" w:cs="Arial"/>
        </w:rPr>
        <w:t>la</w:t>
      </w:r>
      <w:r w:rsidRPr="008D1DFF">
        <w:rPr>
          <w:rFonts w:ascii="Palatino Linotype" w:hAnsi="Palatino Linotype" w:cs="Arial"/>
        </w:rPr>
        <w:t xml:space="preserve"> particular, resulta </w:t>
      </w:r>
      <w:r w:rsidR="008E2F5D">
        <w:rPr>
          <w:rFonts w:ascii="Palatino Linotype" w:hAnsi="Palatino Linotype" w:cs="Arial"/>
        </w:rPr>
        <w:t xml:space="preserve">preciso señalar que desde la óptica del Derecho Civil, los bienes pueden ser clasificados en distintas categorías, conforme a su utilidad, duración, corporeidad, divisibilidad y </w:t>
      </w:r>
      <w:r w:rsidR="008E2F5D" w:rsidRPr="00C92A24">
        <w:rPr>
          <w:rFonts w:ascii="Palatino Linotype" w:hAnsi="Palatino Linotype" w:cs="Arial"/>
          <w:b/>
          <w:bCs/>
          <w:u w:val="single"/>
        </w:rPr>
        <w:t>movilidad,</w:t>
      </w:r>
      <w:r w:rsidR="008E2F5D">
        <w:rPr>
          <w:rFonts w:ascii="Palatino Linotype" w:hAnsi="Palatino Linotype" w:cs="Arial"/>
        </w:rPr>
        <w:t xml:space="preserve"> resultando de nuestro interés la última de ellas. </w:t>
      </w:r>
    </w:p>
    <w:p w14:paraId="4ABF2705" w14:textId="77777777" w:rsidR="008E2F5D" w:rsidRDefault="008E2F5D"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Bajo tal tesitura, en cuanto a su movilidad, los bienes son </w:t>
      </w:r>
      <w:proofErr w:type="spellStart"/>
      <w:r>
        <w:rPr>
          <w:rFonts w:ascii="Palatino Linotype" w:hAnsi="Palatino Linotype" w:cs="Arial"/>
        </w:rPr>
        <w:t>subclasificados</w:t>
      </w:r>
      <w:proofErr w:type="spellEnd"/>
      <w:r>
        <w:rPr>
          <w:rFonts w:ascii="Palatino Linotype" w:hAnsi="Palatino Linotype" w:cs="Arial"/>
        </w:rPr>
        <w:t xml:space="preserve"> en bienes muebles e inmuebles, para trazar las fronteras conceptuales entre ambas categorías sirven de sustento los artículos 5.4 y 5.6 del Código Civil del Estado de México, porciones normativas que  señalan a la literalidad lo siguiente:</w:t>
      </w:r>
    </w:p>
    <w:p w14:paraId="2248BFA3" w14:textId="77777777" w:rsidR="008E2F5D" w:rsidRPr="00C06029" w:rsidRDefault="008E2F5D" w:rsidP="008E2F5D">
      <w:pPr>
        <w:pStyle w:val="Prrafodelista"/>
        <w:tabs>
          <w:tab w:val="left" w:pos="2460"/>
        </w:tabs>
        <w:autoSpaceDE w:val="0"/>
        <w:autoSpaceDN w:val="0"/>
        <w:adjustRightInd w:val="0"/>
        <w:spacing w:before="240" w:after="160" w:line="360" w:lineRule="auto"/>
        <w:ind w:left="851" w:right="851"/>
        <w:jc w:val="both"/>
        <w:rPr>
          <w:b/>
          <w:i/>
          <w:sz w:val="22"/>
          <w:szCs w:val="22"/>
        </w:rPr>
      </w:pPr>
      <w:r w:rsidRPr="00C06029">
        <w:rPr>
          <w:b/>
          <w:i/>
          <w:sz w:val="22"/>
          <w:szCs w:val="22"/>
        </w:rPr>
        <w:t>“Bienes que se consideran inmuebles</w:t>
      </w:r>
    </w:p>
    <w:p w14:paraId="5BEC9B5E" w14:textId="77777777" w:rsidR="008E2F5D" w:rsidRPr="00C06029" w:rsidRDefault="008E2F5D" w:rsidP="008E2F5D">
      <w:pPr>
        <w:pStyle w:val="Prrafodelista"/>
        <w:tabs>
          <w:tab w:val="left" w:pos="2460"/>
        </w:tabs>
        <w:autoSpaceDE w:val="0"/>
        <w:autoSpaceDN w:val="0"/>
        <w:adjustRightInd w:val="0"/>
        <w:spacing w:before="240" w:after="160" w:line="360" w:lineRule="auto"/>
        <w:ind w:left="851" w:right="851"/>
        <w:jc w:val="both"/>
        <w:rPr>
          <w:i/>
          <w:sz w:val="22"/>
          <w:szCs w:val="22"/>
        </w:rPr>
      </w:pPr>
      <w:r w:rsidRPr="00C06029">
        <w:rPr>
          <w:i/>
          <w:sz w:val="22"/>
          <w:szCs w:val="22"/>
        </w:rPr>
        <w:t>Artículo 5.4.- Son bienes inmuebles:</w:t>
      </w:r>
    </w:p>
    <w:p w14:paraId="1F11461C" w14:textId="77777777" w:rsidR="008E2F5D" w:rsidRDefault="008E2F5D" w:rsidP="008E2F5D">
      <w:pPr>
        <w:pStyle w:val="Citas"/>
        <w:numPr>
          <w:ilvl w:val="0"/>
          <w:numId w:val="20"/>
        </w:numPr>
      </w:pPr>
      <w:r>
        <w:t>El suelo y las construcciones adheridas a él;</w:t>
      </w:r>
    </w:p>
    <w:p w14:paraId="74BB554B" w14:textId="77777777" w:rsidR="008E2F5D" w:rsidRPr="00A60347" w:rsidRDefault="008E2F5D" w:rsidP="008E2F5D">
      <w:pPr>
        <w:pStyle w:val="Citas"/>
        <w:numPr>
          <w:ilvl w:val="0"/>
          <w:numId w:val="20"/>
        </w:numPr>
      </w:pPr>
      <w:r>
        <w:t>Las plantas y árboles, mientras estuvieren unidos a la tierra, y sus frutos mientras no sean separados de ellos;</w:t>
      </w:r>
    </w:p>
    <w:p w14:paraId="51C41621" w14:textId="77777777" w:rsidR="008E2F5D" w:rsidRPr="00A60347" w:rsidRDefault="008E2F5D" w:rsidP="008E2F5D">
      <w:pPr>
        <w:pStyle w:val="Citas"/>
        <w:numPr>
          <w:ilvl w:val="0"/>
          <w:numId w:val="20"/>
        </w:numPr>
      </w:pPr>
      <w:r>
        <w:t xml:space="preserve">Todo lo que esté unido a un inmueble de una manera fija, de modo que no pueda separarse sin deterioro del mismo o del objeto a él adherido; </w:t>
      </w:r>
    </w:p>
    <w:p w14:paraId="6A91E1CD" w14:textId="77777777" w:rsidR="008E2F5D" w:rsidRPr="00A60347" w:rsidRDefault="008E2F5D" w:rsidP="008E2F5D">
      <w:pPr>
        <w:pStyle w:val="Citas"/>
        <w:numPr>
          <w:ilvl w:val="0"/>
          <w:numId w:val="20"/>
        </w:numPr>
      </w:pPr>
      <w:r>
        <w:t xml:space="preserve">Los palomares, colmenas, estanques de peces o criaderos análogos, cuando el propietario los conserve con el propósito de mantenerlos unidos al inmueble y formando parte de él de un modo permanente; </w:t>
      </w:r>
    </w:p>
    <w:p w14:paraId="7990724D" w14:textId="77777777" w:rsidR="008E2F5D" w:rsidRPr="00A60347" w:rsidRDefault="008E2F5D" w:rsidP="008E2F5D">
      <w:pPr>
        <w:pStyle w:val="Citas"/>
        <w:numPr>
          <w:ilvl w:val="0"/>
          <w:numId w:val="20"/>
        </w:numPr>
      </w:pPr>
      <w:r>
        <w:t xml:space="preserve">Las máquinas, instrumentos o utensilios destinados por el propietario del inmueble, directa o exclusivamente a la industria o explotación del mismo; </w:t>
      </w:r>
    </w:p>
    <w:p w14:paraId="357DE557" w14:textId="77777777" w:rsidR="008E2F5D" w:rsidRPr="00A60347" w:rsidRDefault="008E2F5D" w:rsidP="008E2F5D">
      <w:pPr>
        <w:pStyle w:val="Citas"/>
        <w:numPr>
          <w:ilvl w:val="0"/>
          <w:numId w:val="20"/>
        </w:numPr>
      </w:pPr>
      <w:r>
        <w:t xml:space="preserve">Los fertilizantes, herbicidas, fungicidas, insecticidas, semillas y en general las sustancias para la preservación, cultivo y mantenimiento de la tierra que se encuentren en los inmuebles o unidades de producción en donde hayan de utilizarse; </w:t>
      </w:r>
    </w:p>
    <w:p w14:paraId="39D40DB4" w14:textId="77777777" w:rsidR="008E2F5D" w:rsidRPr="00A60347" w:rsidRDefault="008E2F5D" w:rsidP="008E2F5D">
      <w:pPr>
        <w:pStyle w:val="Citas"/>
        <w:numPr>
          <w:ilvl w:val="0"/>
          <w:numId w:val="20"/>
        </w:numPr>
      </w:pPr>
      <w:r>
        <w:lastRenderedPageBreak/>
        <w:t xml:space="preserve">El equipamiento y accesorios adheridos al suelo o a los edificios de éstos, salvo convenio en contrario; </w:t>
      </w:r>
    </w:p>
    <w:p w14:paraId="171E76BA" w14:textId="77777777" w:rsidR="008E2F5D" w:rsidRPr="00A60347" w:rsidRDefault="008E2F5D" w:rsidP="008E2F5D">
      <w:pPr>
        <w:pStyle w:val="Citas"/>
        <w:numPr>
          <w:ilvl w:val="0"/>
          <w:numId w:val="20"/>
        </w:numPr>
      </w:pPr>
      <w:r>
        <w:t xml:space="preserve">Los acueductos o tuberías de cualquier tipo que sirvan para conducir los líquidos o gases a un inmueble, o para extraerlos de él; </w:t>
      </w:r>
    </w:p>
    <w:p w14:paraId="06BD8A3A" w14:textId="77777777" w:rsidR="008E2F5D" w:rsidRPr="00A60347" w:rsidRDefault="008E2F5D" w:rsidP="008E2F5D">
      <w:pPr>
        <w:pStyle w:val="Citas"/>
        <w:numPr>
          <w:ilvl w:val="0"/>
          <w:numId w:val="20"/>
        </w:numPr>
      </w:pPr>
      <w:r>
        <w:t xml:space="preserve">Los animales que formen el pie de cría en los predios rústicos destinados total o parcialmente al ramo de ganadería, así como los de trabajo indispensables para el cultivo del inmueble mientras están destinadas a ese objeto; </w:t>
      </w:r>
    </w:p>
    <w:p w14:paraId="306C7F94" w14:textId="77777777" w:rsidR="008E2F5D" w:rsidRPr="00A60347" w:rsidRDefault="008E2F5D" w:rsidP="008E2F5D">
      <w:pPr>
        <w:pStyle w:val="Citas"/>
        <w:numPr>
          <w:ilvl w:val="0"/>
          <w:numId w:val="20"/>
        </w:numPr>
      </w:pPr>
      <w:r>
        <w:t xml:space="preserve">Los diques y construcciones que, </w:t>
      </w:r>
      <w:proofErr w:type="spellStart"/>
      <w:r>
        <w:t>aún</w:t>
      </w:r>
      <w:proofErr w:type="spellEnd"/>
      <w:r>
        <w:t xml:space="preserve"> cuando sean flotantes, estén destinados por su objeto y condiciones a permanecer en un punto fijo de un río, lago o costa; </w:t>
      </w:r>
    </w:p>
    <w:p w14:paraId="4D67268F" w14:textId="77777777" w:rsidR="008E2F5D" w:rsidRPr="00C06029" w:rsidRDefault="008E2F5D" w:rsidP="008E2F5D">
      <w:pPr>
        <w:pStyle w:val="Citas"/>
        <w:numPr>
          <w:ilvl w:val="0"/>
          <w:numId w:val="20"/>
        </w:numPr>
      </w:pPr>
      <w:r>
        <w:t>Los derechos reales sobre inmuebles</w:t>
      </w:r>
    </w:p>
    <w:p w14:paraId="093F14F8" w14:textId="77777777" w:rsidR="008E2F5D" w:rsidRPr="00C06029" w:rsidRDefault="008E2F5D" w:rsidP="008E2F5D">
      <w:pPr>
        <w:pStyle w:val="Prrafodelista"/>
        <w:tabs>
          <w:tab w:val="left" w:pos="2460"/>
        </w:tabs>
        <w:autoSpaceDE w:val="0"/>
        <w:autoSpaceDN w:val="0"/>
        <w:adjustRightInd w:val="0"/>
        <w:spacing w:before="240" w:after="160" w:line="360" w:lineRule="auto"/>
        <w:ind w:left="851" w:right="851"/>
        <w:jc w:val="both"/>
        <w:rPr>
          <w:b/>
          <w:i/>
          <w:sz w:val="22"/>
          <w:szCs w:val="22"/>
        </w:rPr>
      </w:pPr>
      <w:r w:rsidRPr="00C06029">
        <w:rPr>
          <w:b/>
          <w:i/>
          <w:sz w:val="22"/>
          <w:szCs w:val="22"/>
        </w:rPr>
        <w:t xml:space="preserve">Muebles por su naturaleza </w:t>
      </w:r>
    </w:p>
    <w:p w14:paraId="5414197A" w14:textId="77777777" w:rsidR="008E2F5D" w:rsidRPr="00C06029" w:rsidRDefault="008E2F5D" w:rsidP="008E2F5D">
      <w:pPr>
        <w:pStyle w:val="Prrafodelista"/>
        <w:tabs>
          <w:tab w:val="left" w:pos="2460"/>
        </w:tabs>
        <w:autoSpaceDE w:val="0"/>
        <w:autoSpaceDN w:val="0"/>
        <w:adjustRightInd w:val="0"/>
        <w:spacing w:before="240" w:after="160" w:line="360" w:lineRule="auto"/>
        <w:ind w:left="851" w:right="851"/>
        <w:jc w:val="both"/>
        <w:rPr>
          <w:rFonts w:ascii="Palatino Linotype" w:hAnsi="Palatino Linotype" w:cs="Arial"/>
          <w:b/>
          <w:i/>
          <w:sz w:val="22"/>
          <w:szCs w:val="22"/>
        </w:rPr>
      </w:pPr>
      <w:r w:rsidRPr="00C06029">
        <w:rPr>
          <w:i/>
          <w:sz w:val="22"/>
          <w:szCs w:val="22"/>
        </w:rPr>
        <w:t xml:space="preserve">Artículo 5.6.- Son bienes muebles por su naturaleza, los que pueden trasladarse de un lugar a otro, ya sea por sí mismos, o por efecto de una fuerza exterior.” </w:t>
      </w:r>
      <w:r w:rsidRPr="00C06029">
        <w:rPr>
          <w:b/>
          <w:i/>
          <w:sz w:val="22"/>
          <w:szCs w:val="22"/>
        </w:rPr>
        <w:t>[Sic]</w:t>
      </w:r>
    </w:p>
    <w:p w14:paraId="473212C1" w14:textId="15D2A1D0" w:rsidR="008E2F5D" w:rsidRDefault="008E2F5D" w:rsidP="00B41E69">
      <w:pPr>
        <w:spacing w:before="240" w:after="360" w:line="360" w:lineRule="auto"/>
        <w:ind w:right="49"/>
        <w:jc w:val="both"/>
        <w:rPr>
          <w:rFonts w:ascii="Palatino Linotype" w:hAnsi="Palatino Linotype" w:cs="Arial"/>
          <w:sz w:val="24"/>
          <w:szCs w:val="24"/>
        </w:rPr>
      </w:pPr>
    </w:p>
    <w:p w14:paraId="2FDAD311" w14:textId="77777777" w:rsidR="005B1CBF" w:rsidRDefault="008E2F5D" w:rsidP="005B1CBF">
      <w:pPr>
        <w:spacing w:before="240" w:line="360" w:lineRule="auto"/>
        <w:ind w:right="72"/>
        <w:jc w:val="both"/>
        <w:rPr>
          <w:rFonts w:ascii="Palatino Linotype" w:hAnsi="Palatino Linotype" w:cs="Arial"/>
          <w:sz w:val="24"/>
          <w:szCs w:val="24"/>
        </w:rPr>
      </w:pPr>
      <w:r w:rsidRPr="008E2F5D">
        <w:rPr>
          <w:rFonts w:ascii="Palatino Linotype" w:hAnsi="Palatino Linotype" w:cs="Tahoma"/>
          <w:bCs/>
          <w:iCs/>
          <w:sz w:val="24"/>
          <w:szCs w:val="24"/>
          <w:lang w:val="es-ES"/>
        </w:rPr>
        <w:t xml:space="preserve">Una vez clarificadas las diferencias sustanciales de los bienes muebles e inmuebles, </w:t>
      </w:r>
      <w:r>
        <w:rPr>
          <w:rFonts w:ascii="Palatino Linotype" w:hAnsi="Palatino Linotype" w:cs="Tahoma"/>
          <w:bCs/>
          <w:iCs/>
          <w:sz w:val="24"/>
          <w:szCs w:val="24"/>
          <w:lang w:val="es-ES"/>
        </w:rPr>
        <w:t xml:space="preserve">resulta oportuno traer a colación </w:t>
      </w:r>
      <w:r w:rsidR="005B1CBF">
        <w:rPr>
          <w:rFonts w:ascii="Palatino Linotype" w:hAnsi="Palatino Linotype" w:cs="Arial"/>
          <w:sz w:val="24"/>
          <w:szCs w:val="24"/>
        </w:rPr>
        <w:t xml:space="preserve">el organigrama del </w:t>
      </w:r>
      <w:r w:rsidR="005B1CBF">
        <w:rPr>
          <w:rFonts w:ascii="Palatino Linotype" w:hAnsi="Palatino Linotype" w:cs="Arial"/>
          <w:b/>
          <w:sz w:val="24"/>
          <w:szCs w:val="24"/>
        </w:rPr>
        <w:t xml:space="preserve">Sujeto Obligado, </w:t>
      </w:r>
      <w:r w:rsidR="005B1CBF">
        <w:rPr>
          <w:rFonts w:ascii="Palatino Linotype" w:hAnsi="Palatino Linotype" w:cs="Arial"/>
          <w:sz w:val="24"/>
          <w:szCs w:val="24"/>
        </w:rPr>
        <w:t xml:space="preserve">mismo que es susceptible de ser consultado en la siguiente dirección electrónica: </w:t>
      </w:r>
    </w:p>
    <w:p w14:paraId="78E00E36" w14:textId="77777777" w:rsidR="005B1CBF" w:rsidRDefault="0059504A" w:rsidP="005B1CBF">
      <w:pPr>
        <w:spacing w:before="240" w:line="360" w:lineRule="auto"/>
        <w:ind w:right="72"/>
        <w:jc w:val="both"/>
        <w:rPr>
          <w:rFonts w:ascii="Palatino Linotype" w:hAnsi="Palatino Linotype" w:cs="Arial"/>
          <w:sz w:val="24"/>
          <w:szCs w:val="24"/>
        </w:rPr>
      </w:pPr>
      <w:hyperlink r:id="rId8" w:history="1">
        <w:r w:rsidR="005B1CBF" w:rsidRPr="00B13110">
          <w:rPr>
            <w:rStyle w:val="Hipervnculo"/>
            <w:rFonts w:ascii="Palatino Linotype" w:hAnsi="Palatino Linotype" w:cs="Arial"/>
            <w:sz w:val="24"/>
            <w:szCs w:val="24"/>
          </w:rPr>
          <w:t>https://www.ipomex.org.mx/ipo3/lgt/indice/COATEPEC/art_92_ii_b/2.web</w:t>
        </w:r>
      </w:hyperlink>
      <w:r w:rsidR="005B1CBF">
        <w:rPr>
          <w:rFonts w:ascii="Palatino Linotype" w:hAnsi="Palatino Linotype" w:cs="Arial"/>
          <w:sz w:val="24"/>
          <w:szCs w:val="24"/>
        </w:rPr>
        <w:t xml:space="preserve"> </w:t>
      </w:r>
    </w:p>
    <w:p w14:paraId="231F59E6" w14:textId="77777777" w:rsidR="005B1CBF" w:rsidRDefault="005B1CBF" w:rsidP="00B41E69">
      <w:pPr>
        <w:spacing w:before="240" w:after="360" w:line="360" w:lineRule="auto"/>
        <w:ind w:right="49"/>
        <w:jc w:val="both"/>
        <w:rPr>
          <w:rFonts w:ascii="Palatino Linotype" w:hAnsi="Palatino Linotype" w:cs="Tahoma"/>
          <w:bCs/>
          <w:iCs/>
          <w:sz w:val="24"/>
          <w:szCs w:val="24"/>
          <w:lang w:val="es-ES"/>
        </w:rPr>
      </w:pPr>
    </w:p>
    <w:p w14:paraId="1B9F5C2D" w14:textId="061D7469" w:rsidR="005B1CBF" w:rsidRDefault="00B13B81" w:rsidP="00B41E69">
      <w:pPr>
        <w:spacing w:before="240" w:after="360" w:line="360" w:lineRule="auto"/>
        <w:ind w:right="49"/>
        <w:jc w:val="both"/>
        <w:rPr>
          <w:rFonts w:ascii="Palatino Linotype" w:hAnsi="Palatino Linotype" w:cs="Tahoma"/>
          <w:bCs/>
          <w:iCs/>
          <w:sz w:val="24"/>
          <w:szCs w:val="24"/>
          <w:lang w:val="es-ES"/>
        </w:rPr>
      </w:pPr>
      <w:r>
        <w:rPr>
          <w:rFonts w:ascii="Palatino Linotype" w:hAnsi="Palatino Linotype" w:cs="Tahoma"/>
          <w:bCs/>
          <w:iCs/>
          <w:noProof/>
          <w:sz w:val="24"/>
          <w:szCs w:val="24"/>
          <w:lang w:eastAsia="es-MX"/>
        </w:rPr>
        <w:lastRenderedPageBreak/>
        <w:drawing>
          <wp:anchor distT="0" distB="0" distL="114300" distR="114300" simplePos="0" relativeHeight="251660288" behindDoc="0" locked="0" layoutInCell="1" allowOverlap="1" wp14:anchorId="2803B638" wp14:editId="47352FB9">
            <wp:simplePos x="0" y="0"/>
            <wp:positionH relativeFrom="column">
              <wp:posOffset>2279650</wp:posOffset>
            </wp:positionH>
            <wp:positionV relativeFrom="paragraph">
              <wp:posOffset>3908376</wp:posOffset>
            </wp:positionV>
            <wp:extent cx="1382395" cy="1704340"/>
            <wp:effectExtent l="19050" t="19050" r="27305" b="10160"/>
            <wp:wrapThrough wrapText="bothSides">
              <wp:wrapPolygon edited="0">
                <wp:start x="-298" y="-241"/>
                <wp:lineTo x="-298" y="21487"/>
                <wp:lineTo x="21729" y="21487"/>
                <wp:lineTo x="21729" y="-241"/>
                <wp:lineTo x="-298" y="-241"/>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2395" cy="1704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Tahoma"/>
          <w:bCs/>
          <w:iCs/>
          <w:noProof/>
          <w:sz w:val="24"/>
          <w:szCs w:val="24"/>
          <w:lang w:eastAsia="es-MX"/>
        </w:rPr>
        <mc:AlternateContent>
          <mc:Choice Requires="wps">
            <w:drawing>
              <wp:anchor distT="0" distB="0" distL="114300" distR="114300" simplePos="0" relativeHeight="251659264" behindDoc="0" locked="0" layoutInCell="1" allowOverlap="1" wp14:anchorId="7D426DF2" wp14:editId="65AC1D11">
                <wp:simplePos x="0" y="0"/>
                <wp:positionH relativeFrom="column">
                  <wp:posOffset>596265</wp:posOffset>
                </wp:positionH>
                <wp:positionV relativeFrom="paragraph">
                  <wp:posOffset>1791970</wp:posOffset>
                </wp:positionV>
                <wp:extent cx="236220" cy="198120"/>
                <wp:effectExtent l="0" t="0" r="11430" b="11430"/>
                <wp:wrapNone/>
                <wp:docPr id="7" name="Rectángulo 7"/>
                <wp:cNvGraphicFramePr/>
                <a:graphic xmlns:a="http://schemas.openxmlformats.org/drawingml/2006/main">
                  <a:graphicData uri="http://schemas.microsoft.com/office/word/2010/wordprocessingShape">
                    <wps:wsp>
                      <wps:cNvSpPr/>
                      <wps:spPr>
                        <a:xfrm>
                          <a:off x="0" y="0"/>
                          <a:ext cx="236220" cy="1981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E6785" id="Rectángulo 7" o:spid="_x0000_s1026" style="position:absolute;margin-left:46.95pt;margin-top:141.1pt;width:18.6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" filled="f" strokecolor="red" strokeweight="1pt"/>
            </w:pict>
          </mc:Fallback>
        </mc:AlternateContent>
      </w:r>
      <w:r>
        <w:rPr>
          <w:rFonts w:ascii="Palatino Linotype" w:hAnsi="Palatino Linotype" w:cs="Tahoma"/>
          <w:bCs/>
          <w:iCs/>
          <w:noProof/>
          <w:sz w:val="24"/>
          <w:szCs w:val="24"/>
          <w:lang w:eastAsia="es-MX"/>
        </w:rPr>
        <w:drawing>
          <wp:anchor distT="0" distB="0" distL="114300" distR="114300" simplePos="0" relativeHeight="251658240" behindDoc="0" locked="0" layoutInCell="1" allowOverlap="1" wp14:anchorId="7711D79F" wp14:editId="5FEAD487">
            <wp:simplePos x="0" y="0"/>
            <wp:positionH relativeFrom="column">
              <wp:posOffset>1905</wp:posOffset>
            </wp:positionH>
            <wp:positionV relativeFrom="paragraph">
              <wp:posOffset>24765</wp:posOffset>
            </wp:positionV>
            <wp:extent cx="5756910" cy="3599815"/>
            <wp:effectExtent l="19050" t="19050" r="15240" b="19685"/>
            <wp:wrapThrough wrapText="bothSides">
              <wp:wrapPolygon edited="0">
                <wp:start x="-71" y="-114"/>
                <wp:lineTo x="-71" y="21604"/>
                <wp:lineTo x="21586" y="21604"/>
                <wp:lineTo x="21586" y="-114"/>
                <wp:lineTo x="-71" y="-11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599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9FDE0C" w14:textId="5EFA7427" w:rsidR="005B1CBF" w:rsidRDefault="005A5E18" w:rsidP="00B41E69">
      <w:pPr>
        <w:spacing w:before="240" w:after="360" w:line="360" w:lineRule="auto"/>
        <w:ind w:right="49"/>
        <w:jc w:val="both"/>
        <w:rPr>
          <w:rFonts w:ascii="Palatino Linotype" w:hAnsi="Palatino Linotype" w:cs="Tahoma"/>
          <w:bCs/>
          <w:iCs/>
          <w:sz w:val="24"/>
          <w:szCs w:val="24"/>
          <w:lang w:val="es-ES"/>
        </w:rPr>
      </w:pPr>
      <w:r>
        <w:rPr>
          <w:rFonts w:ascii="Palatino Linotype" w:hAnsi="Palatino Linotype" w:cs="Tahoma"/>
          <w:bCs/>
          <w:iCs/>
          <w:noProof/>
          <w:sz w:val="24"/>
          <w:szCs w:val="24"/>
          <w:lang w:eastAsia="es-MX"/>
        </w:rPr>
        <w:drawing>
          <wp:anchor distT="0" distB="0" distL="114300" distR="114300" simplePos="0" relativeHeight="251661312" behindDoc="0" locked="0" layoutInCell="1" allowOverlap="1" wp14:anchorId="7A15365B" wp14:editId="34DECFCB">
            <wp:simplePos x="0" y="0"/>
            <wp:positionH relativeFrom="column">
              <wp:posOffset>4102735</wp:posOffset>
            </wp:positionH>
            <wp:positionV relativeFrom="paragraph">
              <wp:posOffset>417195</wp:posOffset>
            </wp:positionV>
            <wp:extent cx="2000885" cy="1146175"/>
            <wp:effectExtent l="19050" t="19050" r="18415" b="15875"/>
            <wp:wrapThrough wrapText="bothSides">
              <wp:wrapPolygon edited="0">
                <wp:start x="-206" y="-359"/>
                <wp:lineTo x="-206" y="21540"/>
                <wp:lineTo x="21593" y="21540"/>
                <wp:lineTo x="21593" y="-359"/>
                <wp:lineTo x="-206" y="-359"/>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1146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Tahoma"/>
          <w:bCs/>
          <w:iCs/>
          <w:noProof/>
          <w:sz w:val="24"/>
          <w:szCs w:val="24"/>
          <w:lang w:eastAsia="es-MX"/>
        </w:rPr>
        <w:drawing>
          <wp:anchor distT="0" distB="0" distL="114300" distR="114300" simplePos="0" relativeHeight="251663360" behindDoc="0" locked="0" layoutInCell="1" allowOverlap="1" wp14:anchorId="24662BC6" wp14:editId="4946D482">
            <wp:simplePos x="0" y="0"/>
            <wp:positionH relativeFrom="column">
              <wp:posOffset>-163139</wp:posOffset>
            </wp:positionH>
            <wp:positionV relativeFrom="paragraph">
              <wp:posOffset>419735</wp:posOffset>
            </wp:positionV>
            <wp:extent cx="2000885" cy="1146175"/>
            <wp:effectExtent l="19050" t="19050" r="18415" b="15875"/>
            <wp:wrapThrough wrapText="bothSides">
              <wp:wrapPolygon edited="0">
                <wp:start x="-206" y="-359"/>
                <wp:lineTo x="-206" y="21540"/>
                <wp:lineTo x="21593" y="21540"/>
                <wp:lineTo x="21593" y="-359"/>
                <wp:lineTo x="-206" y="-359"/>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885" cy="1146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2F754D4" w14:textId="72780FB4" w:rsidR="00B13B81" w:rsidRDefault="005A5E18" w:rsidP="00B41E69">
      <w:pPr>
        <w:spacing w:before="240" w:after="360" w:line="360" w:lineRule="auto"/>
        <w:ind w:right="49"/>
        <w:jc w:val="both"/>
        <w:rPr>
          <w:rFonts w:ascii="Palatino Linotype" w:hAnsi="Palatino Linotype" w:cs="Tahoma"/>
          <w:bCs/>
          <w:iCs/>
          <w:sz w:val="24"/>
          <w:szCs w:val="24"/>
          <w:lang w:val="es-ES"/>
        </w:rPr>
      </w:pPr>
      <w:r>
        <w:rPr>
          <w:rFonts w:ascii="Palatino Linotype" w:hAnsi="Palatino Linotype" w:cs="Tahoma"/>
          <w:bCs/>
          <w:iCs/>
          <w:noProof/>
          <w:sz w:val="24"/>
          <w:szCs w:val="24"/>
          <w:lang w:eastAsia="es-MX"/>
        </w:rPr>
        <w:drawing>
          <wp:anchor distT="0" distB="0" distL="114300" distR="114300" simplePos="0" relativeHeight="251662336" behindDoc="0" locked="0" layoutInCell="1" allowOverlap="1" wp14:anchorId="5531B1D9" wp14:editId="17F962CE">
            <wp:simplePos x="0" y="0"/>
            <wp:positionH relativeFrom="column">
              <wp:posOffset>2276034</wp:posOffset>
            </wp:positionH>
            <wp:positionV relativeFrom="paragraph">
              <wp:posOffset>1084636</wp:posOffset>
            </wp:positionV>
            <wp:extent cx="1382395" cy="1247775"/>
            <wp:effectExtent l="19050" t="19050" r="27305" b="28575"/>
            <wp:wrapThrough wrapText="bothSides">
              <wp:wrapPolygon edited="0">
                <wp:start x="-298" y="-330"/>
                <wp:lineTo x="-298" y="21765"/>
                <wp:lineTo x="21729" y="21765"/>
                <wp:lineTo x="21729" y="-330"/>
                <wp:lineTo x="-298" y="-33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2395" cy="1247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57E1346" w14:textId="28946CFB" w:rsidR="00B13B81" w:rsidRDefault="00B13B81" w:rsidP="00B41E69">
      <w:pPr>
        <w:spacing w:before="240" w:after="360" w:line="360" w:lineRule="auto"/>
        <w:ind w:right="49"/>
        <w:jc w:val="both"/>
        <w:rPr>
          <w:rFonts w:ascii="Palatino Linotype" w:hAnsi="Palatino Linotype" w:cs="Tahoma"/>
          <w:bCs/>
          <w:iCs/>
          <w:sz w:val="24"/>
          <w:szCs w:val="24"/>
          <w:lang w:val="es-ES"/>
        </w:rPr>
      </w:pPr>
    </w:p>
    <w:p w14:paraId="4F1658F0" w14:textId="173E18E1" w:rsidR="005B1CBF" w:rsidRDefault="005B1CBF" w:rsidP="00B41E69">
      <w:pPr>
        <w:spacing w:before="240" w:after="360" w:line="360" w:lineRule="auto"/>
        <w:ind w:right="49"/>
        <w:jc w:val="both"/>
        <w:rPr>
          <w:rFonts w:ascii="Palatino Linotype" w:hAnsi="Palatino Linotype" w:cs="Tahoma"/>
          <w:bCs/>
          <w:iCs/>
          <w:sz w:val="24"/>
          <w:szCs w:val="24"/>
          <w:lang w:val="es-ES"/>
        </w:rPr>
      </w:pPr>
    </w:p>
    <w:p w14:paraId="31CAA7CA" w14:textId="7D58AAA9" w:rsidR="00B13B81" w:rsidRDefault="005A5E18" w:rsidP="00B41E69">
      <w:pPr>
        <w:spacing w:before="240" w:after="360" w:line="360" w:lineRule="auto"/>
        <w:ind w:right="49"/>
        <w:jc w:val="both"/>
        <w:rPr>
          <w:rFonts w:ascii="Palatino Linotype" w:hAnsi="Palatino Linotype" w:cs="Tahoma"/>
          <w:bCs/>
          <w:iCs/>
          <w:sz w:val="24"/>
          <w:szCs w:val="24"/>
          <w:lang w:val="es-ES"/>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Secretaría del Ayuntamiento, Consejería Jurídica, </w:t>
      </w:r>
      <w:r w:rsidR="00FE2472">
        <w:rPr>
          <w:rFonts w:ascii="Palatino Linotype" w:hAnsi="Palatino Linotype" w:cs="Arial"/>
          <w:sz w:val="24"/>
          <w:szCs w:val="24"/>
        </w:rPr>
        <w:t xml:space="preserve">Tesorería Municipal, Contraloría Municipal, así como del Síndico Municipal. </w:t>
      </w:r>
    </w:p>
    <w:p w14:paraId="4693CBDF" w14:textId="64BD76D6" w:rsidR="00B13B81" w:rsidRDefault="00FE2472" w:rsidP="00B41E69">
      <w:pPr>
        <w:spacing w:before="240" w:after="360" w:line="360" w:lineRule="auto"/>
        <w:ind w:right="49"/>
        <w:jc w:val="both"/>
        <w:rPr>
          <w:rFonts w:ascii="Palatino Linotype" w:hAnsi="Palatino Linotype" w:cs="Tahoma"/>
          <w:bCs/>
          <w:iCs/>
          <w:sz w:val="24"/>
          <w:szCs w:val="24"/>
          <w:lang w:val="es-ES"/>
        </w:rPr>
      </w:pPr>
      <w:r>
        <w:rPr>
          <w:rFonts w:ascii="Palatino Linotype" w:hAnsi="Palatino Linotype" w:cs="Tahoma"/>
          <w:bCs/>
          <w:iCs/>
          <w:sz w:val="24"/>
          <w:szCs w:val="24"/>
          <w:lang w:val="es-ES"/>
        </w:rPr>
        <w:t xml:space="preserve">En este tenor, resultan aplicables los artículos 105 y 106 de la Ley Orgánica Municipal del Estado de México; los numerales 43 y 84 del Bando Municipal del </w:t>
      </w:r>
      <w:r>
        <w:rPr>
          <w:rFonts w:ascii="Palatino Linotype" w:hAnsi="Palatino Linotype" w:cs="Tahoma"/>
          <w:b/>
          <w:bCs/>
          <w:iCs/>
          <w:sz w:val="24"/>
          <w:szCs w:val="24"/>
          <w:lang w:val="es-ES"/>
        </w:rPr>
        <w:t xml:space="preserve">Sujeto Obligado; </w:t>
      </w:r>
      <w:r>
        <w:rPr>
          <w:rFonts w:ascii="Palatino Linotype" w:hAnsi="Palatino Linotype" w:cs="Tahoma"/>
          <w:bCs/>
          <w:iCs/>
          <w:sz w:val="24"/>
          <w:szCs w:val="24"/>
          <w:lang w:val="es-ES"/>
        </w:rPr>
        <w:t xml:space="preserve">así como los apartados </w:t>
      </w:r>
      <w:r w:rsidR="00D80AA1">
        <w:rPr>
          <w:rFonts w:ascii="Palatino Linotype" w:hAnsi="Palatino Linotype" w:cs="Tahoma"/>
          <w:bCs/>
          <w:iCs/>
          <w:sz w:val="24"/>
          <w:szCs w:val="24"/>
          <w:lang w:val="es-ES"/>
        </w:rPr>
        <w:t xml:space="preserve">décimo primero al décimo quinto de los Lineamientos para el registro y control del inventario y la conciliación y desincorporación de bienes muebles e inmuebles para las entidades fiscalizables municipales del Estado de México; porciones normativas que disponen a la literalidad lo siguiente: </w:t>
      </w:r>
    </w:p>
    <w:p w14:paraId="545D9D8A" w14:textId="2C803966" w:rsidR="008C12FB" w:rsidRPr="008C12FB" w:rsidRDefault="00D80AA1" w:rsidP="008C12FB">
      <w:pPr>
        <w:pStyle w:val="Citas"/>
        <w:jc w:val="center"/>
        <w:rPr>
          <w:b/>
        </w:rPr>
      </w:pPr>
      <w:r>
        <w:rPr>
          <w:b/>
        </w:rPr>
        <w:t>L</w:t>
      </w:r>
      <w:r w:rsidR="00937226">
        <w:rPr>
          <w:b/>
        </w:rPr>
        <w:t>EY ORGÁNICA MUNICIPAL DEL ESTADO DE MÉXICO</w:t>
      </w:r>
    </w:p>
    <w:p w14:paraId="134E46BC" w14:textId="38B91291" w:rsidR="008C12FB" w:rsidRDefault="00FE2472" w:rsidP="008C12FB">
      <w:pPr>
        <w:pStyle w:val="Citas"/>
      </w:pPr>
      <w:r>
        <w:t>“</w:t>
      </w:r>
      <w:r w:rsidR="008C12FB">
        <w:t xml:space="preserve">Artículo 105.- Los bienes del dominio público municipal son de uso común, o destinados a un servicio público, de conformidad con lo que establece la Ley de Bienes del Estado de México y de sus Municipios, en los términos siguientes; </w:t>
      </w:r>
    </w:p>
    <w:p w14:paraId="3193BCA6" w14:textId="3CFC67EC" w:rsidR="008C12FB" w:rsidRDefault="008C12FB" w:rsidP="008C12FB">
      <w:pPr>
        <w:pStyle w:val="Citas"/>
      </w:pPr>
      <w:r>
        <w:t>I. Son bienes de uso común los que pueden ser aprovechados por los habitantes del municipio, sin las limitaciones y restricciones en las leyes y reglamentos administrativos; y</w:t>
      </w:r>
    </w:p>
    <w:p w14:paraId="3A2BA978" w14:textId="4C14DD7F" w:rsidR="008C12FB" w:rsidRDefault="008C12FB" w:rsidP="008C12FB">
      <w:pPr>
        <w:pStyle w:val="Citas"/>
      </w:pPr>
      <w:r>
        <w:rPr>
          <w:sz w:val="24"/>
          <w:szCs w:val="24"/>
        </w:rPr>
        <w:lastRenderedPageBreak/>
        <w:t xml:space="preserve">II. </w:t>
      </w:r>
      <w:r>
        <w:t>Son bienes destinados a un servicio público, aquellos que utilice el municipio para el desarrollo de sus actividades o los que de hecho se utilizan para la presentación de servicios o actividades equiparables a ellos</w:t>
      </w:r>
    </w:p>
    <w:p w14:paraId="4E3762F8" w14:textId="77777777" w:rsidR="008C12FB" w:rsidRDefault="008C12FB" w:rsidP="008C12FB">
      <w:pPr>
        <w:pStyle w:val="Citas"/>
      </w:pPr>
      <w:r>
        <w:t xml:space="preserve">Artículo 106.- Son bienes del dominio privado municipal, aquellos que no son de uso común ni están destinados a un servidor público y que por su naturaleza están sujetos al derecho privado </w:t>
      </w:r>
    </w:p>
    <w:p w14:paraId="57822B6D" w14:textId="44142922" w:rsidR="008C12FB" w:rsidRDefault="008C12FB" w:rsidP="008C12FB">
      <w:pPr>
        <w:pStyle w:val="Citas"/>
        <w:rPr>
          <w:b/>
        </w:rPr>
      </w:pPr>
      <w:r>
        <w:t>Se consideran bienes de dominio privado municipal, los señalados en la Ley de Bienes del Estado de México y de sus Municipios</w:t>
      </w:r>
      <w:r w:rsidR="00BB751D">
        <w:t xml:space="preserve">” </w:t>
      </w:r>
      <w:r w:rsidR="00BB751D">
        <w:rPr>
          <w:b/>
        </w:rPr>
        <w:t>[Sic]</w:t>
      </w:r>
    </w:p>
    <w:p w14:paraId="25A55A96" w14:textId="77777777" w:rsidR="00FE2472" w:rsidRPr="00BB751D" w:rsidRDefault="00FE2472" w:rsidP="008C12FB">
      <w:pPr>
        <w:pStyle w:val="Citas"/>
        <w:rPr>
          <w:b/>
          <w:sz w:val="24"/>
          <w:szCs w:val="24"/>
        </w:rPr>
      </w:pPr>
    </w:p>
    <w:p w14:paraId="26112D87" w14:textId="4B28ACB3" w:rsidR="00BB751D" w:rsidRPr="00BB751D" w:rsidRDefault="00937226" w:rsidP="00BB751D">
      <w:pPr>
        <w:pStyle w:val="Citas"/>
        <w:jc w:val="center"/>
        <w:rPr>
          <w:b/>
        </w:rPr>
      </w:pPr>
      <w:r w:rsidRPr="00BB751D">
        <w:rPr>
          <w:b/>
        </w:rPr>
        <w:t>BANDO MUNICIPAL DE COATEPEC HARINAS</w:t>
      </w:r>
    </w:p>
    <w:p w14:paraId="2FE73719" w14:textId="27268275" w:rsidR="00BB751D" w:rsidRPr="00BB751D" w:rsidRDefault="00BB751D" w:rsidP="00BB751D">
      <w:pPr>
        <w:pStyle w:val="Citas"/>
        <w:rPr>
          <w:b/>
          <w:u w:val="single"/>
        </w:rPr>
      </w:pPr>
      <w:r>
        <w:rPr>
          <w:b/>
          <w:u w:val="single"/>
        </w:rPr>
        <w:t>“</w:t>
      </w:r>
      <w:r w:rsidRPr="00BB751D">
        <w:rPr>
          <w:b/>
          <w:u w:val="single"/>
        </w:rPr>
        <w:t xml:space="preserve">Artículo 43.- El Presidente Municipal constituirá las comisiones, comités, consejos y organizaciones sociales representativas previstas en las leyes federales y estatales, este Bando Municipal y el Código Reglamentario Municipal de Coatepec Harinas. </w:t>
      </w:r>
    </w:p>
    <w:p w14:paraId="7E43096F" w14:textId="5439951E" w:rsidR="00BB751D" w:rsidRDefault="00BB751D" w:rsidP="00BB751D">
      <w:pPr>
        <w:pStyle w:val="Citas"/>
      </w:pPr>
      <w:r>
        <w:t>Su creación, integración, organización y funcionamiento se realizarán conforme a las disposiciones normativas que les dan origen y los lineamientos aplicables.</w:t>
      </w:r>
    </w:p>
    <w:p w14:paraId="7C0C486A" w14:textId="3A418C15" w:rsidR="00BB751D" w:rsidRPr="00D80AA1" w:rsidRDefault="00BB751D" w:rsidP="00BB751D">
      <w:pPr>
        <w:pStyle w:val="Citas"/>
        <w:rPr>
          <w:b/>
        </w:rPr>
      </w:pPr>
      <w:r>
        <w:t>Artículo 84.- El Secretario del Ayuntamiento con la intervención del Síndico y la Contraloría Interna, le corresponde elaborar y actualizar en el sistema CREG Patrimonial el inventario general de bienes muebles e inmuebles propiedad del Municipio.</w:t>
      </w:r>
      <w:r w:rsidR="00D80AA1">
        <w:t xml:space="preserve">” </w:t>
      </w:r>
      <w:r w:rsidR="00D80AA1">
        <w:rPr>
          <w:b/>
        </w:rPr>
        <w:t>[Sic]</w:t>
      </w:r>
    </w:p>
    <w:p w14:paraId="3DC5F165" w14:textId="77777777" w:rsidR="00937226" w:rsidRDefault="00937226" w:rsidP="00BB751D">
      <w:pPr>
        <w:pStyle w:val="Citas"/>
      </w:pPr>
    </w:p>
    <w:p w14:paraId="6DCA803D" w14:textId="642CA555" w:rsidR="00937226" w:rsidRPr="00937226" w:rsidRDefault="00937226" w:rsidP="00BB751D">
      <w:pPr>
        <w:pStyle w:val="Citas"/>
        <w:rPr>
          <w:b/>
        </w:rPr>
      </w:pPr>
      <w:r w:rsidRPr="00937226">
        <w:rPr>
          <w:b/>
        </w:rPr>
        <w:lastRenderedPageBreak/>
        <w:t>LINEAMIENTOS PARA EL REGISTRO Y CONTROL DEL INVENTARIO Y LA CONCILIACIÓN Y DESINCORPORACIÓN DE BIENES MUEBLES E INMUEBLES PARA LAS ENTIDADES FISCALIZABLES MUNICIPALES DEL ESTADO DE MÉXICO.</w:t>
      </w:r>
    </w:p>
    <w:p w14:paraId="46A24C29" w14:textId="15F9334D" w:rsidR="008C12FB" w:rsidRDefault="00D80AA1" w:rsidP="00FE2472">
      <w:pPr>
        <w:pStyle w:val="Citas"/>
        <w:rPr>
          <w:b/>
          <w:u w:val="single"/>
        </w:rPr>
      </w:pPr>
      <w:r>
        <w:rPr>
          <w:b/>
          <w:u w:val="single"/>
        </w:rPr>
        <w:t>“</w:t>
      </w:r>
      <w:r w:rsidR="00FE2472" w:rsidRPr="00FE2472">
        <w:rPr>
          <w:b/>
          <w:u w:val="single"/>
        </w:rPr>
        <w:t>DÉCIMO PRIMERO: Para realizar los trabajos de control de los bienes, en sesión del órgano máximo de gobierno de cada entidad fiscalizable, se aprobará la constitución de un comité que se denominará: "Comité de Bienes Mu</w:t>
      </w:r>
      <w:r w:rsidR="00FE2472">
        <w:rPr>
          <w:b/>
          <w:u w:val="single"/>
        </w:rPr>
        <w:t>ebles e Inmuebles.</w:t>
      </w:r>
    </w:p>
    <w:p w14:paraId="7AA7F1F2" w14:textId="77777777" w:rsidR="00937226" w:rsidRDefault="00FE2472" w:rsidP="00FE2472">
      <w:pPr>
        <w:pStyle w:val="Citas"/>
      </w:pPr>
      <w:r>
        <w:t xml:space="preserve">La sesión del comité es el foro donde las entidades fiscalizables, podrán realizar el análisis y adopción de criterios, medidas eficaces y oportunas para mantener los controles necesarios en los inventarios y su congruencia con los registros contables con el fin de que la administración municipal tenga la certeza de que los bienes muebles registrados en los estados financieros, sean los que se encuentran físicamente en posesión de la entidad fiscalizable y tendrá por objeto: </w:t>
      </w:r>
    </w:p>
    <w:p w14:paraId="7291670E" w14:textId="77777777" w:rsidR="00937226" w:rsidRDefault="00937226" w:rsidP="00FE2472">
      <w:pPr>
        <w:pStyle w:val="Citas"/>
      </w:pPr>
      <w:r>
        <w:t>I</w:t>
      </w:r>
      <w:r w:rsidR="00FE2472">
        <w:t>. Coadyuvar en la integración y actualización permanente del inventario de bienes muebles e inmuebles propiedad de las entidades fiscalizables;</w:t>
      </w:r>
    </w:p>
    <w:p w14:paraId="5F580006" w14:textId="77777777" w:rsidR="00937226" w:rsidRDefault="00937226" w:rsidP="00FE2472">
      <w:pPr>
        <w:pStyle w:val="Citas"/>
      </w:pPr>
      <w:r>
        <w:t xml:space="preserve">II. </w:t>
      </w:r>
      <w:r w:rsidR="00FE2472">
        <w:t xml:space="preserve"> Identificar, analizar y evaluar la problemática que afecta al activo no circulante, así como proponer las medidas tendientes a solucionarla; </w:t>
      </w:r>
    </w:p>
    <w:p w14:paraId="44B1DE6D" w14:textId="77777777" w:rsidR="00937226" w:rsidRDefault="00937226" w:rsidP="00FE2472">
      <w:pPr>
        <w:pStyle w:val="Citas"/>
      </w:pPr>
      <w:r>
        <w:t>III</w:t>
      </w:r>
      <w:r w:rsidR="00FE2472">
        <w:t xml:space="preserve">. Analizar y aplicar el marco jurídico al activo no circulante; y </w:t>
      </w:r>
    </w:p>
    <w:p w14:paraId="11098DD4" w14:textId="76AED8F5" w:rsidR="00FE2472" w:rsidRPr="00FE2472" w:rsidRDefault="00FE2472" w:rsidP="00FE2472">
      <w:pPr>
        <w:pStyle w:val="Citas"/>
        <w:rPr>
          <w:b/>
          <w:u w:val="single"/>
        </w:rPr>
      </w:pPr>
      <w:r>
        <w:t>IV. Promover la adopción de los criterios para llevar a cabo los procedimientos conducentes a la recuperación y baja de los bienes propiedad de las entidades fiscalizables.</w:t>
      </w:r>
    </w:p>
    <w:p w14:paraId="1B7DE839" w14:textId="77777777" w:rsidR="00FE2472" w:rsidRPr="00FE2472" w:rsidRDefault="00FE2472" w:rsidP="00FE2472">
      <w:pPr>
        <w:pStyle w:val="Citas"/>
        <w:rPr>
          <w:b/>
          <w:u w:val="single"/>
        </w:rPr>
      </w:pPr>
      <w:r w:rsidRPr="00FE2472">
        <w:rPr>
          <w:b/>
          <w:u w:val="single"/>
        </w:rPr>
        <w:lastRenderedPageBreak/>
        <w:t xml:space="preserve">DÉCIMO SEGUNDO: El Comité estará integrado por: </w:t>
      </w:r>
    </w:p>
    <w:p w14:paraId="3E3BE70D" w14:textId="77777777" w:rsidR="00FE2472" w:rsidRDefault="00FE2472" w:rsidP="00FE2472">
      <w:pPr>
        <w:pStyle w:val="Citas"/>
      </w:pPr>
      <w:r>
        <w:t xml:space="preserve">I. El secretario o director general según sea el caso, quien fungirá como presidente; </w:t>
      </w:r>
    </w:p>
    <w:p w14:paraId="7AC27253" w14:textId="77777777" w:rsidR="00FE2472" w:rsidRPr="00937226" w:rsidRDefault="00FE2472" w:rsidP="00FE2472">
      <w:pPr>
        <w:pStyle w:val="Citas"/>
        <w:rPr>
          <w:b/>
          <w:u w:val="single"/>
        </w:rPr>
      </w:pPr>
      <w:r w:rsidRPr="00937226">
        <w:rPr>
          <w:b/>
          <w:u w:val="single"/>
        </w:rPr>
        <w:t xml:space="preserve">II. El titular del órgano de control interno, quien fungirá como secretario ejecutivo; </w:t>
      </w:r>
    </w:p>
    <w:p w14:paraId="72B15C08" w14:textId="77777777" w:rsidR="00FE2472" w:rsidRDefault="00FE2472" w:rsidP="00FE2472">
      <w:pPr>
        <w:pStyle w:val="Citas"/>
      </w:pPr>
      <w:r>
        <w:t xml:space="preserve">III. El síndico, quien fungirá como vocal; </w:t>
      </w:r>
    </w:p>
    <w:p w14:paraId="2A3E4646" w14:textId="77777777" w:rsidR="00FE2472" w:rsidRDefault="00FE2472" w:rsidP="00FE2472">
      <w:pPr>
        <w:pStyle w:val="Citas"/>
      </w:pPr>
      <w:r>
        <w:t xml:space="preserve">IV. El tesorero, quien fungirá como vocal; y </w:t>
      </w:r>
    </w:p>
    <w:p w14:paraId="42D615E0" w14:textId="77777777" w:rsidR="00FE2472" w:rsidRDefault="00FE2472" w:rsidP="00FE2472">
      <w:pPr>
        <w:pStyle w:val="Citas"/>
      </w:pPr>
      <w:r>
        <w:t xml:space="preserve">V. Un representante del área jurídica, con función de vocal, quien será designado por el representante legal de la entidad fiscalizable. </w:t>
      </w:r>
    </w:p>
    <w:p w14:paraId="2CC61548" w14:textId="4E2B5062" w:rsidR="00937226" w:rsidRDefault="00937226" w:rsidP="00FE2472">
      <w:pPr>
        <w:pStyle w:val="Citas"/>
        <w:rPr>
          <w:b/>
          <w:u w:val="single"/>
        </w:rPr>
      </w:pPr>
      <w:r w:rsidRPr="00937226">
        <w:rPr>
          <w:b/>
          <w:u w:val="single"/>
        </w:rPr>
        <w:t>DÉCIMO TERCERO: El Comité tendrá las funciones siguientes:</w:t>
      </w:r>
    </w:p>
    <w:p w14:paraId="104FFF82" w14:textId="4DA14FA0" w:rsidR="00937226" w:rsidRPr="00937226" w:rsidRDefault="00937226" w:rsidP="00FE2472">
      <w:pPr>
        <w:pStyle w:val="Citas"/>
        <w:rPr>
          <w:b/>
        </w:rPr>
      </w:pPr>
      <w:r w:rsidRPr="00937226">
        <w:rPr>
          <w:b/>
        </w:rPr>
        <w:t>(…)</w:t>
      </w:r>
    </w:p>
    <w:p w14:paraId="784F0178" w14:textId="77777777" w:rsidR="00937226" w:rsidRDefault="00937226" w:rsidP="00FE2472">
      <w:pPr>
        <w:pStyle w:val="Citas"/>
      </w:pPr>
      <w:r>
        <w:t xml:space="preserve">II. Determinar la fecha de inicio y término de los dos levantamientos físicos anuales de los inventarios de bienes muebles e inmuebles; </w:t>
      </w:r>
    </w:p>
    <w:p w14:paraId="12D15691" w14:textId="77777777" w:rsidR="00937226" w:rsidRDefault="00937226" w:rsidP="00FE2472">
      <w:pPr>
        <w:pStyle w:val="Citas"/>
      </w:pPr>
      <w:r>
        <w:t xml:space="preserve">III. Analizar y validar los resultados finales de los trabajos relacionados con los levantamientos físicos; </w:t>
      </w:r>
    </w:p>
    <w:p w14:paraId="1788B311" w14:textId="03F2AFD4" w:rsidR="00937226" w:rsidRDefault="00937226" w:rsidP="00FE2472">
      <w:pPr>
        <w:pStyle w:val="Citas"/>
      </w:pPr>
      <w:r>
        <w:t>IV. Presentar ante el órgano máximo de gobierno los movimientos propuestos derivados de los levantamientos físicos y de la conciliación de los bienes muebles;</w:t>
      </w:r>
    </w:p>
    <w:p w14:paraId="407885D6" w14:textId="6912DBDF" w:rsidR="00937226" w:rsidRPr="00937226" w:rsidRDefault="00937226" w:rsidP="00FE2472">
      <w:pPr>
        <w:pStyle w:val="Citas"/>
        <w:rPr>
          <w:b/>
          <w:u w:val="single"/>
        </w:rPr>
      </w:pPr>
      <w:r>
        <w:t>(…)</w:t>
      </w:r>
    </w:p>
    <w:p w14:paraId="4A496E9A" w14:textId="77777777" w:rsidR="00937226" w:rsidRDefault="00937226" w:rsidP="00FE2472">
      <w:pPr>
        <w:pStyle w:val="Citas"/>
      </w:pPr>
      <w:r>
        <w:t xml:space="preserve">DÉCIMO CUARTO: Los integrantes del Comité tendrán las siguientes funciones: I. Presidente del Comité: </w:t>
      </w:r>
    </w:p>
    <w:p w14:paraId="6A686EFD" w14:textId="77777777" w:rsidR="00937226" w:rsidRDefault="00937226" w:rsidP="00FE2472">
      <w:pPr>
        <w:pStyle w:val="Citas"/>
      </w:pPr>
      <w:r>
        <w:lastRenderedPageBreak/>
        <w:t xml:space="preserve">a) Autorizar la convocatoria y proponer el orden del día de las sesiones, informar al comité sobre el cumplimiento de los acuerdos tomados al seno del mismo y realizar las funciones propias a su encargo en relación con los bienes muebles e inmuebles; proporcionar a los miembros del Comité copia del resultado de la conciliación de los bienes muebles. </w:t>
      </w:r>
    </w:p>
    <w:p w14:paraId="0962AC37" w14:textId="77777777" w:rsidR="00937226" w:rsidRDefault="00937226" w:rsidP="00FE2472">
      <w:pPr>
        <w:pStyle w:val="Citas"/>
        <w:rPr>
          <w:b/>
          <w:u w:val="single"/>
        </w:rPr>
      </w:pPr>
      <w:r w:rsidRPr="00937226">
        <w:rPr>
          <w:b/>
          <w:u w:val="single"/>
        </w:rPr>
        <w:t xml:space="preserve">Secretario Ejecutivo del Comité: </w:t>
      </w:r>
    </w:p>
    <w:p w14:paraId="18CF94DC" w14:textId="77777777" w:rsidR="00937226" w:rsidRDefault="00937226" w:rsidP="00FE2472">
      <w:pPr>
        <w:pStyle w:val="Citas"/>
      </w:pPr>
      <w:r w:rsidRPr="00937226">
        <w:rPr>
          <w:b/>
          <w:u w:val="single"/>
        </w:rPr>
        <w:t>a) Elaborar y expedir la convocatoria de las sesiones y el orden del día, tomando en cuenta las propuestas de los integrantes del comité, anexando los soportes documentales necesarios para su análisis y discusión, levantar las actas de las sesiones, así como dar seguimiento a los acuerdos con relación a los bienes muebles e inmuebles, incluyendo los procedimientos finales a que haya lugar en la conciliación del inventario de bienes muebles; y presentar los resultados de los acuerdos tomados por el comité para su aprobación por su órgano máximo de gobierno.</w:t>
      </w:r>
      <w:r>
        <w:t xml:space="preserve"> </w:t>
      </w:r>
    </w:p>
    <w:p w14:paraId="4018EF50" w14:textId="77777777" w:rsidR="00937226" w:rsidRDefault="00937226" w:rsidP="00FE2472">
      <w:pPr>
        <w:pStyle w:val="Citas"/>
      </w:pPr>
      <w:r>
        <w:t xml:space="preserve">III. Vocales del comité: </w:t>
      </w:r>
    </w:p>
    <w:p w14:paraId="0129BA65" w14:textId="17A1A9C1" w:rsidR="00FE2472" w:rsidRDefault="00937226" w:rsidP="00FE2472">
      <w:pPr>
        <w:pStyle w:val="Citas"/>
      </w:pPr>
      <w:r>
        <w:t>a) Remitir al secretario del comité la documentación relativa a los asuntos que se deban someter a consideración del Comité, emitir los comentarios pertinentes y los demás que señale los procedimientos de los bienes muebles e inmuebles. Los cargos que los servidores públicos desempeñen en el Comité, serán honoríficos</w:t>
      </w:r>
    </w:p>
    <w:p w14:paraId="2FFA14DA" w14:textId="77777777" w:rsidR="00937226" w:rsidRPr="00937226" w:rsidRDefault="00937226" w:rsidP="00FE2472">
      <w:pPr>
        <w:pStyle w:val="Citas"/>
        <w:rPr>
          <w:b/>
          <w:u w:val="single"/>
        </w:rPr>
      </w:pPr>
      <w:r w:rsidRPr="00937226">
        <w:rPr>
          <w:b/>
          <w:u w:val="single"/>
        </w:rPr>
        <w:t xml:space="preserve">DÉCIMO QUINTO: Las actas que se levanten en las reuniones de trabajo que al efecto lleven a cabo los integrantes del comité, deberán contener como mínimo los requisitos siguientes: </w:t>
      </w:r>
    </w:p>
    <w:p w14:paraId="6FDE64B4" w14:textId="77777777" w:rsidR="00937226" w:rsidRDefault="00937226" w:rsidP="00FE2472">
      <w:pPr>
        <w:pStyle w:val="Citas"/>
      </w:pPr>
      <w:r>
        <w:lastRenderedPageBreak/>
        <w:t>I. Nombre de la entidad fiscalizable;</w:t>
      </w:r>
    </w:p>
    <w:p w14:paraId="6ED166EE" w14:textId="77777777" w:rsidR="00937226" w:rsidRDefault="00937226" w:rsidP="00FE2472">
      <w:pPr>
        <w:pStyle w:val="Citas"/>
      </w:pPr>
      <w:r>
        <w:t xml:space="preserve"> II. Lugar y fecha de celebración;</w:t>
      </w:r>
    </w:p>
    <w:p w14:paraId="65CAB157" w14:textId="77777777" w:rsidR="00937226" w:rsidRDefault="00937226" w:rsidP="00FE2472">
      <w:pPr>
        <w:pStyle w:val="Citas"/>
      </w:pPr>
      <w:r>
        <w:t xml:space="preserve"> III. Nombre y cargo de los servidores públicos que participan en la reunión; </w:t>
      </w:r>
    </w:p>
    <w:p w14:paraId="6BC14ECF" w14:textId="77777777" w:rsidR="00937226" w:rsidRDefault="00937226" w:rsidP="00FE2472">
      <w:pPr>
        <w:pStyle w:val="Citas"/>
      </w:pPr>
      <w:r>
        <w:t xml:space="preserve">IV. Antecedentes y orden del día; </w:t>
      </w:r>
    </w:p>
    <w:p w14:paraId="011B4AE2" w14:textId="77777777" w:rsidR="00937226" w:rsidRDefault="00937226" w:rsidP="00FE2472">
      <w:pPr>
        <w:pStyle w:val="Citas"/>
      </w:pPr>
      <w:r>
        <w:t xml:space="preserve">V. Criterios, conclusiones y acuerdos; </w:t>
      </w:r>
    </w:p>
    <w:p w14:paraId="1E4C8A52" w14:textId="77777777" w:rsidR="00937226" w:rsidRDefault="00937226" w:rsidP="00FE2472">
      <w:pPr>
        <w:pStyle w:val="Citas"/>
      </w:pPr>
      <w:r>
        <w:t xml:space="preserve">VI. Firmas y rúbricas en el acta correspondiente; y </w:t>
      </w:r>
    </w:p>
    <w:p w14:paraId="4BA4F908" w14:textId="030EED34" w:rsidR="00937226" w:rsidRPr="00937226" w:rsidRDefault="00937226" w:rsidP="00FE2472">
      <w:pPr>
        <w:pStyle w:val="Citas"/>
        <w:rPr>
          <w:b/>
        </w:rPr>
      </w:pPr>
      <w:r>
        <w:t xml:space="preserve">VII. Sello del área, en su caso.” </w:t>
      </w:r>
      <w:r>
        <w:rPr>
          <w:b/>
        </w:rPr>
        <w:t>[Sic]</w:t>
      </w:r>
    </w:p>
    <w:p w14:paraId="550313B8" w14:textId="77777777" w:rsidR="00937226" w:rsidRDefault="00937226" w:rsidP="00937226">
      <w:pPr>
        <w:spacing w:after="0" w:line="360" w:lineRule="auto"/>
        <w:jc w:val="both"/>
        <w:rPr>
          <w:rFonts w:ascii="Palatino Linotype" w:hAnsi="Palatino Linotype" w:cs="Arial"/>
          <w:noProof/>
          <w:color w:val="000000"/>
          <w:sz w:val="24"/>
          <w:lang w:eastAsia="es-MX"/>
        </w:rPr>
      </w:pPr>
    </w:p>
    <w:p w14:paraId="6EAEA59A" w14:textId="77777777" w:rsidR="00937226" w:rsidRDefault="00937226" w:rsidP="0093722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la Tesorería Municipal, Síndicatura, Consejería Juridica, Contraloría Municipal y Secretaría del Ayuntamiento, 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la particular. </w:t>
      </w:r>
    </w:p>
    <w:p w14:paraId="400E79FC" w14:textId="77777777" w:rsidR="00937226" w:rsidRDefault="00937226" w:rsidP="00937226">
      <w:pPr>
        <w:spacing w:after="0" w:line="360" w:lineRule="auto"/>
        <w:jc w:val="both"/>
        <w:rPr>
          <w:rFonts w:ascii="Palatino Linotype" w:hAnsi="Palatino Linotype" w:cs="Arial"/>
          <w:noProof/>
          <w:color w:val="000000"/>
          <w:sz w:val="24"/>
          <w:lang w:eastAsia="es-MX"/>
        </w:rPr>
      </w:pPr>
    </w:p>
    <w:p w14:paraId="680A7C37" w14:textId="75935573" w:rsidR="00937226" w:rsidRDefault="00937226" w:rsidP="0093722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Lo anterior en razón de que sus esferas competenciales los constriñe</w:t>
      </w:r>
      <w:r w:rsidR="004245F4">
        <w:rPr>
          <w:rFonts w:ascii="Palatino Linotype" w:hAnsi="Palatino Linotype" w:cs="Arial"/>
          <w:noProof/>
          <w:color w:val="000000"/>
          <w:sz w:val="24"/>
          <w:lang w:eastAsia="es-MX"/>
        </w:rPr>
        <w:t>n</w:t>
      </w:r>
      <w:r>
        <w:rPr>
          <w:rFonts w:ascii="Palatino Linotype" w:hAnsi="Palatino Linotype" w:cs="Arial"/>
          <w:noProof/>
          <w:color w:val="000000"/>
          <w:sz w:val="24"/>
          <w:lang w:eastAsia="es-MX"/>
        </w:rPr>
        <w:t xml:space="preserve"> a generar, poseer y administrar los soportes documentales requeridos, al fungir como miembros del Comité de Bienes Muebles e Inmuebles. </w:t>
      </w:r>
    </w:p>
    <w:p w14:paraId="066A7F22" w14:textId="77777777" w:rsidR="00937226" w:rsidRDefault="00937226" w:rsidP="00937226">
      <w:pPr>
        <w:spacing w:after="0" w:line="360" w:lineRule="auto"/>
        <w:jc w:val="both"/>
        <w:rPr>
          <w:rFonts w:ascii="Palatino Linotype" w:hAnsi="Palatino Linotype" w:cs="Arial"/>
          <w:noProof/>
          <w:color w:val="000000"/>
          <w:sz w:val="24"/>
          <w:lang w:eastAsia="es-MX"/>
        </w:rPr>
      </w:pPr>
    </w:p>
    <w:p w14:paraId="3E9BF2E0" w14:textId="6A52277E" w:rsidR="00937226" w:rsidRDefault="00937226" w:rsidP="0093722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el titular del Órgano Interno de Control funge como el Secretario Ejecutivo de Bienes Muebles e Inmuebles en términos de </w:t>
      </w:r>
      <w:r w:rsidR="004245F4">
        <w:rPr>
          <w:rFonts w:ascii="Palatino Linotype" w:hAnsi="Palatino Linotype" w:cs="Arial"/>
          <w:noProof/>
          <w:color w:val="000000"/>
          <w:sz w:val="24"/>
          <w:lang w:eastAsia="es-MX"/>
        </w:rPr>
        <w:t xml:space="preserve">los Lineamientos para el registro </w:t>
      </w:r>
      <w:r w:rsidR="008C79F3">
        <w:rPr>
          <w:rFonts w:ascii="Palatino Linotype" w:hAnsi="Palatino Linotype" w:cs="Arial"/>
          <w:noProof/>
          <w:color w:val="000000"/>
          <w:sz w:val="24"/>
          <w:lang w:eastAsia="es-MX"/>
        </w:rPr>
        <w:t xml:space="preserve">y control del inventario y la conciliación y desincorporación de bienes muebles e inmuebles para las entidades fiscalizables municipales del Estado de México, </w:t>
      </w:r>
      <w:r w:rsidR="008C79F3">
        <w:rPr>
          <w:rFonts w:ascii="Palatino Linotype" w:hAnsi="Palatino Linotype" w:cs="Arial"/>
          <w:noProof/>
          <w:color w:val="000000"/>
          <w:sz w:val="24"/>
          <w:lang w:eastAsia="es-MX"/>
        </w:rPr>
        <w:lastRenderedPageBreak/>
        <w:t>ordenamiento normativo que le reserva la atribución de levantar las actas de las sesiones</w:t>
      </w:r>
      <w:r w:rsidR="0070313E">
        <w:rPr>
          <w:rFonts w:ascii="Palatino Linotype" w:hAnsi="Palatino Linotype" w:cs="Arial"/>
          <w:noProof/>
          <w:color w:val="000000"/>
          <w:sz w:val="24"/>
          <w:lang w:eastAsia="es-MX"/>
        </w:rPr>
        <w:t xml:space="preserve"> de dicho comité</w:t>
      </w:r>
      <w:r w:rsidR="008C79F3">
        <w:rPr>
          <w:rFonts w:ascii="Palatino Linotype" w:hAnsi="Palatino Linotype" w:cs="Arial"/>
          <w:noProof/>
          <w:color w:val="000000"/>
          <w:sz w:val="24"/>
          <w:lang w:eastAsia="es-MX"/>
        </w:rPr>
        <w:t>, incluyendo aquellas que versen en el l</w:t>
      </w:r>
      <w:r w:rsidR="0070313E">
        <w:rPr>
          <w:rFonts w:ascii="Palatino Linotype" w:hAnsi="Palatino Linotype" w:cs="Arial"/>
          <w:noProof/>
          <w:color w:val="000000"/>
          <w:sz w:val="24"/>
          <w:lang w:eastAsia="es-MX"/>
        </w:rPr>
        <w:t>evantamiento de bienes muebles e</w:t>
      </w:r>
      <w:r w:rsidR="008C79F3">
        <w:rPr>
          <w:rFonts w:ascii="Palatino Linotype" w:hAnsi="Palatino Linotype" w:cs="Arial"/>
          <w:noProof/>
          <w:color w:val="000000"/>
          <w:sz w:val="24"/>
          <w:lang w:eastAsia="es-MX"/>
        </w:rPr>
        <w:t xml:space="preserve"> inmuebles. </w:t>
      </w:r>
    </w:p>
    <w:p w14:paraId="1D3C1020" w14:textId="3AB519D6" w:rsidR="008C79F3" w:rsidRPr="00FF4138" w:rsidRDefault="008C79F3" w:rsidP="008C79F3">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Una vez sentado lo anterior, como se mencionó en los antecedentes segundo y quinto,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fue omiso en responder la</w:t>
      </w:r>
      <w:r w:rsidR="0070313E">
        <w:rPr>
          <w:rFonts w:ascii="Palatino Linotype" w:hAnsi="Palatino Linotype" w:cs="Arial"/>
          <w:sz w:val="24"/>
          <w:szCs w:val="24"/>
          <w:lang w:eastAsia="es-MX"/>
        </w:rPr>
        <w:t>s</w:t>
      </w:r>
      <w:r>
        <w:rPr>
          <w:rFonts w:ascii="Palatino Linotype" w:hAnsi="Palatino Linotype" w:cs="Arial"/>
          <w:sz w:val="24"/>
          <w:szCs w:val="24"/>
          <w:lang w:eastAsia="es-MX"/>
        </w:rPr>
        <w:t xml:space="preserve"> solicitud</w:t>
      </w:r>
      <w:r w:rsidR="0070313E">
        <w:rPr>
          <w:rFonts w:ascii="Palatino Linotype" w:hAnsi="Palatino Linotype" w:cs="Arial"/>
          <w:sz w:val="24"/>
          <w:szCs w:val="24"/>
          <w:lang w:eastAsia="es-MX"/>
        </w:rPr>
        <w:t>es</w:t>
      </w:r>
      <w:r>
        <w:rPr>
          <w:rFonts w:ascii="Palatino Linotype" w:hAnsi="Palatino Linotype" w:cs="Arial"/>
          <w:sz w:val="24"/>
          <w:szCs w:val="24"/>
          <w:lang w:eastAsia="es-MX"/>
        </w:rPr>
        <w:t xml:space="preserve"> de información formulada</w:t>
      </w:r>
      <w:r w:rsidR="0070313E">
        <w:rPr>
          <w:rFonts w:ascii="Palatino Linotype" w:hAnsi="Palatino Linotype" w:cs="Arial"/>
          <w:sz w:val="24"/>
          <w:szCs w:val="24"/>
          <w:lang w:eastAsia="es-MX"/>
        </w:rPr>
        <w:t>s</w:t>
      </w:r>
      <w:r>
        <w:rPr>
          <w:rFonts w:ascii="Palatino Linotype" w:hAnsi="Palatino Linotype" w:cs="Arial"/>
          <w:sz w:val="24"/>
          <w:szCs w:val="24"/>
          <w:lang w:eastAsia="es-MX"/>
        </w:rPr>
        <w:t xml:space="preserve"> por </w:t>
      </w:r>
      <w:r w:rsidR="0070313E">
        <w:rPr>
          <w:rFonts w:ascii="Palatino Linotype" w:hAnsi="Palatino Linotype" w:cs="Arial"/>
          <w:sz w:val="24"/>
          <w:szCs w:val="24"/>
          <w:lang w:eastAsia="es-MX"/>
        </w:rPr>
        <w:t>la</w:t>
      </w:r>
      <w:r>
        <w:rPr>
          <w:rFonts w:ascii="Palatino Linotype" w:hAnsi="Palatino Linotype" w:cs="Arial"/>
          <w:sz w:val="24"/>
          <w:szCs w:val="24"/>
          <w:lang w:eastAsia="es-MX"/>
        </w:rPr>
        <w:t xml:space="preserve"> particular, luego entonces se actualiza la causal de procedencia inmersa en el numeral 179, fracción VII de la Ley de Transparencia local. </w:t>
      </w:r>
    </w:p>
    <w:p w14:paraId="244369ED" w14:textId="77777777" w:rsidR="008C79F3" w:rsidRDefault="008C79F3" w:rsidP="008C79F3">
      <w:pPr>
        <w:spacing w:line="360" w:lineRule="auto"/>
        <w:jc w:val="both"/>
        <w:rPr>
          <w:rFonts w:ascii="Palatino Linotype" w:hAnsi="Palatino Linotype"/>
          <w:bCs/>
          <w:sz w:val="24"/>
          <w:szCs w:val="24"/>
        </w:rPr>
      </w:pPr>
      <w:r w:rsidRPr="00ED4B06">
        <w:rPr>
          <w:rFonts w:ascii="Palatino Linotype" w:hAnsi="Palatino Linotype"/>
          <w:bCs/>
          <w:sz w:val="24"/>
          <w:szCs w:val="24"/>
        </w:rPr>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 xml:space="preserve">lo constriñe a generar, poseer y administrar la información requerida, en virtud de lo anterior, resulta viable su entrega, en versión pública de ser procedente, acompañada del acuerdo de clasificación correspondiente, luego entonces </w:t>
      </w:r>
      <w:r>
        <w:rPr>
          <w:rFonts w:ascii="Palatino Linotype" w:hAnsi="Palatino Linotype"/>
          <w:b/>
          <w:sz w:val="24"/>
          <w:szCs w:val="24"/>
        </w:rPr>
        <w:t xml:space="preserve">El Sujeto Obligado </w:t>
      </w:r>
      <w:r>
        <w:rPr>
          <w:rFonts w:ascii="Palatino Linotype" w:hAnsi="Palatino Linotype"/>
          <w:bCs/>
          <w:sz w:val="24"/>
          <w:szCs w:val="24"/>
        </w:rPr>
        <w:t>se encuentra constreñido a atender la solicitud de información en mérito.</w:t>
      </w:r>
    </w:p>
    <w:p w14:paraId="49437BD1" w14:textId="77777777" w:rsidR="008C79F3" w:rsidRDefault="008C79F3" w:rsidP="008C79F3">
      <w:pPr>
        <w:spacing w:line="360" w:lineRule="auto"/>
        <w:jc w:val="both"/>
        <w:rPr>
          <w:rFonts w:ascii="Palatino Linotype" w:hAnsi="Palatino Linotype"/>
          <w:bCs/>
          <w:sz w:val="24"/>
          <w:szCs w:val="24"/>
        </w:rPr>
      </w:pPr>
    </w:p>
    <w:p w14:paraId="3CF1EF25" w14:textId="77777777" w:rsidR="008C79F3" w:rsidRDefault="008C79F3" w:rsidP="008C79F3">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28703FB3" w14:textId="77777777" w:rsidR="008C79F3" w:rsidRPr="001571EB" w:rsidRDefault="008C79F3" w:rsidP="008C79F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75488706" w14:textId="77777777" w:rsidR="008C79F3" w:rsidRPr="00E60DEF" w:rsidRDefault="008C79F3" w:rsidP="008C79F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A70D894" w14:textId="77777777" w:rsidR="008C79F3" w:rsidRPr="00E60DEF" w:rsidRDefault="008C79F3" w:rsidP="008C79F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6319914" w14:textId="77777777" w:rsidR="008C79F3" w:rsidRPr="001571EB" w:rsidRDefault="008C79F3" w:rsidP="008C79F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7CA8316" w14:textId="77777777" w:rsidR="008C79F3" w:rsidRPr="001571EB" w:rsidRDefault="008C79F3" w:rsidP="008C79F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F13AF45" w14:textId="77777777" w:rsidR="008C79F3" w:rsidRPr="001571EB" w:rsidRDefault="008C79F3" w:rsidP="008C79F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137C075" w14:textId="77777777" w:rsidR="008C79F3" w:rsidRPr="001571EB" w:rsidRDefault="008C79F3" w:rsidP="008C79F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2DF32E8" w14:textId="77777777" w:rsidR="008C79F3" w:rsidRPr="001571EB" w:rsidRDefault="008C79F3" w:rsidP="008C79F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B09F0F" w14:textId="77777777" w:rsidR="008C79F3" w:rsidRPr="001571EB" w:rsidRDefault="008C79F3" w:rsidP="008C79F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DD2E5CE" w14:textId="77777777" w:rsidR="008C79F3" w:rsidRPr="001571EB" w:rsidRDefault="008C79F3" w:rsidP="008C79F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C6FB21" w14:textId="77777777" w:rsidR="008C79F3" w:rsidRPr="00E60DEF" w:rsidRDefault="008C79F3" w:rsidP="008C79F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29D2563" w14:textId="77777777" w:rsidR="008C79F3" w:rsidRPr="001571EB" w:rsidRDefault="008C79F3" w:rsidP="008C79F3">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51B01F4E" w14:textId="77777777" w:rsidR="008C79F3" w:rsidRPr="00E60DEF" w:rsidRDefault="008C79F3" w:rsidP="008C79F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CADD318" w14:textId="77777777" w:rsidR="008C79F3" w:rsidRPr="001571EB" w:rsidRDefault="008C79F3" w:rsidP="008C79F3">
      <w:pPr>
        <w:spacing w:line="240" w:lineRule="auto"/>
        <w:ind w:left="851" w:right="851"/>
        <w:jc w:val="both"/>
        <w:rPr>
          <w:rFonts w:ascii="Palatino Linotype" w:hAnsi="Palatino Linotype" w:cs="Arial"/>
          <w:b/>
          <w:i/>
          <w:u w:val="single"/>
        </w:rPr>
      </w:pPr>
    </w:p>
    <w:p w14:paraId="63881ECD" w14:textId="77777777" w:rsidR="008C79F3" w:rsidRPr="001571EB" w:rsidRDefault="008C79F3" w:rsidP="008C79F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8128BA4" w14:textId="77777777" w:rsidR="008C79F3" w:rsidRPr="001571EB" w:rsidRDefault="008C79F3" w:rsidP="008C79F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84055D" w14:textId="77777777" w:rsidR="008C79F3" w:rsidRPr="001571EB" w:rsidRDefault="008C79F3" w:rsidP="008C79F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5CECB7A" w14:textId="77777777" w:rsidR="008C79F3" w:rsidRDefault="008C79F3" w:rsidP="008C79F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960E98D" w14:textId="77777777" w:rsidR="008C79F3" w:rsidRDefault="008C79F3" w:rsidP="008C79F3">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5ECA514"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285EED3"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727C030"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B04B95F"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F483360" w14:textId="77777777" w:rsidR="008C79F3" w:rsidRPr="00EE0180"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FE7B6C1" w14:textId="77777777" w:rsidR="008C79F3" w:rsidRPr="001571EB" w:rsidRDefault="008C79F3" w:rsidP="008C79F3">
      <w:pPr>
        <w:autoSpaceDE w:val="0"/>
        <w:autoSpaceDN w:val="0"/>
        <w:adjustRightInd w:val="0"/>
        <w:spacing w:before="120" w:after="120"/>
        <w:ind w:left="567" w:right="850"/>
        <w:jc w:val="both"/>
        <w:rPr>
          <w:rFonts w:ascii="Palatino Linotype" w:eastAsia="Times New Roman" w:hAnsi="Palatino Linotype" w:cs="Arial"/>
          <w:i/>
        </w:rPr>
      </w:pPr>
    </w:p>
    <w:p w14:paraId="175ACB87" w14:textId="77777777" w:rsidR="008C79F3" w:rsidRPr="001571EB" w:rsidRDefault="008C79F3" w:rsidP="008C79F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13EC37A" w14:textId="77777777" w:rsidR="008C79F3" w:rsidRPr="001571EB" w:rsidRDefault="008C79F3" w:rsidP="008C79F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FDDD319" w14:textId="77777777" w:rsidR="008C79F3" w:rsidRDefault="008C79F3" w:rsidP="008C79F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BF82D43" w14:textId="77777777" w:rsidR="008C79F3" w:rsidRDefault="008C79F3" w:rsidP="008C79F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AED529C"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86FA78"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E43B897"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70D6162"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75DAF11" w14:textId="77777777" w:rsidR="008C79F3"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011D714" w14:textId="77777777" w:rsidR="008C79F3" w:rsidRDefault="008C79F3" w:rsidP="008C79F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0DDF5B9" w14:textId="77777777" w:rsidR="008C79F3" w:rsidRDefault="008C79F3" w:rsidP="008C79F3">
      <w:pPr>
        <w:spacing w:after="0" w:line="360" w:lineRule="auto"/>
        <w:ind w:right="51"/>
        <w:jc w:val="both"/>
        <w:rPr>
          <w:rFonts w:ascii="Palatino Linotype" w:hAnsi="Palatino Linotype" w:cs="Arial"/>
          <w:sz w:val="24"/>
          <w:szCs w:val="24"/>
        </w:rPr>
      </w:pPr>
    </w:p>
    <w:p w14:paraId="341F4546" w14:textId="37EC33F1" w:rsidR="008C79F3" w:rsidRDefault="008C79F3" w:rsidP="008C79F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Pr>
          <w:rFonts w:ascii="Palatino Linotype" w:hAnsi="Palatino Linotype" w:cs="Arial"/>
          <w:sz w:val="24"/>
          <w:szCs w:val="24"/>
        </w:rPr>
        <w:t>s</w:t>
      </w:r>
      <w:r w:rsidRPr="00FB59FD">
        <w:rPr>
          <w:rFonts w:ascii="Palatino Linotype" w:hAnsi="Palatino Linotype" w:cs="Arial"/>
          <w:sz w:val="24"/>
          <w:szCs w:val="24"/>
        </w:rPr>
        <w:t xml:space="preserve"> solicitud</w:t>
      </w:r>
      <w:r>
        <w:rPr>
          <w:rFonts w:ascii="Palatino Linotype" w:hAnsi="Palatino Linotype" w:cs="Arial"/>
          <w:sz w:val="24"/>
          <w:szCs w:val="24"/>
        </w:rPr>
        <w:t>es</w:t>
      </w:r>
      <w:r w:rsidRPr="00FB59FD">
        <w:rPr>
          <w:rFonts w:ascii="Palatino Linotype" w:hAnsi="Palatino Linotype" w:cs="Arial"/>
          <w:sz w:val="24"/>
          <w:szCs w:val="24"/>
        </w:rPr>
        <w:t xml:space="preserve"> de información </w:t>
      </w:r>
      <w:r>
        <w:rPr>
          <w:rFonts w:ascii="Palatino Linotype" w:hAnsi="Palatino Linotype" w:cs="Arial"/>
          <w:b/>
          <w:sz w:val="24"/>
        </w:rPr>
        <w:t xml:space="preserve">00046/COATHAR/IP/2021, 00047/COATHAR/IP/2021, 00048/COATHAR/IP/2021 y 00049/COATHAR/IP/2021 </w:t>
      </w:r>
      <w:r w:rsidRPr="00FB59FD">
        <w:rPr>
          <w:rFonts w:ascii="Palatino Linotype" w:hAnsi="Palatino Linotype" w:cs="Arial"/>
          <w:sz w:val="24"/>
          <w:szCs w:val="24"/>
        </w:rPr>
        <w:t>que ha</w:t>
      </w:r>
      <w:r>
        <w:rPr>
          <w:rFonts w:ascii="Palatino Linotype" w:hAnsi="Palatino Linotype" w:cs="Arial"/>
          <w:sz w:val="24"/>
          <w:szCs w:val="24"/>
        </w:rPr>
        <w:t>n</w:t>
      </w:r>
      <w:r w:rsidRPr="00FB59FD">
        <w:rPr>
          <w:rFonts w:ascii="Palatino Linotype" w:hAnsi="Palatino Linotype" w:cs="Arial"/>
          <w:sz w:val="24"/>
          <w:szCs w:val="24"/>
        </w:rPr>
        <w:t xml:space="preserve"> sido materia del presente fallo.</w:t>
      </w:r>
    </w:p>
    <w:p w14:paraId="2EB15131" w14:textId="77777777" w:rsidR="008C79F3" w:rsidRDefault="008C79F3" w:rsidP="008C79F3">
      <w:pPr>
        <w:autoSpaceDE w:val="0"/>
        <w:autoSpaceDN w:val="0"/>
        <w:adjustRightInd w:val="0"/>
        <w:spacing w:after="0" w:line="360" w:lineRule="auto"/>
        <w:jc w:val="both"/>
        <w:rPr>
          <w:rFonts w:ascii="Palatino Linotype" w:hAnsi="Palatino Linotype" w:cs="Arial"/>
          <w:sz w:val="24"/>
          <w:szCs w:val="24"/>
        </w:rPr>
      </w:pPr>
    </w:p>
    <w:p w14:paraId="63849892" w14:textId="0F2F57CE" w:rsidR="008C79F3" w:rsidRDefault="002861B3" w:rsidP="008C79F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264835EE" wp14:editId="37BD3C72">
                <wp:simplePos x="0" y="0"/>
                <wp:positionH relativeFrom="column">
                  <wp:posOffset>-213444</wp:posOffset>
                </wp:positionH>
                <wp:positionV relativeFrom="paragraph">
                  <wp:posOffset>357257</wp:posOffset>
                </wp:positionV>
                <wp:extent cx="6416703" cy="1272208"/>
                <wp:effectExtent l="0" t="0" r="22225" b="23495"/>
                <wp:wrapNone/>
                <wp:docPr id="24" name="Conector recto 24"/>
                <wp:cNvGraphicFramePr/>
                <a:graphic xmlns:a="http://schemas.openxmlformats.org/drawingml/2006/main">
                  <a:graphicData uri="http://schemas.microsoft.com/office/word/2010/wordprocessingShape">
                    <wps:wsp>
                      <wps:cNvCnPr/>
                      <wps:spPr>
                        <a:xfrm>
                          <a:off x="0" y="0"/>
                          <a:ext cx="6416703" cy="1272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4C3DB" id="Conector recto 2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pt,28.15pt" to="488.4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" strokecolor="#5b9bd5 [3204]" strokeweight=".5pt">
                <v:stroke joinstyle="miter"/>
              </v:line>
            </w:pict>
          </mc:Fallback>
        </mc:AlternateContent>
      </w:r>
      <w:r w:rsidR="008C79F3" w:rsidRPr="00FB59FD">
        <w:rPr>
          <w:rFonts w:ascii="Palatino Linotype" w:hAnsi="Palatino Linotype" w:cs="Arial"/>
          <w:sz w:val="24"/>
          <w:szCs w:val="24"/>
        </w:rPr>
        <w:t>Por lo antes expuesto y fundado es de resolverse y,</w:t>
      </w:r>
    </w:p>
    <w:p w14:paraId="4E138CCE" w14:textId="77777777" w:rsidR="002861B3" w:rsidRDefault="002861B3" w:rsidP="008C79F3">
      <w:pPr>
        <w:autoSpaceDE w:val="0"/>
        <w:autoSpaceDN w:val="0"/>
        <w:adjustRightInd w:val="0"/>
        <w:spacing w:after="0" w:line="360" w:lineRule="auto"/>
        <w:jc w:val="both"/>
        <w:rPr>
          <w:rFonts w:ascii="Palatino Linotype" w:hAnsi="Palatino Linotype" w:cs="Arial"/>
          <w:sz w:val="24"/>
          <w:szCs w:val="24"/>
        </w:rPr>
      </w:pPr>
    </w:p>
    <w:p w14:paraId="5F0D98B8" w14:textId="77777777" w:rsidR="002861B3" w:rsidRDefault="002861B3" w:rsidP="008C79F3">
      <w:pPr>
        <w:autoSpaceDE w:val="0"/>
        <w:autoSpaceDN w:val="0"/>
        <w:adjustRightInd w:val="0"/>
        <w:spacing w:after="0" w:line="360" w:lineRule="auto"/>
        <w:jc w:val="both"/>
        <w:rPr>
          <w:rFonts w:ascii="Palatino Linotype" w:hAnsi="Palatino Linotype" w:cs="Arial"/>
          <w:sz w:val="24"/>
          <w:szCs w:val="24"/>
        </w:rPr>
      </w:pPr>
    </w:p>
    <w:p w14:paraId="2EFFAD6D" w14:textId="77777777" w:rsidR="004245F4" w:rsidRDefault="004245F4" w:rsidP="00937226">
      <w:pPr>
        <w:spacing w:after="0" w:line="360" w:lineRule="auto"/>
        <w:jc w:val="both"/>
        <w:rPr>
          <w:rFonts w:ascii="Palatino Linotype" w:hAnsi="Palatino Linotype" w:cs="Arial"/>
          <w:noProof/>
          <w:color w:val="000000"/>
          <w:sz w:val="24"/>
          <w:lang w:eastAsia="es-MX"/>
        </w:rPr>
      </w:pPr>
    </w:p>
    <w:p w14:paraId="604154EA" w14:textId="77777777" w:rsidR="008C79F3" w:rsidRPr="00FB59FD" w:rsidRDefault="008C79F3" w:rsidP="008C79F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45637A3C" w14:textId="77777777" w:rsidR="008C79F3" w:rsidRPr="00FB59FD" w:rsidRDefault="008C79F3" w:rsidP="008C79F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45538D9" w14:textId="58739238" w:rsidR="008C79F3" w:rsidRDefault="008C79F3" w:rsidP="008C79F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2472A9A3" w14:textId="77777777" w:rsidR="008C79F3" w:rsidRPr="00BE383C" w:rsidRDefault="008C79F3" w:rsidP="008C79F3">
      <w:pPr>
        <w:pStyle w:val="Sinespaciado"/>
        <w:spacing w:line="360" w:lineRule="auto"/>
        <w:jc w:val="both"/>
        <w:rPr>
          <w:rFonts w:ascii="Palatino Linotype" w:hAnsi="Palatino Linotype" w:cstheme="minorHAnsi"/>
        </w:rPr>
      </w:pPr>
    </w:p>
    <w:p w14:paraId="5DE28CA8" w14:textId="02131F05" w:rsidR="008C79F3" w:rsidRDefault="008C79F3" w:rsidP="008C79F3">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w:t>
      </w:r>
      <w:r>
        <w:rPr>
          <w:rFonts w:ascii="Palatino Linotype" w:hAnsi="Palatino Linotype"/>
          <w:color w:val="222222"/>
          <w:lang w:eastAsia="es-MX"/>
        </w:rPr>
        <w:t>s</w:t>
      </w:r>
      <w:r w:rsidRPr="00BE383C">
        <w:rPr>
          <w:rFonts w:ascii="Palatino Linotype" w:hAnsi="Palatino Linotype"/>
          <w:color w:val="222222"/>
          <w:lang w:eastAsia="es-MX"/>
        </w:rPr>
        <w:t xml:space="preserve"> </w:t>
      </w:r>
      <w:r>
        <w:rPr>
          <w:rFonts w:ascii="Palatino Linotype" w:hAnsi="Palatino Linotype"/>
          <w:color w:val="222222"/>
          <w:lang w:eastAsia="es-MX"/>
        </w:rPr>
        <w:t xml:space="preserve">solicitudes de </w:t>
      </w:r>
      <w:r w:rsidRPr="00BE383C">
        <w:rPr>
          <w:rFonts w:ascii="Palatino Linotype" w:hAnsi="Palatino Linotype"/>
          <w:color w:val="222222"/>
          <w:lang w:eastAsia="es-MX"/>
        </w:rPr>
        <w:t>información número</w:t>
      </w:r>
      <w:r>
        <w:rPr>
          <w:rFonts w:ascii="Palatino Linotype" w:hAnsi="Palatino Linotype"/>
          <w:color w:val="222222"/>
          <w:lang w:eastAsia="es-MX"/>
        </w:rPr>
        <w:t xml:space="preserve">s </w:t>
      </w:r>
      <w:r>
        <w:rPr>
          <w:rFonts w:ascii="Palatino Linotype" w:hAnsi="Palatino Linotype" w:cs="Arial"/>
          <w:b/>
        </w:rPr>
        <w:t>00046/COATHAR/IP/2021, 00047/COATHAR/IP/2021, 00048/COATHAR/IP/2021 y 00049/COATHAR/IP/2021</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573AFCF2" w14:textId="77777777" w:rsidR="008C79F3" w:rsidRPr="00BE383C" w:rsidRDefault="008C79F3" w:rsidP="008C79F3">
      <w:pPr>
        <w:pStyle w:val="Sinespaciado"/>
        <w:spacing w:line="360" w:lineRule="auto"/>
        <w:jc w:val="both"/>
        <w:rPr>
          <w:rFonts w:ascii="Palatino Linotype" w:hAnsi="Palatino Linotype" w:cstheme="minorHAnsi"/>
        </w:rPr>
      </w:pPr>
    </w:p>
    <w:p w14:paraId="0D06A9AE" w14:textId="77777777" w:rsidR="008C79F3" w:rsidRDefault="008C79F3" w:rsidP="008C79F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53A842EA" w14:textId="77777777" w:rsidR="008C79F3" w:rsidRPr="00BE383C" w:rsidRDefault="008C79F3" w:rsidP="008C79F3">
      <w:pPr>
        <w:pStyle w:val="Sinespaciado"/>
        <w:spacing w:line="360" w:lineRule="auto"/>
        <w:jc w:val="both"/>
        <w:rPr>
          <w:rFonts w:ascii="Palatino Linotype" w:hAnsi="Palatino Linotype" w:cstheme="minorHAnsi"/>
        </w:rPr>
      </w:pPr>
    </w:p>
    <w:p w14:paraId="791BE884" w14:textId="13584912" w:rsidR="008C79F3" w:rsidRDefault="008C79F3" w:rsidP="008C79F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 xml:space="preserve">a </w:t>
      </w:r>
      <w:r>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w:t>
      </w:r>
      <w:r w:rsidRPr="00BE383C">
        <w:rPr>
          <w:rFonts w:ascii="Palatino Linotype" w:hAnsi="Palatino Linotype" w:cstheme="minorHAnsi"/>
        </w:rPr>
        <w:lastRenderedPageBreak/>
        <w:t>por el artículo 196, de la Ley de Transparencia y Acceso a la Información Pública del Estado de México y Municipios.</w:t>
      </w:r>
    </w:p>
    <w:p w14:paraId="3EB4042B" w14:textId="77777777" w:rsidR="008C79F3" w:rsidRDefault="008C79F3" w:rsidP="008C79F3">
      <w:pPr>
        <w:pStyle w:val="Sinespaciado"/>
        <w:spacing w:line="360" w:lineRule="auto"/>
        <w:jc w:val="both"/>
        <w:rPr>
          <w:rFonts w:ascii="Palatino Linotype" w:hAnsi="Palatino Linotype" w:cstheme="minorHAnsi"/>
        </w:rPr>
      </w:pPr>
    </w:p>
    <w:p w14:paraId="1B10B4F9" w14:textId="77777777" w:rsidR="008C79F3" w:rsidRDefault="008C79F3" w:rsidP="008C79F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6AFB75A4" w14:textId="77777777" w:rsidR="008C79F3" w:rsidRDefault="008C79F3" w:rsidP="008C79F3">
      <w:pPr>
        <w:pStyle w:val="Sinespaciado"/>
        <w:spacing w:line="360" w:lineRule="auto"/>
        <w:jc w:val="both"/>
        <w:rPr>
          <w:rFonts w:ascii="Palatino Linotype" w:eastAsia="MS Mincho" w:hAnsi="Palatino Linotype" w:cstheme="minorHAnsi"/>
        </w:rPr>
      </w:pPr>
    </w:p>
    <w:p w14:paraId="4BDD15D4" w14:textId="56867B71" w:rsidR="008C79F3" w:rsidRPr="00BE383C" w:rsidRDefault="008C79F3" w:rsidP="008C79F3">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 xml:space="preserve">del conocimiento de </w:t>
      </w:r>
      <w:r>
        <w:rPr>
          <w:rFonts w:ascii="Palatino Linotype" w:hAnsi="Palatino Linotype" w:cstheme="minorHAnsi"/>
          <w:b/>
          <w:color w:val="222222"/>
          <w:lang w:eastAsia="es-ES_tradnl"/>
        </w:rPr>
        <w:t xml:space="preserve">LA </w:t>
      </w:r>
      <w:r w:rsidRPr="00C14D83">
        <w:rPr>
          <w:rFonts w:ascii="Palatino Linotype" w:hAnsi="Palatino Linotype" w:cstheme="minorHAnsi"/>
          <w:b/>
          <w:color w:val="222222"/>
          <w:lang w:eastAsia="es-ES_tradnl"/>
        </w:rPr>
        <w:t>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7B9B4C97" w14:textId="77777777" w:rsidR="008C79F3" w:rsidRDefault="008C79F3" w:rsidP="008C79F3">
      <w:pPr>
        <w:autoSpaceDE w:val="0"/>
        <w:autoSpaceDN w:val="0"/>
        <w:adjustRightInd w:val="0"/>
        <w:spacing w:after="0" w:line="360" w:lineRule="auto"/>
        <w:ind w:right="49"/>
        <w:jc w:val="both"/>
        <w:rPr>
          <w:rFonts w:ascii="Palatino Linotype" w:hAnsi="Palatino Linotype" w:cs="Arial"/>
          <w:sz w:val="24"/>
          <w:szCs w:val="24"/>
        </w:rPr>
      </w:pPr>
    </w:p>
    <w:p w14:paraId="0FD63040" w14:textId="77777777" w:rsidR="008C79F3" w:rsidRDefault="008C79F3" w:rsidP="008C79F3">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3F1DD57" w14:textId="37EED3D5" w:rsidR="008C79F3" w:rsidRDefault="008C79F3" w:rsidP="008C79F3">
      <w:pPr>
        <w:spacing w:after="0" w:line="360" w:lineRule="auto"/>
        <w:jc w:val="both"/>
        <w:rPr>
          <w:rFonts w:ascii="Palatino Linotype" w:eastAsia="Calibri" w:hAnsi="Palatino Linotype" w:cs="Times New Roman"/>
          <w:sz w:val="24"/>
          <w:szCs w:val="24"/>
          <w:lang w:eastAsia="es-ES_tradnl"/>
        </w:rPr>
      </w:pPr>
    </w:p>
    <w:p w14:paraId="40C50974" w14:textId="77777777" w:rsidR="008C79F3" w:rsidRDefault="008C79F3" w:rsidP="008C79F3">
      <w:pPr>
        <w:spacing w:after="0" w:line="360" w:lineRule="auto"/>
        <w:jc w:val="both"/>
        <w:rPr>
          <w:rFonts w:ascii="Palatino Linotype" w:eastAsia="Calibri" w:hAnsi="Palatino Linotype" w:cs="Times New Roman"/>
          <w:sz w:val="24"/>
          <w:szCs w:val="24"/>
          <w:lang w:eastAsia="es-ES_tradnl"/>
        </w:rPr>
      </w:pPr>
    </w:p>
    <w:p w14:paraId="003A8F32" w14:textId="55077555" w:rsidR="008C79F3" w:rsidRDefault="008C79F3" w:rsidP="008C79F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(VOTO EN CONTRA CON VOTO DISIDENTE) Y LUIS GUSTAVO PARRA NORIEGA </w:t>
      </w:r>
      <w:r w:rsidRPr="003955C1">
        <w:rPr>
          <w:rFonts w:ascii="Palatino Linotype" w:eastAsia="Arial Unicode MS" w:hAnsi="Palatino Linotype" w:cs="Times New Roman"/>
          <w:sz w:val="24"/>
          <w:szCs w:val="24"/>
          <w:lang w:eastAsia="es-ES"/>
        </w:rPr>
        <w:t xml:space="preserve">EN </w:t>
      </w:r>
      <w:r>
        <w:rPr>
          <w:rFonts w:ascii="Palatino Linotype" w:hAnsi="Palatino Linotype" w:cs="Arial"/>
          <w:sz w:val="24"/>
          <w:szCs w:val="24"/>
        </w:rPr>
        <w:t xml:space="preserve">LA DÉCIMA </w:t>
      </w:r>
      <w:r w:rsidR="0020424D">
        <w:rPr>
          <w:rFonts w:ascii="Palatino Linotype" w:hAnsi="Palatino Linotype" w:cs="Arial"/>
          <w:sz w:val="24"/>
          <w:szCs w:val="24"/>
        </w:rPr>
        <w:t>OCTAVA</w:t>
      </w:r>
      <w:r>
        <w:rPr>
          <w:rFonts w:ascii="Palatino Linotype" w:hAnsi="Palatino Linotype" w:cs="Arial"/>
          <w:sz w:val="24"/>
          <w:szCs w:val="24"/>
        </w:rPr>
        <w:t xml:space="preserve"> SESIÓN ORDINARIA CELEBRADA EL VEINTISÉIS DE MAYO DE DOS MIL VEINTIUNO, ANTE EL SECRETARIO TÉCNICO DEL PLENO, ALEXIS TAPIA RAMÍREZ. </w:t>
      </w:r>
    </w:p>
    <w:p w14:paraId="0CE6A6E4" w14:textId="0403176D" w:rsidR="008C79F3" w:rsidRDefault="002861B3" w:rsidP="008C79F3">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5A66820" wp14:editId="693D1522">
                <wp:simplePos x="0" y="0"/>
                <wp:positionH relativeFrom="column">
                  <wp:posOffset>-269102</wp:posOffset>
                </wp:positionH>
                <wp:positionV relativeFrom="paragraph">
                  <wp:posOffset>213221</wp:posOffset>
                </wp:positionV>
                <wp:extent cx="6448508" cy="4166483"/>
                <wp:effectExtent l="0" t="0" r="28575" b="24765"/>
                <wp:wrapNone/>
                <wp:docPr id="25" name="Conector recto 25"/>
                <wp:cNvGraphicFramePr/>
                <a:graphic xmlns:a="http://schemas.openxmlformats.org/drawingml/2006/main">
                  <a:graphicData uri="http://schemas.microsoft.com/office/word/2010/wordprocessingShape">
                    <wps:wsp>
                      <wps:cNvCnPr/>
                      <wps:spPr>
                        <a:xfrm>
                          <a:off x="0" y="0"/>
                          <a:ext cx="6448508" cy="41664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C9BB4" id="Conector recto 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2pt,16.8pt" to="486.5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" strokecolor="#5b9bd5 [3204]" strokeweight=".5pt">
                <v:stroke joinstyle="miter"/>
              </v:line>
            </w:pict>
          </mc:Fallback>
        </mc:AlternateContent>
      </w:r>
    </w:p>
    <w:p w14:paraId="46D78C19" w14:textId="77777777" w:rsidR="002861B3" w:rsidRDefault="002861B3" w:rsidP="008C79F3">
      <w:pPr>
        <w:spacing w:after="0" w:line="360" w:lineRule="auto"/>
        <w:jc w:val="both"/>
        <w:rPr>
          <w:rFonts w:ascii="Palatino Linotype" w:hAnsi="Palatino Linotype" w:cs="Arial"/>
          <w:sz w:val="16"/>
          <w:szCs w:val="16"/>
        </w:rPr>
      </w:pPr>
    </w:p>
    <w:p w14:paraId="56266B2E" w14:textId="77777777" w:rsidR="002861B3" w:rsidRDefault="002861B3" w:rsidP="008C79F3">
      <w:pPr>
        <w:spacing w:after="0" w:line="360" w:lineRule="auto"/>
        <w:jc w:val="both"/>
        <w:rPr>
          <w:rFonts w:ascii="Palatino Linotype" w:hAnsi="Palatino Linotype" w:cs="Arial"/>
          <w:sz w:val="16"/>
          <w:szCs w:val="16"/>
        </w:rPr>
      </w:pPr>
    </w:p>
    <w:p w14:paraId="1AEAA439" w14:textId="77777777" w:rsidR="002861B3" w:rsidRDefault="002861B3" w:rsidP="008C79F3">
      <w:pPr>
        <w:spacing w:after="0" w:line="360" w:lineRule="auto"/>
        <w:jc w:val="both"/>
        <w:rPr>
          <w:rFonts w:ascii="Palatino Linotype" w:hAnsi="Palatino Linotype" w:cs="Arial"/>
          <w:sz w:val="16"/>
          <w:szCs w:val="16"/>
        </w:rPr>
      </w:pPr>
    </w:p>
    <w:p w14:paraId="36AAD063" w14:textId="77777777" w:rsidR="002861B3" w:rsidRDefault="002861B3" w:rsidP="008C79F3">
      <w:pPr>
        <w:spacing w:after="0" w:line="360" w:lineRule="auto"/>
        <w:jc w:val="both"/>
        <w:rPr>
          <w:rFonts w:ascii="Palatino Linotype" w:hAnsi="Palatino Linotype" w:cs="Arial"/>
          <w:sz w:val="16"/>
          <w:szCs w:val="16"/>
        </w:rPr>
      </w:pPr>
    </w:p>
    <w:p w14:paraId="520929D9" w14:textId="77777777" w:rsidR="002861B3" w:rsidRDefault="002861B3" w:rsidP="008C79F3">
      <w:pPr>
        <w:spacing w:after="0" w:line="360" w:lineRule="auto"/>
        <w:jc w:val="both"/>
        <w:rPr>
          <w:rFonts w:ascii="Palatino Linotype" w:hAnsi="Palatino Linotype" w:cs="Arial"/>
          <w:sz w:val="16"/>
          <w:szCs w:val="16"/>
        </w:rPr>
      </w:pPr>
    </w:p>
    <w:p w14:paraId="44975966" w14:textId="77777777" w:rsidR="002861B3" w:rsidRDefault="002861B3" w:rsidP="008C79F3">
      <w:pPr>
        <w:spacing w:after="0" w:line="360" w:lineRule="auto"/>
        <w:jc w:val="both"/>
        <w:rPr>
          <w:rFonts w:ascii="Palatino Linotype" w:hAnsi="Palatino Linotype" w:cs="Arial"/>
          <w:sz w:val="16"/>
          <w:szCs w:val="16"/>
        </w:rPr>
      </w:pPr>
    </w:p>
    <w:p w14:paraId="7D4D89A6" w14:textId="77777777" w:rsidR="002861B3" w:rsidRDefault="002861B3" w:rsidP="008C79F3">
      <w:pPr>
        <w:spacing w:after="0" w:line="360" w:lineRule="auto"/>
        <w:jc w:val="both"/>
        <w:rPr>
          <w:rFonts w:ascii="Palatino Linotype" w:hAnsi="Palatino Linotype" w:cs="Arial"/>
          <w:sz w:val="16"/>
          <w:szCs w:val="16"/>
        </w:rPr>
      </w:pPr>
    </w:p>
    <w:p w14:paraId="22A69F37" w14:textId="77777777" w:rsidR="002861B3" w:rsidRDefault="002861B3" w:rsidP="008C79F3">
      <w:pPr>
        <w:spacing w:after="0" w:line="360" w:lineRule="auto"/>
        <w:jc w:val="both"/>
        <w:rPr>
          <w:rFonts w:ascii="Palatino Linotype" w:hAnsi="Palatino Linotype" w:cs="Arial"/>
          <w:sz w:val="16"/>
          <w:szCs w:val="16"/>
        </w:rPr>
      </w:pPr>
    </w:p>
    <w:p w14:paraId="6D36C8D6" w14:textId="77777777" w:rsidR="002861B3" w:rsidRDefault="002861B3" w:rsidP="008C79F3">
      <w:pPr>
        <w:spacing w:after="0" w:line="360" w:lineRule="auto"/>
        <w:jc w:val="both"/>
        <w:rPr>
          <w:rFonts w:ascii="Palatino Linotype" w:hAnsi="Palatino Linotype" w:cs="Arial"/>
          <w:sz w:val="16"/>
          <w:szCs w:val="16"/>
        </w:rPr>
      </w:pPr>
    </w:p>
    <w:p w14:paraId="69C39AFF" w14:textId="77777777" w:rsidR="002861B3" w:rsidRDefault="002861B3" w:rsidP="008C79F3">
      <w:pPr>
        <w:spacing w:after="0" w:line="360" w:lineRule="auto"/>
        <w:jc w:val="both"/>
        <w:rPr>
          <w:rFonts w:ascii="Palatino Linotype" w:hAnsi="Palatino Linotype" w:cs="Arial"/>
          <w:sz w:val="16"/>
          <w:szCs w:val="16"/>
        </w:rPr>
      </w:pPr>
    </w:p>
    <w:p w14:paraId="101E2027" w14:textId="77777777" w:rsidR="002861B3" w:rsidRDefault="002861B3" w:rsidP="008C79F3">
      <w:pPr>
        <w:spacing w:after="0" w:line="360" w:lineRule="auto"/>
        <w:jc w:val="both"/>
        <w:rPr>
          <w:rFonts w:ascii="Palatino Linotype" w:hAnsi="Palatino Linotype" w:cs="Arial"/>
          <w:sz w:val="16"/>
          <w:szCs w:val="16"/>
        </w:rPr>
      </w:pPr>
    </w:p>
    <w:p w14:paraId="6EC420C7" w14:textId="77777777" w:rsidR="002861B3" w:rsidRDefault="002861B3" w:rsidP="008C79F3">
      <w:pPr>
        <w:spacing w:after="0" w:line="360" w:lineRule="auto"/>
        <w:jc w:val="both"/>
        <w:rPr>
          <w:rFonts w:ascii="Palatino Linotype" w:hAnsi="Palatino Linotype" w:cs="Arial"/>
          <w:sz w:val="16"/>
          <w:szCs w:val="16"/>
        </w:rPr>
      </w:pPr>
    </w:p>
    <w:p w14:paraId="752A5D5D" w14:textId="77777777" w:rsidR="002861B3" w:rsidRDefault="002861B3" w:rsidP="008C79F3">
      <w:pPr>
        <w:spacing w:after="0" w:line="360" w:lineRule="auto"/>
        <w:jc w:val="both"/>
        <w:rPr>
          <w:rFonts w:ascii="Palatino Linotype" w:hAnsi="Palatino Linotype" w:cs="Arial"/>
          <w:sz w:val="16"/>
          <w:szCs w:val="16"/>
        </w:rPr>
      </w:pPr>
    </w:p>
    <w:p w14:paraId="754CA85A" w14:textId="77777777" w:rsidR="002861B3" w:rsidRDefault="002861B3" w:rsidP="008C79F3">
      <w:pPr>
        <w:spacing w:after="0" w:line="360" w:lineRule="auto"/>
        <w:jc w:val="both"/>
        <w:rPr>
          <w:rFonts w:ascii="Palatino Linotype" w:hAnsi="Palatino Linotype" w:cs="Arial"/>
          <w:sz w:val="16"/>
          <w:szCs w:val="16"/>
        </w:rPr>
      </w:pPr>
    </w:p>
    <w:p w14:paraId="18E3705F" w14:textId="77777777" w:rsidR="002861B3" w:rsidRDefault="002861B3" w:rsidP="008C79F3">
      <w:pPr>
        <w:spacing w:after="0" w:line="360" w:lineRule="auto"/>
        <w:jc w:val="both"/>
        <w:rPr>
          <w:rFonts w:ascii="Palatino Linotype" w:hAnsi="Palatino Linotype" w:cs="Arial"/>
          <w:sz w:val="16"/>
          <w:szCs w:val="16"/>
        </w:rPr>
      </w:pPr>
    </w:p>
    <w:p w14:paraId="685AA0BC" w14:textId="77777777" w:rsidR="002861B3" w:rsidRDefault="002861B3" w:rsidP="008C79F3">
      <w:pPr>
        <w:spacing w:after="0" w:line="360" w:lineRule="auto"/>
        <w:jc w:val="both"/>
        <w:rPr>
          <w:rFonts w:ascii="Palatino Linotype" w:hAnsi="Palatino Linotype" w:cs="Arial"/>
          <w:sz w:val="16"/>
          <w:szCs w:val="16"/>
        </w:rPr>
      </w:pPr>
    </w:p>
    <w:p w14:paraId="77D53D49" w14:textId="77777777" w:rsidR="002861B3" w:rsidRDefault="002861B3" w:rsidP="008C79F3">
      <w:pPr>
        <w:spacing w:after="0" w:line="360" w:lineRule="auto"/>
        <w:jc w:val="both"/>
        <w:rPr>
          <w:rFonts w:ascii="Palatino Linotype" w:hAnsi="Palatino Linotype" w:cs="Arial"/>
          <w:sz w:val="16"/>
          <w:szCs w:val="16"/>
        </w:rPr>
      </w:pPr>
    </w:p>
    <w:p w14:paraId="4A9D166D" w14:textId="77777777" w:rsidR="002861B3" w:rsidRDefault="002861B3" w:rsidP="008C79F3">
      <w:pPr>
        <w:spacing w:after="0" w:line="360" w:lineRule="auto"/>
        <w:jc w:val="both"/>
        <w:rPr>
          <w:rFonts w:ascii="Palatino Linotype" w:hAnsi="Palatino Linotype" w:cs="Arial"/>
          <w:sz w:val="16"/>
          <w:szCs w:val="16"/>
        </w:rPr>
      </w:pPr>
    </w:p>
    <w:p w14:paraId="077225A6" w14:textId="77777777" w:rsidR="002861B3" w:rsidRDefault="002861B3" w:rsidP="008C79F3">
      <w:pPr>
        <w:spacing w:after="0" w:line="360" w:lineRule="auto"/>
        <w:jc w:val="both"/>
        <w:rPr>
          <w:rFonts w:ascii="Palatino Linotype" w:hAnsi="Palatino Linotype" w:cs="Arial"/>
          <w:sz w:val="16"/>
          <w:szCs w:val="16"/>
        </w:rPr>
      </w:pPr>
    </w:p>
    <w:p w14:paraId="73E2431F" w14:textId="1470CF90" w:rsidR="002861B3" w:rsidRDefault="002861B3" w:rsidP="008C79F3">
      <w:pPr>
        <w:spacing w:after="0" w:line="360" w:lineRule="auto"/>
        <w:jc w:val="both"/>
        <w:rPr>
          <w:rFonts w:ascii="Palatino Linotype" w:hAnsi="Palatino Linotype" w:cs="Arial"/>
          <w:sz w:val="16"/>
          <w:szCs w:val="16"/>
        </w:rPr>
      </w:pPr>
      <w:r>
        <w:rPr>
          <w:rFonts w:ascii="Palatino Linotype" w:hAnsi="Palatino Linotype" w:cs="Arial"/>
          <w:sz w:val="16"/>
          <w:szCs w:val="16"/>
        </w:rPr>
        <w:t>OSAM/JCMA</w:t>
      </w:r>
    </w:p>
    <w:p w14:paraId="411B00CF" w14:textId="77777777" w:rsidR="002861B3" w:rsidRDefault="002861B3" w:rsidP="008C79F3">
      <w:pPr>
        <w:spacing w:after="0" w:line="360" w:lineRule="auto"/>
        <w:jc w:val="both"/>
        <w:rPr>
          <w:rFonts w:ascii="Palatino Linotype" w:hAnsi="Palatino Linotype" w:cs="Arial"/>
          <w:sz w:val="16"/>
          <w:szCs w:val="16"/>
        </w:rPr>
      </w:pPr>
    </w:p>
    <w:p w14:paraId="43FAE52F" w14:textId="77777777" w:rsidR="002861B3" w:rsidRDefault="002861B3" w:rsidP="008C79F3">
      <w:pPr>
        <w:spacing w:after="0" w:line="360" w:lineRule="auto"/>
        <w:jc w:val="both"/>
        <w:rPr>
          <w:rFonts w:ascii="Palatino Linotype" w:hAnsi="Palatino Linotype" w:cs="Arial"/>
          <w:sz w:val="16"/>
          <w:szCs w:val="16"/>
        </w:rPr>
      </w:pPr>
    </w:p>
    <w:p w14:paraId="0B3709B4" w14:textId="77777777" w:rsidR="002861B3" w:rsidRPr="002861B3" w:rsidRDefault="002861B3" w:rsidP="008C79F3">
      <w:pPr>
        <w:spacing w:after="0" w:line="360" w:lineRule="auto"/>
        <w:jc w:val="both"/>
        <w:rPr>
          <w:rFonts w:ascii="Palatino Linotype" w:hAnsi="Palatino Linotype" w:cs="Arial"/>
          <w:sz w:val="16"/>
          <w:szCs w:val="16"/>
        </w:rPr>
      </w:pPr>
    </w:p>
    <w:sectPr w:rsidR="002861B3" w:rsidRPr="002861B3"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EC007" w14:textId="77777777" w:rsidR="0059504A" w:rsidRDefault="0059504A" w:rsidP="006168E4">
      <w:pPr>
        <w:spacing w:after="0" w:line="240" w:lineRule="auto"/>
      </w:pPr>
      <w:r>
        <w:separator/>
      </w:r>
    </w:p>
  </w:endnote>
  <w:endnote w:type="continuationSeparator" w:id="0">
    <w:p w14:paraId="158B8DD0" w14:textId="77777777" w:rsidR="0059504A" w:rsidRDefault="0059504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05AC7" w:rsidRPr="000B69FA" w:rsidRDefault="00105AC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266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266A">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055E33D" w:rsidR="00105AC7" w:rsidRPr="000B69FA" w:rsidRDefault="00105AC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26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266A">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2BB7E" w14:textId="77777777" w:rsidR="0059504A" w:rsidRDefault="0059504A" w:rsidP="006168E4">
      <w:pPr>
        <w:spacing w:after="0" w:line="240" w:lineRule="auto"/>
      </w:pPr>
      <w:r>
        <w:separator/>
      </w:r>
    </w:p>
  </w:footnote>
  <w:footnote w:type="continuationSeparator" w:id="0">
    <w:p w14:paraId="24C1D767" w14:textId="77777777" w:rsidR="0059504A" w:rsidRDefault="0059504A" w:rsidP="006168E4">
      <w:pPr>
        <w:spacing w:after="0" w:line="240" w:lineRule="auto"/>
      </w:pPr>
      <w:r>
        <w:continuationSeparator/>
      </w:r>
    </w:p>
  </w:footnote>
  <w:footnote w:id="1">
    <w:p w14:paraId="7F813D15" w14:textId="77777777" w:rsidR="00105AC7" w:rsidRPr="005552A8" w:rsidRDefault="00105AC7"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105AC7" w:rsidRPr="005552A8" w:rsidRDefault="00105AC7"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04385E66" w:rsidR="00105AC7" w:rsidRDefault="00105AC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DBAAC72" wp14:editId="400D6E0B">
          <wp:simplePos x="0" y="0"/>
          <wp:positionH relativeFrom="page">
            <wp:align>left</wp:align>
          </wp:positionH>
          <wp:positionV relativeFrom="page">
            <wp:posOffset>33655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05AC7" w14:paraId="17981A04" w14:textId="77777777" w:rsidTr="00FB4AAD">
      <w:trPr>
        <w:trHeight w:val="227"/>
      </w:trPr>
      <w:tc>
        <w:tcPr>
          <w:tcW w:w="5529" w:type="dxa"/>
          <w:hideMark/>
        </w:tcPr>
        <w:p w14:paraId="0E414BC5" w14:textId="75B4D793" w:rsidR="00105AC7" w:rsidRDefault="00105AC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5F4B0A6" w:rsidR="00105AC7" w:rsidRPr="00B4142F" w:rsidRDefault="00105AC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02260/INFOEM/IP/RR/2021 y acumulados</w:t>
          </w:r>
        </w:p>
      </w:tc>
    </w:tr>
    <w:tr w:rsidR="00105AC7" w14:paraId="637042F0" w14:textId="77777777" w:rsidTr="00FB4AAD">
      <w:trPr>
        <w:trHeight w:val="242"/>
      </w:trPr>
      <w:tc>
        <w:tcPr>
          <w:tcW w:w="5529" w:type="dxa"/>
          <w:hideMark/>
        </w:tcPr>
        <w:p w14:paraId="412AD568" w14:textId="582E7AD7" w:rsidR="00105AC7" w:rsidRDefault="00105AC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D45F3B3" w:rsidR="00105AC7" w:rsidRPr="00F06FED" w:rsidRDefault="008E2F5D"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Coatepec Harinas</w:t>
          </w:r>
        </w:p>
      </w:tc>
    </w:tr>
    <w:tr w:rsidR="00105AC7" w14:paraId="21BFE746" w14:textId="77777777" w:rsidTr="00FB4AAD">
      <w:trPr>
        <w:trHeight w:val="342"/>
      </w:trPr>
      <w:tc>
        <w:tcPr>
          <w:tcW w:w="5529" w:type="dxa"/>
          <w:hideMark/>
        </w:tcPr>
        <w:p w14:paraId="64C4E314" w14:textId="77777777" w:rsidR="00105AC7" w:rsidRDefault="00105AC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105AC7" w:rsidRDefault="00105AC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105AC7" w:rsidRDefault="00105A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05AC7" w14:paraId="385FD437" w14:textId="77777777" w:rsidTr="00FB4AAD">
      <w:trPr>
        <w:trHeight w:val="227"/>
      </w:trPr>
      <w:tc>
        <w:tcPr>
          <w:tcW w:w="5529" w:type="dxa"/>
          <w:hideMark/>
        </w:tcPr>
        <w:p w14:paraId="272860E8" w14:textId="029CA8DC" w:rsidR="00105AC7" w:rsidRDefault="00105AC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4DE524A" w:rsidR="00105AC7" w:rsidRPr="00B4142F" w:rsidRDefault="00105AC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02260/INFOEM/IP/RR/2021 y acumulados</w:t>
          </w:r>
        </w:p>
      </w:tc>
    </w:tr>
    <w:tr w:rsidR="00105AC7" w14:paraId="33FC5097" w14:textId="77777777" w:rsidTr="00FB4AAD">
      <w:trPr>
        <w:trHeight w:val="196"/>
      </w:trPr>
      <w:tc>
        <w:tcPr>
          <w:tcW w:w="5529" w:type="dxa"/>
          <w:hideMark/>
        </w:tcPr>
        <w:p w14:paraId="4F5D01E5" w14:textId="77777777" w:rsidR="00105AC7" w:rsidRDefault="00105AC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C5390D3" w:rsidR="00105AC7" w:rsidRPr="00F06FED" w:rsidRDefault="00EE266A" w:rsidP="00EE266A">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xxxxxxxxxxxxxxxxxxxxxxxxxxxxxxx</w:t>
          </w:r>
          <w:proofErr w:type="spellEnd"/>
          <w:r w:rsidR="00105AC7">
            <w:rPr>
              <w:rFonts w:ascii="Palatino Linotype" w:hAnsi="Palatino Linotype" w:cs="Arial"/>
            </w:rPr>
            <w:t xml:space="preserve"> </w:t>
          </w:r>
          <w:proofErr w:type="spellStart"/>
          <w:r>
            <w:rPr>
              <w:rFonts w:ascii="Palatino Linotype" w:hAnsi="Palatino Linotype" w:cs="Arial"/>
            </w:rPr>
            <w:t>xxxxxxxxxx</w:t>
          </w:r>
          <w:proofErr w:type="spellEnd"/>
          <w:r w:rsidR="00105AC7">
            <w:rPr>
              <w:rFonts w:ascii="Palatino Linotype" w:hAnsi="Palatino Linotype" w:cs="Arial"/>
            </w:rPr>
            <w:t xml:space="preserve"> </w:t>
          </w:r>
        </w:p>
      </w:tc>
    </w:tr>
    <w:tr w:rsidR="00105AC7" w14:paraId="178280DE" w14:textId="77777777" w:rsidTr="00FB4AAD">
      <w:trPr>
        <w:trHeight w:val="242"/>
      </w:trPr>
      <w:tc>
        <w:tcPr>
          <w:tcW w:w="5529" w:type="dxa"/>
          <w:hideMark/>
        </w:tcPr>
        <w:p w14:paraId="71AC708B" w14:textId="77777777" w:rsidR="00105AC7" w:rsidRDefault="00105AC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D16C50E" w:rsidR="00105AC7" w:rsidRDefault="00105AC7" w:rsidP="00151F3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Coatepec Harinas</w:t>
          </w:r>
        </w:p>
      </w:tc>
    </w:tr>
    <w:tr w:rsidR="00105AC7" w14:paraId="0518978B" w14:textId="77777777" w:rsidTr="00FB4AAD">
      <w:trPr>
        <w:trHeight w:val="342"/>
      </w:trPr>
      <w:tc>
        <w:tcPr>
          <w:tcW w:w="5529" w:type="dxa"/>
          <w:hideMark/>
        </w:tcPr>
        <w:p w14:paraId="04968A43" w14:textId="77777777" w:rsidR="00105AC7" w:rsidRDefault="00105AC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105AC7" w:rsidRDefault="00105AC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F06B336" w:rsidR="00105AC7" w:rsidRDefault="00105AC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290CB40" wp14:editId="4F15F20D">
          <wp:simplePos x="0" y="0"/>
          <wp:positionH relativeFrom="page">
            <wp:align>left</wp:align>
          </wp:positionH>
          <wp:positionV relativeFrom="page">
            <wp:posOffset>34925</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0BC9"/>
    <w:multiLevelType w:val="hybridMultilevel"/>
    <w:tmpl w:val="A18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4B0ED0"/>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8">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05F6F"/>
    <w:multiLevelType w:val="hybridMultilevel"/>
    <w:tmpl w:val="F6C0BB84"/>
    <w:lvl w:ilvl="0" w:tplc="6178D222">
      <w:start w:val="1"/>
      <w:numFmt w:val="upperRoman"/>
      <w:lvlText w:val="%1."/>
      <w:lvlJc w:val="left"/>
      <w:pPr>
        <w:ind w:left="1080" w:hanging="720"/>
      </w:pPr>
      <w:rPr>
        <w:rFonts w:ascii="Arial" w:hAnsi="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553D9"/>
    <w:multiLevelType w:val="hybridMultilevel"/>
    <w:tmpl w:val="DD664FE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DE143B"/>
    <w:multiLevelType w:val="hybridMultilevel"/>
    <w:tmpl w:val="9642E81A"/>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7">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4"/>
  </w:num>
  <w:num w:numId="2">
    <w:abstractNumId w:val="16"/>
  </w:num>
  <w:num w:numId="3">
    <w:abstractNumId w:val="19"/>
  </w:num>
  <w:num w:numId="4">
    <w:abstractNumId w:val="3"/>
  </w:num>
  <w:num w:numId="5">
    <w:abstractNumId w:val="17"/>
  </w:num>
  <w:num w:numId="6">
    <w:abstractNumId w:val="6"/>
  </w:num>
  <w:num w:numId="7">
    <w:abstractNumId w:val="4"/>
  </w:num>
  <w:num w:numId="8">
    <w:abstractNumId w:val="10"/>
  </w:num>
  <w:num w:numId="9">
    <w:abstractNumId w:val="18"/>
  </w:num>
  <w:num w:numId="10">
    <w:abstractNumId w:val="8"/>
  </w:num>
  <w:num w:numId="11">
    <w:abstractNumId w:val="11"/>
  </w:num>
  <w:num w:numId="12">
    <w:abstractNumId w:val="7"/>
  </w:num>
  <w:num w:numId="13">
    <w:abstractNumId w:val="5"/>
  </w:num>
  <w:num w:numId="14">
    <w:abstractNumId w:val="1"/>
  </w:num>
  <w:num w:numId="15">
    <w:abstractNumId w:val="2"/>
  </w:num>
  <w:num w:numId="16">
    <w:abstractNumId w:val="0"/>
  </w:num>
  <w:num w:numId="17">
    <w:abstractNumId w:val="9"/>
  </w:num>
  <w:num w:numId="18">
    <w:abstractNumId w:val="15"/>
  </w:num>
  <w:num w:numId="19">
    <w:abstractNumId w:val="13"/>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306A7"/>
    <w:rsid w:val="00031B3B"/>
    <w:rsid w:val="000323DD"/>
    <w:rsid w:val="00032896"/>
    <w:rsid w:val="000329BE"/>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284F"/>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07E"/>
    <w:rsid w:val="000A18F1"/>
    <w:rsid w:val="000A2E75"/>
    <w:rsid w:val="000A3486"/>
    <w:rsid w:val="000A46EB"/>
    <w:rsid w:val="000A5195"/>
    <w:rsid w:val="000A535D"/>
    <w:rsid w:val="000A5980"/>
    <w:rsid w:val="000A6335"/>
    <w:rsid w:val="000A79DA"/>
    <w:rsid w:val="000B03E0"/>
    <w:rsid w:val="000B47D5"/>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100C19"/>
    <w:rsid w:val="00105AC7"/>
    <w:rsid w:val="00106372"/>
    <w:rsid w:val="001119AB"/>
    <w:rsid w:val="00111DCD"/>
    <w:rsid w:val="00112C29"/>
    <w:rsid w:val="00114CF9"/>
    <w:rsid w:val="001228AB"/>
    <w:rsid w:val="00124855"/>
    <w:rsid w:val="001254F5"/>
    <w:rsid w:val="00136FAD"/>
    <w:rsid w:val="00140557"/>
    <w:rsid w:val="001408A0"/>
    <w:rsid w:val="001439C9"/>
    <w:rsid w:val="00144386"/>
    <w:rsid w:val="00146F0A"/>
    <w:rsid w:val="00151F35"/>
    <w:rsid w:val="00152AB2"/>
    <w:rsid w:val="00152C2B"/>
    <w:rsid w:val="00161FBE"/>
    <w:rsid w:val="0016745C"/>
    <w:rsid w:val="001710C0"/>
    <w:rsid w:val="001733A0"/>
    <w:rsid w:val="00175897"/>
    <w:rsid w:val="00180B9F"/>
    <w:rsid w:val="00181CC5"/>
    <w:rsid w:val="001829BE"/>
    <w:rsid w:val="00184E8E"/>
    <w:rsid w:val="001854E1"/>
    <w:rsid w:val="0018577F"/>
    <w:rsid w:val="00190EA0"/>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61DA"/>
    <w:rsid w:val="00202749"/>
    <w:rsid w:val="0020424D"/>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1B3"/>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40DE"/>
    <w:rsid w:val="002E5E6A"/>
    <w:rsid w:val="002E77D6"/>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4683"/>
    <w:rsid w:val="003272FB"/>
    <w:rsid w:val="003317CD"/>
    <w:rsid w:val="00340770"/>
    <w:rsid w:val="0034179E"/>
    <w:rsid w:val="00341AC3"/>
    <w:rsid w:val="0034299B"/>
    <w:rsid w:val="003430A8"/>
    <w:rsid w:val="003443B2"/>
    <w:rsid w:val="00357E02"/>
    <w:rsid w:val="00361B9C"/>
    <w:rsid w:val="00365C45"/>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3D4F"/>
    <w:rsid w:val="003B5455"/>
    <w:rsid w:val="003B5FFE"/>
    <w:rsid w:val="003B63C0"/>
    <w:rsid w:val="003C2632"/>
    <w:rsid w:val="003C2A8E"/>
    <w:rsid w:val="003C5861"/>
    <w:rsid w:val="003C7873"/>
    <w:rsid w:val="003C78F7"/>
    <w:rsid w:val="003D153C"/>
    <w:rsid w:val="003D3CA2"/>
    <w:rsid w:val="003E0BC5"/>
    <w:rsid w:val="003E16E1"/>
    <w:rsid w:val="003E2624"/>
    <w:rsid w:val="003E34C9"/>
    <w:rsid w:val="003E4B54"/>
    <w:rsid w:val="003F332C"/>
    <w:rsid w:val="003F659A"/>
    <w:rsid w:val="00400E16"/>
    <w:rsid w:val="004012CF"/>
    <w:rsid w:val="004012E1"/>
    <w:rsid w:val="004015C3"/>
    <w:rsid w:val="004028F5"/>
    <w:rsid w:val="00402FF3"/>
    <w:rsid w:val="00404484"/>
    <w:rsid w:val="00404627"/>
    <w:rsid w:val="00405EAB"/>
    <w:rsid w:val="004069EB"/>
    <w:rsid w:val="004111DA"/>
    <w:rsid w:val="0041150A"/>
    <w:rsid w:val="00413327"/>
    <w:rsid w:val="00413F1C"/>
    <w:rsid w:val="00423213"/>
    <w:rsid w:val="0042416D"/>
    <w:rsid w:val="004245F4"/>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D09"/>
    <w:rsid w:val="005371E7"/>
    <w:rsid w:val="0053744C"/>
    <w:rsid w:val="00540538"/>
    <w:rsid w:val="00540C92"/>
    <w:rsid w:val="00545EFC"/>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04A"/>
    <w:rsid w:val="00595600"/>
    <w:rsid w:val="00596DC4"/>
    <w:rsid w:val="00597589"/>
    <w:rsid w:val="005A0B49"/>
    <w:rsid w:val="005A52D9"/>
    <w:rsid w:val="005A5A6E"/>
    <w:rsid w:val="005A5E18"/>
    <w:rsid w:val="005A694B"/>
    <w:rsid w:val="005A6D57"/>
    <w:rsid w:val="005B0424"/>
    <w:rsid w:val="005B1CBF"/>
    <w:rsid w:val="005B37EF"/>
    <w:rsid w:val="005B5B70"/>
    <w:rsid w:val="005B5F05"/>
    <w:rsid w:val="005B77A6"/>
    <w:rsid w:val="005B79E7"/>
    <w:rsid w:val="005C3E35"/>
    <w:rsid w:val="005C40CB"/>
    <w:rsid w:val="005C4A72"/>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2F9A"/>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E0BE6"/>
    <w:rsid w:val="006F1B61"/>
    <w:rsid w:val="006F53A9"/>
    <w:rsid w:val="006F5A35"/>
    <w:rsid w:val="006F610D"/>
    <w:rsid w:val="006F6E0E"/>
    <w:rsid w:val="00701033"/>
    <w:rsid w:val="00701F96"/>
    <w:rsid w:val="007024E8"/>
    <w:rsid w:val="0070313E"/>
    <w:rsid w:val="0070371E"/>
    <w:rsid w:val="00705F8F"/>
    <w:rsid w:val="007064F6"/>
    <w:rsid w:val="007078A3"/>
    <w:rsid w:val="00707C6C"/>
    <w:rsid w:val="00711536"/>
    <w:rsid w:val="0071182B"/>
    <w:rsid w:val="007129C0"/>
    <w:rsid w:val="00713390"/>
    <w:rsid w:val="007142B5"/>
    <w:rsid w:val="00716BFE"/>
    <w:rsid w:val="00720774"/>
    <w:rsid w:val="007234D1"/>
    <w:rsid w:val="007261E9"/>
    <w:rsid w:val="00731428"/>
    <w:rsid w:val="0073157A"/>
    <w:rsid w:val="00735209"/>
    <w:rsid w:val="00744E29"/>
    <w:rsid w:val="00744EEF"/>
    <w:rsid w:val="007517D1"/>
    <w:rsid w:val="007524CA"/>
    <w:rsid w:val="00754CAE"/>
    <w:rsid w:val="007658D5"/>
    <w:rsid w:val="00772BA8"/>
    <w:rsid w:val="00774266"/>
    <w:rsid w:val="0078028A"/>
    <w:rsid w:val="007806CB"/>
    <w:rsid w:val="00781C64"/>
    <w:rsid w:val="007848FB"/>
    <w:rsid w:val="007851D5"/>
    <w:rsid w:val="00785698"/>
    <w:rsid w:val="0078693A"/>
    <w:rsid w:val="00792003"/>
    <w:rsid w:val="00792EA9"/>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46F9"/>
    <w:rsid w:val="00814D55"/>
    <w:rsid w:val="00816D1D"/>
    <w:rsid w:val="008230AE"/>
    <w:rsid w:val="00824DCD"/>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12FB"/>
    <w:rsid w:val="008C2BCF"/>
    <w:rsid w:val="008C32A8"/>
    <w:rsid w:val="008C55A3"/>
    <w:rsid w:val="008C79F3"/>
    <w:rsid w:val="008D06E0"/>
    <w:rsid w:val="008D1DFF"/>
    <w:rsid w:val="008D29A7"/>
    <w:rsid w:val="008D5427"/>
    <w:rsid w:val="008E2F5D"/>
    <w:rsid w:val="008E6375"/>
    <w:rsid w:val="008E7DB4"/>
    <w:rsid w:val="008F0A8A"/>
    <w:rsid w:val="008F10A6"/>
    <w:rsid w:val="008F16D2"/>
    <w:rsid w:val="008F3674"/>
    <w:rsid w:val="008F4C65"/>
    <w:rsid w:val="0090155A"/>
    <w:rsid w:val="009020E0"/>
    <w:rsid w:val="0090233A"/>
    <w:rsid w:val="00903410"/>
    <w:rsid w:val="00905422"/>
    <w:rsid w:val="00910B4E"/>
    <w:rsid w:val="00912621"/>
    <w:rsid w:val="009130C0"/>
    <w:rsid w:val="00913133"/>
    <w:rsid w:val="00913283"/>
    <w:rsid w:val="00915791"/>
    <w:rsid w:val="00916B04"/>
    <w:rsid w:val="00917869"/>
    <w:rsid w:val="0091794A"/>
    <w:rsid w:val="0092113F"/>
    <w:rsid w:val="00921DB9"/>
    <w:rsid w:val="00922358"/>
    <w:rsid w:val="0092403D"/>
    <w:rsid w:val="00932888"/>
    <w:rsid w:val="009331C2"/>
    <w:rsid w:val="00937226"/>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740D7"/>
    <w:rsid w:val="00976C8C"/>
    <w:rsid w:val="0098182D"/>
    <w:rsid w:val="00985C4C"/>
    <w:rsid w:val="0098704B"/>
    <w:rsid w:val="009932CD"/>
    <w:rsid w:val="00993821"/>
    <w:rsid w:val="00994280"/>
    <w:rsid w:val="009970B5"/>
    <w:rsid w:val="009A0D0A"/>
    <w:rsid w:val="009A0FAE"/>
    <w:rsid w:val="009A2418"/>
    <w:rsid w:val="009A5567"/>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30C44"/>
    <w:rsid w:val="00A328AE"/>
    <w:rsid w:val="00A4131E"/>
    <w:rsid w:val="00A41694"/>
    <w:rsid w:val="00A43501"/>
    <w:rsid w:val="00A453DC"/>
    <w:rsid w:val="00A46BDA"/>
    <w:rsid w:val="00A535E3"/>
    <w:rsid w:val="00A570A7"/>
    <w:rsid w:val="00A625E2"/>
    <w:rsid w:val="00A62AA3"/>
    <w:rsid w:val="00A62B55"/>
    <w:rsid w:val="00A64C80"/>
    <w:rsid w:val="00A67EF9"/>
    <w:rsid w:val="00A72465"/>
    <w:rsid w:val="00A804BA"/>
    <w:rsid w:val="00A80C92"/>
    <w:rsid w:val="00A81BCB"/>
    <w:rsid w:val="00A82461"/>
    <w:rsid w:val="00A840FB"/>
    <w:rsid w:val="00A84571"/>
    <w:rsid w:val="00A84CDC"/>
    <w:rsid w:val="00A851D8"/>
    <w:rsid w:val="00A85E37"/>
    <w:rsid w:val="00A860FD"/>
    <w:rsid w:val="00A86416"/>
    <w:rsid w:val="00A86C49"/>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5D1C"/>
    <w:rsid w:val="00AB6C3B"/>
    <w:rsid w:val="00AC0062"/>
    <w:rsid w:val="00AC0516"/>
    <w:rsid w:val="00AC0D96"/>
    <w:rsid w:val="00AC48E0"/>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3B81"/>
    <w:rsid w:val="00B145FA"/>
    <w:rsid w:val="00B2037B"/>
    <w:rsid w:val="00B23274"/>
    <w:rsid w:val="00B272A6"/>
    <w:rsid w:val="00B30856"/>
    <w:rsid w:val="00B32CD3"/>
    <w:rsid w:val="00B34CA9"/>
    <w:rsid w:val="00B35797"/>
    <w:rsid w:val="00B35A93"/>
    <w:rsid w:val="00B3672D"/>
    <w:rsid w:val="00B40656"/>
    <w:rsid w:val="00B4065F"/>
    <w:rsid w:val="00B40875"/>
    <w:rsid w:val="00B40F8A"/>
    <w:rsid w:val="00B41E69"/>
    <w:rsid w:val="00B4745C"/>
    <w:rsid w:val="00B50AAA"/>
    <w:rsid w:val="00B544D9"/>
    <w:rsid w:val="00B6196A"/>
    <w:rsid w:val="00B658D4"/>
    <w:rsid w:val="00B75A2C"/>
    <w:rsid w:val="00B813AC"/>
    <w:rsid w:val="00B8287F"/>
    <w:rsid w:val="00B8376C"/>
    <w:rsid w:val="00B84260"/>
    <w:rsid w:val="00B86811"/>
    <w:rsid w:val="00B8738D"/>
    <w:rsid w:val="00B91F0B"/>
    <w:rsid w:val="00B9223B"/>
    <w:rsid w:val="00B92D47"/>
    <w:rsid w:val="00B961A5"/>
    <w:rsid w:val="00B9640A"/>
    <w:rsid w:val="00BA04DB"/>
    <w:rsid w:val="00BA18D5"/>
    <w:rsid w:val="00BA49CC"/>
    <w:rsid w:val="00BA4D1F"/>
    <w:rsid w:val="00BA5A51"/>
    <w:rsid w:val="00BA7AD1"/>
    <w:rsid w:val="00BB0B9D"/>
    <w:rsid w:val="00BB1CC2"/>
    <w:rsid w:val="00BB2250"/>
    <w:rsid w:val="00BB4F63"/>
    <w:rsid w:val="00BB744D"/>
    <w:rsid w:val="00BB751D"/>
    <w:rsid w:val="00BB7708"/>
    <w:rsid w:val="00BC0FDD"/>
    <w:rsid w:val="00BC22E0"/>
    <w:rsid w:val="00BC4AA7"/>
    <w:rsid w:val="00BC5852"/>
    <w:rsid w:val="00BD5425"/>
    <w:rsid w:val="00BD6F2F"/>
    <w:rsid w:val="00BD705F"/>
    <w:rsid w:val="00BE28ED"/>
    <w:rsid w:val="00BE55D6"/>
    <w:rsid w:val="00BE61B8"/>
    <w:rsid w:val="00BF030A"/>
    <w:rsid w:val="00BF2EA1"/>
    <w:rsid w:val="00BF4C66"/>
    <w:rsid w:val="00BF543F"/>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7F9"/>
    <w:rsid w:val="00C3746F"/>
    <w:rsid w:val="00C3768A"/>
    <w:rsid w:val="00C37D9D"/>
    <w:rsid w:val="00C4139D"/>
    <w:rsid w:val="00C41EBB"/>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5FF3"/>
    <w:rsid w:val="00CD7178"/>
    <w:rsid w:val="00CD7E2A"/>
    <w:rsid w:val="00CE2ADF"/>
    <w:rsid w:val="00CE33FC"/>
    <w:rsid w:val="00CE4B84"/>
    <w:rsid w:val="00CE62BA"/>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C7D"/>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0AA1"/>
    <w:rsid w:val="00D8195B"/>
    <w:rsid w:val="00D831E8"/>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23A5"/>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27B53"/>
    <w:rsid w:val="00E30CA9"/>
    <w:rsid w:val="00E31AC3"/>
    <w:rsid w:val="00E33AAA"/>
    <w:rsid w:val="00E33CB8"/>
    <w:rsid w:val="00E33F0E"/>
    <w:rsid w:val="00E36C8F"/>
    <w:rsid w:val="00E371EC"/>
    <w:rsid w:val="00E37EB7"/>
    <w:rsid w:val="00E404C5"/>
    <w:rsid w:val="00E40A10"/>
    <w:rsid w:val="00E42DA5"/>
    <w:rsid w:val="00E51EF9"/>
    <w:rsid w:val="00E53806"/>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97676"/>
    <w:rsid w:val="00EA1CE1"/>
    <w:rsid w:val="00EA1F89"/>
    <w:rsid w:val="00EB08A0"/>
    <w:rsid w:val="00EB117B"/>
    <w:rsid w:val="00EB40D6"/>
    <w:rsid w:val="00EB5F75"/>
    <w:rsid w:val="00EB7852"/>
    <w:rsid w:val="00EB79CD"/>
    <w:rsid w:val="00EC060D"/>
    <w:rsid w:val="00EC1B64"/>
    <w:rsid w:val="00EC2525"/>
    <w:rsid w:val="00EE0713"/>
    <w:rsid w:val="00EE07A6"/>
    <w:rsid w:val="00EE0F2E"/>
    <w:rsid w:val="00EE266A"/>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4E9"/>
    <w:rsid w:val="00F40B51"/>
    <w:rsid w:val="00F40E4D"/>
    <w:rsid w:val="00F41DE4"/>
    <w:rsid w:val="00F42499"/>
    <w:rsid w:val="00F42753"/>
    <w:rsid w:val="00F46CE7"/>
    <w:rsid w:val="00F50C2C"/>
    <w:rsid w:val="00F510DB"/>
    <w:rsid w:val="00F604E0"/>
    <w:rsid w:val="00F615AB"/>
    <w:rsid w:val="00F6501E"/>
    <w:rsid w:val="00F66CC7"/>
    <w:rsid w:val="00F70615"/>
    <w:rsid w:val="00F72722"/>
    <w:rsid w:val="00F727B0"/>
    <w:rsid w:val="00F7598B"/>
    <w:rsid w:val="00F87ADD"/>
    <w:rsid w:val="00F914FD"/>
    <w:rsid w:val="00F9164E"/>
    <w:rsid w:val="00F952BF"/>
    <w:rsid w:val="00F95515"/>
    <w:rsid w:val="00F974AA"/>
    <w:rsid w:val="00FA2545"/>
    <w:rsid w:val="00FA2BBA"/>
    <w:rsid w:val="00FA7CFC"/>
    <w:rsid w:val="00FB097C"/>
    <w:rsid w:val="00FB0BD7"/>
    <w:rsid w:val="00FB21C2"/>
    <w:rsid w:val="00FB4AAD"/>
    <w:rsid w:val="00FB4E3D"/>
    <w:rsid w:val="00FB5A22"/>
    <w:rsid w:val="00FB5F2A"/>
    <w:rsid w:val="00FC1407"/>
    <w:rsid w:val="00FC22E1"/>
    <w:rsid w:val="00FC2C8C"/>
    <w:rsid w:val="00FC4F9B"/>
    <w:rsid w:val="00FC545B"/>
    <w:rsid w:val="00FC59F0"/>
    <w:rsid w:val="00FC6793"/>
    <w:rsid w:val="00FD4599"/>
    <w:rsid w:val="00FD4784"/>
    <w:rsid w:val="00FD65FE"/>
    <w:rsid w:val="00FE00DA"/>
    <w:rsid w:val="00FE0FAF"/>
    <w:rsid w:val="00FE2472"/>
    <w:rsid w:val="00FE2A1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190EA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ATEPEC/art_92_ii_b/2.web"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DE52-1DAA-4C56-894F-AAF2B18C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36</Pages>
  <Words>6478</Words>
  <Characters>35629</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2018-12-04T20:35:00Z</cp:lastPrinted>
  <dcterms:created xsi:type="dcterms:W3CDTF">2021-05-11T16:26:00Z</dcterms:created>
  <dcterms:modified xsi:type="dcterms:W3CDTF">2021-06-18T00:59:00Z</dcterms:modified>
</cp:coreProperties>
</file>