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F2422" w14:textId="7435A68E" w:rsidR="005534B4" w:rsidRDefault="00494F48" w:rsidP="002F59D1">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w:t>
      </w:r>
      <w:r w:rsidR="005534B4" w:rsidRPr="00F320D7">
        <w:rPr>
          <w:rFonts w:ascii="Palatino Linotype" w:hAnsi="Palatino Linotype"/>
          <w:b/>
          <w:sz w:val="24"/>
          <w:szCs w:val="24"/>
        </w:rPr>
        <w:t xml:space="preserve">PROTECCIÓN DE DATOS PERSONALES DEL ESTADO DE MÉXICO Y MUNICIPIOS, EN LA </w:t>
      </w:r>
      <w:r w:rsidR="005534B4">
        <w:rPr>
          <w:rFonts w:ascii="Palatino Linotype" w:hAnsi="Palatino Linotype"/>
          <w:b/>
          <w:sz w:val="24"/>
          <w:szCs w:val="24"/>
        </w:rPr>
        <w:t xml:space="preserve">CUADRAGÉSIMA </w:t>
      </w:r>
      <w:r w:rsidR="00592FD2">
        <w:rPr>
          <w:rFonts w:ascii="Palatino Linotype" w:hAnsi="Palatino Linotype"/>
          <w:b/>
          <w:sz w:val="24"/>
          <w:szCs w:val="24"/>
        </w:rPr>
        <w:t xml:space="preserve">CUARTA </w:t>
      </w:r>
      <w:r w:rsidR="005534B4">
        <w:rPr>
          <w:rFonts w:ascii="Palatino Linotype" w:hAnsi="Palatino Linotype"/>
          <w:b/>
          <w:sz w:val="24"/>
          <w:szCs w:val="24"/>
        </w:rPr>
        <w:t xml:space="preserve">SESIÓN ORDINARIA DEL PLENO DE FECHA </w:t>
      </w:r>
      <w:r w:rsidR="00592FD2">
        <w:rPr>
          <w:rFonts w:ascii="Palatino Linotype" w:hAnsi="Palatino Linotype"/>
          <w:b/>
          <w:sz w:val="24"/>
          <w:szCs w:val="24"/>
        </w:rPr>
        <w:t xml:space="preserve">OCHO </w:t>
      </w:r>
      <w:r w:rsidR="005534B4">
        <w:rPr>
          <w:rFonts w:ascii="Palatino Linotype" w:hAnsi="Palatino Linotype"/>
          <w:b/>
          <w:sz w:val="24"/>
          <w:szCs w:val="24"/>
        </w:rPr>
        <w:t xml:space="preserve"> DE DICIEMBRE DE DOS MIL VEINTIUNO, EN EL RECURSO DE REVISIÓN 03</w:t>
      </w:r>
      <w:r w:rsidR="00D21B84">
        <w:rPr>
          <w:rFonts w:ascii="Palatino Linotype" w:hAnsi="Palatino Linotype"/>
          <w:b/>
          <w:sz w:val="24"/>
          <w:szCs w:val="24"/>
        </w:rPr>
        <w:t>914</w:t>
      </w:r>
      <w:r w:rsidR="005534B4">
        <w:rPr>
          <w:rFonts w:ascii="Palatino Linotype" w:hAnsi="Palatino Linotype"/>
          <w:b/>
          <w:sz w:val="24"/>
          <w:szCs w:val="24"/>
        </w:rPr>
        <w:t xml:space="preserve">/INFOEM/IP/RR/2021. </w:t>
      </w:r>
    </w:p>
    <w:p w14:paraId="151CFB1D" w14:textId="77777777" w:rsidR="005534B4" w:rsidRDefault="005534B4" w:rsidP="002F59D1">
      <w:pPr>
        <w:spacing w:after="0" w:line="360" w:lineRule="auto"/>
        <w:jc w:val="both"/>
        <w:rPr>
          <w:rFonts w:ascii="Palatino Linotype" w:hAnsi="Palatino Linotype"/>
          <w:b/>
          <w:sz w:val="24"/>
          <w:szCs w:val="24"/>
        </w:rPr>
      </w:pPr>
    </w:p>
    <w:p w14:paraId="6627C399" w14:textId="77777777" w:rsidR="0071133A" w:rsidRPr="00F86EDD" w:rsidRDefault="000F49C4" w:rsidP="002F59D1">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w:t>
      </w:r>
      <w:bookmarkStart w:id="0" w:name="_GoBack"/>
      <w:bookmarkEnd w:id="0"/>
      <w:r w:rsidR="00CF11A8" w:rsidRPr="00F86EDD">
        <w:rPr>
          <w:rFonts w:ascii="Palatino Linotype" w:hAnsi="Palatino Linotype"/>
          <w:sz w:val="24"/>
          <w:szCs w:val="24"/>
          <w:lang w:val="es-ES"/>
        </w:rPr>
        <w:t>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2F59D1">
      <w:pPr>
        <w:spacing w:after="0" w:line="360" w:lineRule="auto"/>
        <w:jc w:val="both"/>
        <w:rPr>
          <w:rFonts w:ascii="Palatino Linotype" w:hAnsi="Palatino Linotype"/>
          <w:sz w:val="24"/>
          <w:szCs w:val="24"/>
          <w:lang w:val="es-ES"/>
        </w:rPr>
      </w:pPr>
    </w:p>
    <w:p w14:paraId="55BB310D" w14:textId="600FF6AD" w:rsidR="00330955" w:rsidRPr="00F86EDD" w:rsidRDefault="004402F7" w:rsidP="002F59D1">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 xml:space="preserve">Es necesario precisar, que si bien se comparte el sentido general de la resolución, se difiere en que se haya ordenado </w:t>
      </w:r>
      <w:r w:rsidRPr="00F86EDD">
        <w:rPr>
          <w:rFonts w:ascii="Palatino Linotype" w:hAnsi="Palatino Linotype"/>
          <w:b/>
          <w:sz w:val="24"/>
          <w:szCs w:val="24"/>
          <w:lang w:val="es-ES"/>
        </w:rPr>
        <w:t xml:space="preserve">eximir </w:t>
      </w:r>
      <w:r w:rsidR="006023F6">
        <w:rPr>
          <w:rFonts w:ascii="Palatino Linotype" w:hAnsi="Palatino Linotype"/>
          <w:b/>
          <w:sz w:val="24"/>
          <w:szCs w:val="24"/>
          <w:lang w:val="es-ES"/>
        </w:rPr>
        <w:t xml:space="preserve">parcialmente </w:t>
      </w:r>
      <w:r w:rsidRPr="00F86EDD">
        <w:rPr>
          <w:rFonts w:ascii="Palatino Linotype" w:hAnsi="Palatino Linotype"/>
          <w:b/>
          <w:sz w:val="24"/>
          <w:szCs w:val="24"/>
          <w:lang w:val="es-ES"/>
        </w:rPr>
        <w:t>a</w:t>
      </w:r>
      <w:r w:rsidR="00F86EDD">
        <w:rPr>
          <w:rFonts w:ascii="Palatino Linotype" w:hAnsi="Palatino Linotype"/>
          <w:b/>
          <w:sz w:val="24"/>
          <w:szCs w:val="24"/>
          <w:lang w:val="es-ES"/>
        </w:rPr>
        <w:t xml:space="preserve"> la parte r</w:t>
      </w:r>
      <w:r w:rsidRPr="00F86EDD">
        <w:rPr>
          <w:rFonts w:ascii="Palatino Linotype" w:hAnsi="Palatino Linotype"/>
          <w:b/>
          <w:sz w:val="24"/>
          <w:szCs w:val="24"/>
          <w:lang w:val="es-ES"/>
        </w:rPr>
        <w:t>ecurrente del pago de derechos por la expedición de copias certificadas</w:t>
      </w:r>
      <w:r w:rsidRPr="00F86EDD">
        <w:rPr>
          <w:rFonts w:ascii="Palatino Linotype" w:hAnsi="Palatino Linotype"/>
          <w:sz w:val="24"/>
          <w:szCs w:val="24"/>
          <w:lang w:val="es-ES"/>
        </w:rPr>
        <w:t>, por las siguientes precisiones:</w:t>
      </w:r>
    </w:p>
    <w:p w14:paraId="09559332" w14:textId="77777777" w:rsidR="00330955" w:rsidRPr="00F86EDD" w:rsidRDefault="00330955" w:rsidP="002F59D1">
      <w:pPr>
        <w:spacing w:after="0" w:line="360" w:lineRule="auto"/>
        <w:jc w:val="both"/>
        <w:rPr>
          <w:rFonts w:ascii="Palatino Linotype" w:hAnsi="Palatino Linotype"/>
          <w:sz w:val="24"/>
          <w:szCs w:val="24"/>
          <w:lang w:val="es-ES"/>
        </w:rPr>
      </w:pPr>
    </w:p>
    <w:p w14:paraId="014B020F" w14:textId="77777777" w:rsidR="001A2B7D" w:rsidRDefault="001A2B7D" w:rsidP="002F59D1">
      <w:pPr>
        <w:spacing w:after="0" w:line="360" w:lineRule="auto"/>
        <w:jc w:val="both"/>
        <w:rPr>
          <w:rFonts w:ascii="Palatino Linotype" w:hAnsi="Palatino Linotype"/>
          <w:sz w:val="24"/>
          <w:lang w:val="es-ES"/>
        </w:rPr>
      </w:pPr>
    </w:p>
    <w:p w14:paraId="359ABC83" w14:textId="5CFA60AD" w:rsidR="001A2B7D" w:rsidRPr="001A2B7D" w:rsidRDefault="001A2B7D" w:rsidP="001A2B7D">
      <w:pPr>
        <w:spacing w:after="0" w:line="360" w:lineRule="auto"/>
        <w:jc w:val="center"/>
        <w:rPr>
          <w:rFonts w:ascii="Palatino Linotype" w:hAnsi="Palatino Linotype"/>
          <w:b/>
          <w:sz w:val="24"/>
          <w:lang w:val="es-ES"/>
        </w:rPr>
      </w:pPr>
      <w:r w:rsidRPr="001A2B7D">
        <w:rPr>
          <w:rFonts w:ascii="Palatino Linotype" w:hAnsi="Palatino Linotype"/>
          <w:b/>
          <w:sz w:val="24"/>
          <w:lang w:val="es-ES"/>
        </w:rPr>
        <w:lastRenderedPageBreak/>
        <w:t>ANTECEDENTES</w:t>
      </w:r>
    </w:p>
    <w:p w14:paraId="0C3EB6E0" w14:textId="77777777" w:rsidR="001A2B7D" w:rsidRDefault="001A2B7D" w:rsidP="002F59D1">
      <w:pPr>
        <w:spacing w:after="0" w:line="360" w:lineRule="auto"/>
        <w:jc w:val="both"/>
        <w:rPr>
          <w:rFonts w:ascii="Palatino Linotype" w:hAnsi="Palatino Linotype"/>
          <w:sz w:val="24"/>
          <w:lang w:val="es-ES"/>
        </w:rPr>
      </w:pPr>
    </w:p>
    <w:p w14:paraId="32FCA5FA" w14:textId="2857FC8A" w:rsidR="00330955" w:rsidRPr="00F86EDD" w:rsidRDefault="001A2B7D" w:rsidP="002F59D1">
      <w:pPr>
        <w:spacing w:after="0" w:line="360" w:lineRule="auto"/>
        <w:jc w:val="both"/>
        <w:rPr>
          <w:rFonts w:ascii="Palatino Linotype" w:hAnsi="Palatino Linotype"/>
          <w:sz w:val="24"/>
          <w:lang w:val="es-ES"/>
        </w:rPr>
      </w:pPr>
      <w:r w:rsidRPr="001A2B7D">
        <w:rPr>
          <w:rFonts w:ascii="Palatino Linotype" w:hAnsi="Palatino Linotype"/>
          <w:b/>
          <w:sz w:val="24"/>
          <w:lang w:val="es-ES"/>
        </w:rPr>
        <w:t>I.</w:t>
      </w:r>
      <w:r>
        <w:rPr>
          <w:rFonts w:ascii="Palatino Linotype" w:hAnsi="Palatino Linotype"/>
          <w:sz w:val="24"/>
          <w:lang w:val="es-ES"/>
        </w:rPr>
        <w:t xml:space="preserve"> </w:t>
      </w:r>
      <w:r w:rsidR="00494F48">
        <w:rPr>
          <w:rFonts w:ascii="Palatino Linotype" w:hAnsi="Palatino Linotype"/>
          <w:sz w:val="24"/>
          <w:lang w:val="es-ES"/>
        </w:rPr>
        <w:t>En una aproximación inicial</w:t>
      </w:r>
      <w:r w:rsidR="00330955" w:rsidRPr="00F86EDD">
        <w:rPr>
          <w:rFonts w:ascii="Palatino Linotype" w:hAnsi="Palatino Linotype"/>
          <w:sz w:val="24"/>
          <w:lang w:val="es-ES"/>
        </w:rPr>
        <w:t>, con base en el artículo 155, de la Ley de Transparencia local, para presentar una solicitud por escrito, no se podrán exigir mayores requisitos que los siguientes:</w:t>
      </w:r>
    </w:p>
    <w:p w14:paraId="2178463B" w14:textId="77777777" w:rsidR="00330955" w:rsidRPr="00F86EDD" w:rsidRDefault="00330955" w:rsidP="002F59D1">
      <w:pPr>
        <w:pStyle w:val="Sinespaciado"/>
        <w:spacing w:line="360" w:lineRule="auto"/>
        <w:rPr>
          <w:lang w:val="es-ES"/>
        </w:rPr>
      </w:pPr>
    </w:p>
    <w:p w14:paraId="1E2B1A2E" w14:textId="77777777" w:rsidR="00330955" w:rsidRPr="00F86EDD" w:rsidRDefault="00330955" w:rsidP="002F59D1">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Nombre del solicitante o datos generales de su representante.</w:t>
      </w:r>
    </w:p>
    <w:p w14:paraId="76981AE5" w14:textId="77777777" w:rsidR="00330955" w:rsidRPr="00F86EDD" w:rsidRDefault="00330955" w:rsidP="002F59D1">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Domicilio o correo electrónico para recibir notificaciones.</w:t>
      </w:r>
    </w:p>
    <w:p w14:paraId="444CA845" w14:textId="77777777" w:rsidR="00330955" w:rsidRPr="00F86EDD" w:rsidRDefault="00330955" w:rsidP="002F59D1">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Descripción de la información solicitada.</w:t>
      </w:r>
    </w:p>
    <w:p w14:paraId="4BE03A41" w14:textId="77777777" w:rsidR="00330955" w:rsidRPr="00F86EDD" w:rsidRDefault="00330955" w:rsidP="002F59D1">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Cualquier otro dato que facilite la búsqueda de la información.</w:t>
      </w:r>
    </w:p>
    <w:p w14:paraId="7427AB9F" w14:textId="77777777" w:rsidR="00330955" w:rsidRPr="00F86EDD" w:rsidRDefault="00330955" w:rsidP="002F59D1">
      <w:pPr>
        <w:pStyle w:val="Prrafodelista"/>
        <w:numPr>
          <w:ilvl w:val="0"/>
          <w:numId w:val="5"/>
        </w:numPr>
        <w:spacing w:line="360" w:lineRule="auto"/>
        <w:jc w:val="both"/>
        <w:rPr>
          <w:rFonts w:ascii="Palatino Linotype" w:hAnsi="Palatino Linotype"/>
          <w:b/>
          <w:bCs/>
          <w:szCs w:val="22"/>
          <w:u w:val="single"/>
        </w:rPr>
      </w:pPr>
      <w:r w:rsidRPr="00F86EDD">
        <w:rPr>
          <w:rFonts w:ascii="Palatino Linotype" w:hAnsi="Palatino Linotype"/>
          <w:b/>
          <w:bCs/>
          <w:szCs w:val="22"/>
          <w:u w:val="single"/>
        </w:rPr>
        <w:t>Modalidad de entrega de la información.</w:t>
      </w:r>
    </w:p>
    <w:p w14:paraId="30EFF510" w14:textId="77777777" w:rsidR="00330955" w:rsidRPr="00D21B84" w:rsidRDefault="00330955" w:rsidP="002F59D1">
      <w:pPr>
        <w:tabs>
          <w:tab w:val="left" w:pos="709"/>
        </w:tabs>
        <w:spacing w:after="0" w:line="360" w:lineRule="auto"/>
        <w:ind w:right="51"/>
        <w:jc w:val="both"/>
        <w:rPr>
          <w:rFonts w:ascii="Palatino Linotype" w:hAnsi="Palatino Linotype"/>
          <w:sz w:val="24"/>
          <w:lang w:val="es-ES"/>
        </w:rPr>
      </w:pPr>
    </w:p>
    <w:p w14:paraId="00993BDC" w14:textId="57D2E2CE" w:rsidR="00330955" w:rsidRPr="00F86EDD" w:rsidRDefault="00330955" w:rsidP="002F59D1">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En este sentido</w:t>
      </w:r>
      <w:r w:rsidR="00D21B84">
        <w:rPr>
          <w:rFonts w:ascii="Palatino Linotype" w:hAnsi="Palatino Linotype"/>
          <w:sz w:val="24"/>
          <w:lang w:val="es-ES"/>
        </w:rPr>
        <w:t xml:space="preserve"> el último párrafo del citado artículo</w:t>
      </w:r>
      <w:r w:rsidRPr="00F86EDD">
        <w:rPr>
          <w:rFonts w:ascii="Palatino Linotype" w:hAnsi="Palatino Linotype"/>
          <w:sz w:val="24"/>
          <w:lang w:val="es-ES"/>
        </w:rPr>
        <w:t>,</w:t>
      </w:r>
      <w:r w:rsidR="00D21B84">
        <w:rPr>
          <w:rFonts w:ascii="Palatino Linotype" w:hAnsi="Palatino Linotype"/>
          <w:sz w:val="24"/>
          <w:lang w:val="es-ES"/>
        </w:rPr>
        <w:t xml:space="preserve"> prevé que</w:t>
      </w:r>
      <w:r w:rsidRPr="00F86EDD">
        <w:rPr>
          <w:rFonts w:ascii="Palatino Linotype" w:hAnsi="Palatino Linotype"/>
          <w:sz w:val="24"/>
          <w:lang w:val="es-ES"/>
        </w:rPr>
        <w:t xml:space="preserve"> </w:t>
      </w:r>
      <w:r w:rsidR="00D21B84">
        <w:rPr>
          <w:rFonts w:ascii="Palatino Linotype" w:hAnsi="Palatino Linotype"/>
          <w:sz w:val="24"/>
          <w:lang w:val="es-ES"/>
        </w:rPr>
        <w:t>las fracciones</w:t>
      </w:r>
      <w:r w:rsidRPr="00F86EDD">
        <w:rPr>
          <w:rFonts w:ascii="Palatino Linotype" w:hAnsi="Palatino Linotype"/>
          <w:sz w:val="24"/>
          <w:lang w:val="es-ES"/>
        </w:rPr>
        <w:t xml:space="preserve"> I y IV, </w:t>
      </w:r>
      <w:r w:rsidR="00D21B84">
        <w:rPr>
          <w:rFonts w:ascii="Palatino Linotype" w:hAnsi="Palatino Linotype"/>
          <w:sz w:val="24"/>
          <w:lang w:val="es-ES"/>
        </w:rPr>
        <w:t>tienen el carácter de ser</w:t>
      </w:r>
      <w:r w:rsidRPr="00F86EDD">
        <w:rPr>
          <w:rFonts w:ascii="Palatino Linotype" w:hAnsi="Palatino Linotype"/>
          <w:sz w:val="24"/>
          <w:lang w:val="es-ES"/>
        </w:rPr>
        <w:t xml:space="preserve"> potestativos</w:t>
      </w:r>
      <w:r w:rsidR="00D21B84">
        <w:rPr>
          <w:rFonts w:ascii="Palatino Linotype" w:hAnsi="Palatino Linotype"/>
          <w:sz w:val="24"/>
          <w:lang w:val="es-ES"/>
        </w:rPr>
        <w:t xml:space="preserve"> (opcionales)</w:t>
      </w:r>
      <w:r w:rsidRPr="00F86EDD">
        <w:rPr>
          <w:rFonts w:ascii="Palatino Linotype" w:hAnsi="Palatino Linotype"/>
          <w:sz w:val="24"/>
          <w:lang w:val="es-ES"/>
        </w:rPr>
        <w:t xml:space="preserve">, en sentido contrario, el resto de los requisitos </w:t>
      </w:r>
      <w:r w:rsidR="00D21B84" w:rsidRPr="00D21B84">
        <w:rPr>
          <w:rFonts w:ascii="Palatino Linotype" w:hAnsi="Palatino Linotype"/>
          <w:b/>
          <w:sz w:val="24"/>
          <w:lang w:val="es-ES"/>
        </w:rPr>
        <w:t>-</w:t>
      </w:r>
      <w:r w:rsidRPr="00F86EDD">
        <w:rPr>
          <w:rFonts w:ascii="Palatino Linotype" w:hAnsi="Palatino Linotype"/>
          <w:b/>
          <w:sz w:val="24"/>
          <w:lang w:val="es-ES"/>
        </w:rPr>
        <w:t xml:space="preserve">englobando la modalidad de entrega- </w:t>
      </w:r>
      <w:r w:rsidRPr="00F86EDD">
        <w:rPr>
          <w:rFonts w:ascii="Palatino Linotype" w:hAnsi="Palatino Linotype"/>
          <w:sz w:val="24"/>
          <w:lang w:val="es-ES"/>
        </w:rPr>
        <w:t xml:space="preserve">son imprescindibles para ejercer el derecho de acceso a la información pública. </w:t>
      </w:r>
    </w:p>
    <w:p w14:paraId="119A209F" w14:textId="77777777" w:rsidR="00330955" w:rsidRPr="002F59D1" w:rsidRDefault="00330955" w:rsidP="002F59D1">
      <w:pPr>
        <w:tabs>
          <w:tab w:val="left" w:pos="709"/>
        </w:tabs>
        <w:spacing w:after="0" w:line="360" w:lineRule="auto"/>
        <w:ind w:right="51"/>
        <w:jc w:val="both"/>
        <w:rPr>
          <w:rFonts w:ascii="Palatino Linotype" w:hAnsi="Palatino Linotype"/>
          <w:sz w:val="24"/>
          <w:lang w:val="es-ES"/>
        </w:rPr>
      </w:pPr>
    </w:p>
    <w:p w14:paraId="5DF051DF" w14:textId="74266DB1" w:rsidR="00F63CF4" w:rsidRPr="00F63CF4" w:rsidRDefault="004402F7" w:rsidP="00F63CF4">
      <w:pPr>
        <w:tabs>
          <w:tab w:val="left" w:pos="709"/>
        </w:tabs>
        <w:spacing w:after="0" w:line="360" w:lineRule="auto"/>
        <w:ind w:right="51"/>
        <w:jc w:val="both"/>
        <w:rPr>
          <w:rFonts w:ascii="Palatino Linotype" w:hAnsi="Palatino Linotype"/>
          <w:sz w:val="24"/>
          <w:lang w:val="es-ES"/>
        </w:rPr>
      </w:pPr>
      <w:r w:rsidRPr="002F59D1">
        <w:rPr>
          <w:rFonts w:ascii="Palatino Linotype" w:hAnsi="Palatino Linotype"/>
          <w:sz w:val="24"/>
          <w:lang w:val="es-ES"/>
        </w:rPr>
        <w:t xml:space="preserve">Al respecto, tal y como quedó debidamente asentado en la resolución materia del </w:t>
      </w:r>
      <w:r w:rsidRPr="00F63CF4">
        <w:rPr>
          <w:rFonts w:ascii="Palatino Linotype" w:hAnsi="Palatino Linotype"/>
          <w:sz w:val="24"/>
          <w:lang w:val="es-ES"/>
        </w:rPr>
        <w:t>presente</w:t>
      </w:r>
      <w:r w:rsidR="005534B4" w:rsidRPr="00F63CF4">
        <w:rPr>
          <w:rFonts w:ascii="Palatino Linotype" w:hAnsi="Palatino Linotype"/>
          <w:sz w:val="24"/>
          <w:lang w:val="es-ES"/>
        </w:rPr>
        <w:t xml:space="preserve"> voto, el particular requirió al </w:t>
      </w:r>
      <w:r w:rsidR="002F59D1" w:rsidRPr="00F63CF4">
        <w:rPr>
          <w:rFonts w:ascii="Palatino Linotype" w:hAnsi="Palatino Linotype"/>
          <w:b/>
          <w:sz w:val="24"/>
          <w:lang w:val="es-ES"/>
        </w:rPr>
        <w:t>Ayuntamiento de Lerma</w:t>
      </w:r>
      <w:r w:rsidR="005534B4" w:rsidRPr="00F63CF4">
        <w:rPr>
          <w:rFonts w:ascii="Palatino Linotype" w:hAnsi="Palatino Linotype"/>
          <w:sz w:val="24"/>
          <w:lang w:val="es-ES"/>
        </w:rPr>
        <w:t>, copia certificada de</w:t>
      </w:r>
      <w:r w:rsidR="00F63CF4" w:rsidRPr="00F63CF4">
        <w:rPr>
          <w:rFonts w:ascii="Palatino Linotype" w:hAnsi="Palatino Linotype"/>
          <w:sz w:val="24"/>
          <w:lang w:val="es-ES"/>
        </w:rPr>
        <w:t xml:space="preserve"> </w:t>
      </w:r>
      <w:r w:rsidR="001A2B7D">
        <w:rPr>
          <w:rFonts w:ascii="Palatino Linotype" w:hAnsi="Palatino Linotype"/>
          <w:sz w:val="24"/>
          <w:lang w:val="es-ES"/>
        </w:rPr>
        <w:t>los documentos donde consten, q</w:t>
      </w:r>
      <w:r w:rsidR="00F63CF4" w:rsidRPr="00F63CF4">
        <w:rPr>
          <w:rFonts w:ascii="Palatino Linotype" w:hAnsi="Palatino Linotype"/>
          <w:sz w:val="24"/>
          <w:lang w:val="es-ES"/>
        </w:rPr>
        <w:t>uiénes son los administradores de la mesa directiva del fraccionamiento Galaxias</w:t>
      </w:r>
      <w:r w:rsidR="001A2B7D">
        <w:rPr>
          <w:rFonts w:ascii="Palatino Linotype" w:hAnsi="Palatino Linotype"/>
          <w:sz w:val="24"/>
          <w:lang w:val="es-ES"/>
        </w:rPr>
        <w:t xml:space="preserve"> Lerma</w:t>
      </w:r>
      <w:r w:rsidR="00F63CF4" w:rsidRPr="00F63CF4">
        <w:rPr>
          <w:rFonts w:ascii="Palatino Linotype" w:hAnsi="Palatino Linotype"/>
          <w:sz w:val="24"/>
          <w:lang w:val="es-ES"/>
        </w:rPr>
        <w:t xml:space="preserve"> y los req</w:t>
      </w:r>
      <w:r w:rsidR="001A2B7D">
        <w:rPr>
          <w:rFonts w:ascii="Palatino Linotype" w:hAnsi="Palatino Linotype"/>
          <w:sz w:val="24"/>
          <w:lang w:val="es-ES"/>
        </w:rPr>
        <w:t>uisitos para ser administrador, r</w:t>
      </w:r>
      <w:r w:rsidR="00F63CF4" w:rsidRPr="00F63CF4">
        <w:rPr>
          <w:rFonts w:ascii="Palatino Linotype" w:hAnsi="Palatino Linotype"/>
          <w:sz w:val="24"/>
          <w:lang w:val="es-ES"/>
        </w:rPr>
        <w:t>elació</w:t>
      </w:r>
      <w:r w:rsidR="001A2B7D">
        <w:rPr>
          <w:rFonts w:ascii="Palatino Linotype" w:hAnsi="Palatino Linotype"/>
          <w:sz w:val="24"/>
          <w:lang w:val="es-ES"/>
        </w:rPr>
        <w:t xml:space="preserve">n </w:t>
      </w:r>
      <w:r w:rsidR="001A2B7D">
        <w:rPr>
          <w:rFonts w:ascii="Palatino Linotype" w:hAnsi="Palatino Linotype"/>
          <w:sz w:val="24"/>
          <w:lang w:val="es-ES"/>
        </w:rPr>
        <w:lastRenderedPageBreak/>
        <w:t>de vehículos del ayuntamiento, q</w:t>
      </w:r>
      <w:r w:rsidR="00F63CF4" w:rsidRPr="00F63CF4">
        <w:rPr>
          <w:rFonts w:ascii="Palatino Linotype" w:hAnsi="Palatino Linotype"/>
          <w:sz w:val="24"/>
          <w:lang w:val="es-ES"/>
        </w:rPr>
        <w:t>ué sanciones impone el ayuntamiento por estacionarse en la banqueta</w:t>
      </w:r>
      <w:r w:rsidR="001A2B7D">
        <w:rPr>
          <w:rFonts w:ascii="Palatino Linotype" w:hAnsi="Palatino Linotype"/>
          <w:sz w:val="24"/>
          <w:lang w:val="es-ES"/>
        </w:rPr>
        <w:t>, entre otros puntos.</w:t>
      </w:r>
    </w:p>
    <w:p w14:paraId="17A09A60" w14:textId="34C56B90" w:rsidR="005534B4" w:rsidRPr="00F63CF4" w:rsidRDefault="005534B4" w:rsidP="002F59D1">
      <w:pPr>
        <w:tabs>
          <w:tab w:val="left" w:pos="709"/>
        </w:tabs>
        <w:spacing w:after="0" w:line="360" w:lineRule="auto"/>
        <w:ind w:right="51"/>
        <w:jc w:val="both"/>
        <w:rPr>
          <w:rFonts w:ascii="Palatino Linotype" w:hAnsi="Palatino Linotype"/>
          <w:sz w:val="24"/>
          <w:lang w:val="es-ES"/>
        </w:rPr>
      </w:pPr>
    </w:p>
    <w:p w14:paraId="270C162B" w14:textId="648CBF6A" w:rsidR="001A2B7D" w:rsidRDefault="001A2B7D" w:rsidP="002F59D1">
      <w:pPr>
        <w:spacing w:after="0" w:line="360" w:lineRule="auto"/>
        <w:ind w:right="-3"/>
        <w:jc w:val="both"/>
        <w:rPr>
          <w:rFonts w:ascii="Palatino Linotype" w:hAnsi="Palatino Linotype"/>
          <w:sz w:val="24"/>
          <w:szCs w:val="23"/>
          <w:lang w:val="es-ES"/>
        </w:rPr>
      </w:pPr>
      <w:r w:rsidRPr="001A2B7D">
        <w:rPr>
          <w:rFonts w:ascii="Palatino Linotype" w:hAnsi="Palatino Linotype"/>
          <w:b/>
          <w:sz w:val="24"/>
          <w:szCs w:val="23"/>
          <w:lang w:val="es-ES"/>
        </w:rPr>
        <w:t>II.</w:t>
      </w:r>
      <w:r>
        <w:rPr>
          <w:rFonts w:ascii="Palatino Linotype" w:hAnsi="Palatino Linotype"/>
          <w:sz w:val="24"/>
          <w:szCs w:val="23"/>
          <w:lang w:val="es-ES"/>
        </w:rPr>
        <w:t xml:space="preserve"> </w:t>
      </w:r>
      <w:r w:rsidR="004402F7" w:rsidRPr="00F86EDD">
        <w:rPr>
          <w:rFonts w:ascii="Palatino Linotype" w:hAnsi="Palatino Linotype"/>
          <w:sz w:val="24"/>
          <w:szCs w:val="23"/>
          <w:lang w:val="es-ES"/>
        </w:rPr>
        <w:t xml:space="preserve">Así, de las constancias que obran en el </w:t>
      </w:r>
      <w:r w:rsidR="004402F7" w:rsidRPr="00F86EDD">
        <w:rPr>
          <w:rFonts w:ascii="Palatino Linotype" w:hAnsi="Palatino Linotype"/>
          <w:b/>
          <w:bCs/>
          <w:sz w:val="24"/>
          <w:szCs w:val="23"/>
          <w:lang w:val="es-ES"/>
        </w:rPr>
        <w:t>S</w:t>
      </w:r>
      <w:r w:rsidR="005251CB" w:rsidRPr="00F86EDD">
        <w:rPr>
          <w:rFonts w:ascii="Palatino Linotype" w:hAnsi="Palatino Linotype"/>
          <w:b/>
          <w:bCs/>
          <w:sz w:val="24"/>
          <w:szCs w:val="23"/>
          <w:lang w:val="es-ES"/>
        </w:rPr>
        <w:t>AIMEX</w:t>
      </w:r>
      <w:r w:rsidR="004402F7" w:rsidRPr="00F86EDD">
        <w:rPr>
          <w:rFonts w:ascii="Palatino Linotype" w:hAnsi="Palatino Linotype"/>
          <w:bCs/>
          <w:sz w:val="24"/>
          <w:szCs w:val="23"/>
          <w:lang w:val="es-ES"/>
        </w:rPr>
        <w:t>,</w:t>
      </w:r>
      <w:r w:rsidR="004402F7" w:rsidRPr="00F86EDD">
        <w:rPr>
          <w:rFonts w:ascii="Palatino Linotype" w:hAnsi="Palatino Linotype"/>
          <w:b/>
          <w:bCs/>
          <w:sz w:val="24"/>
          <w:szCs w:val="23"/>
          <w:lang w:val="es-ES"/>
        </w:rPr>
        <w:t xml:space="preserve"> </w:t>
      </w:r>
      <w:r w:rsidR="004402F7" w:rsidRPr="00F86EDD">
        <w:rPr>
          <w:rFonts w:ascii="Palatino Linotype" w:hAnsi="Palatino Linotype"/>
          <w:sz w:val="24"/>
          <w:szCs w:val="23"/>
          <w:lang w:val="es-ES"/>
        </w:rPr>
        <w:t xml:space="preserve">se advierte que </w:t>
      </w:r>
      <w:r w:rsidR="004402F7" w:rsidRPr="00F86EDD">
        <w:rPr>
          <w:rFonts w:ascii="Palatino Linotype" w:hAnsi="Palatino Linotype"/>
          <w:bCs/>
          <w:sz w:val="24"/>
          <w:szCs w:val="23"/>
          <w:lang w:val="es-ES"/>
        </w:rPr>
        <w:t xml:space="preserve">el </w:t>
      </w:r>
      <w:r w:rsidR="004402F7" w:rsidRPr="00F86EDD">
        <w:rPr>
          <w:rFonts w:ascii="Palatino Linotype" w:hAnsi="Palatino Linotype"/>
          <w:b/>
          <w:bCs/>
          <w:sz w:val="24"/>
          <w:szCs w:val="23"/>
          <w:lang w:val="es-ES"/>
        </w:rPr>
        <w:t xml:space="preserve">Sujeto Obligado </w:t>
      </w:r>
      <w:r w:rsidR="002D4136">
        <w:rPr>
          <w:rFonts w:ascii="Palatino Linotype" w:hAnsi="Palatino Linotype"/>
          <w:sz w:val="24"/>
          <w:szCs w:val="23"/>
          <w:lang w:val="es-ES"/>
        </w:rPr>
        <w:t>contestó</w:t>
      </w:r>
      <w:r>
        <w:rPr>
          <w:rFonts w:ascii="Palatino Linotype" w:hAnsi="Palatino Linotype"/>
          <w:sz w:val="24"/>
          <w:szCs w:val="23"/>
          <w:lang w:val="es-ES"/>
        </w:rPr>
        <w:t>:</w:t>
      </w:r>
      <w:r w:rsidR="00494F48">
        <w:rPr>
          <w:rFonts w:ascii="Palatino Linotype" w:hAnsi="Palatino Linotype"/>
          <w:sz w:val="24"/>
          <w:szCs w:val="23"/>
          <w:lang w:val="es-ES"/>
        </w:rPr>
        <w:t xml:space="preserve"> </w:t>
      </w:r>
    </w:p>
    <w:p w14:paraId="47A5C319" w14:textId="77777777" w:rsidR="001A2B7D" w:rsidRDefault="001A2B7D" w:rsidP="002F59D1">
      <w:pPr>
        <w:spacing w:after="0" w:line="360" w:lineRule="auto"/>
        <w:ind w:right="-3"/>
        <w:jc w:val="both"/>
        <w:rPr>
          <w:rFonts w:ascii="Palatino Linotype" w:hAnsi="Palatino Linotype"/>
          <w:sz w:val="24"/>
          <w:szCs w:val="23"/>
          <w:lang w:val="es-ES"/>
        </w:rPr>
      </w:pPr>
    </w:p>
    <w:p w14:paraId="3D3A7491" w14:textId="0298A40A" w:rsidR="001A2B7D" w:rsidRPr="002D4136" w:rsidRDefault="002D4136" w:rsidP="002D4136">
      <w:pPr>
        <w:spacing w:after="0" w:line="360" w:lineRule="auto"/>
        <w:ind w:left="709" w:right="706"/>
        <w:jc w:val="both"/>
        <w:rPr>
          <w:rFonts w:ascii="Palatino Linotype" w:hAnsi="Palatino Linotype"/>
          <w:lang w:val="es-ES"/>
        </w:rPr>
      </w:pPr>
      <w:r>
        <w:rPr>
          <w:rFonts w:ascii="Palatino Linotype" w:hAnsi="Palatino Linotype"/>
          <w:color w:val="000000"/>
        </w:rPr>
        <w:t>”</w:t>
      </w:r>
      <w:r w:rsidR="001A2B7D" w:rsidRPr="002D4136">
        <w:rPr>
          <w:rFonts w:ascii="Palatino Linotype" w:hAnsi="Palatino Linotype"/>
          <w:i/>
          <w:color w:val="000000"/>
        </w:rPr>
        <w:t>En atención y respuesta a su solicitud hago de su conocimiento que, la organización interna del fraccionamiento no es competencia de este Sujeto Obligado, dado que esta se contempla en la Ley de Condóminos. Por lo que respecta a las sanciones por estacionarse en las banquetas, se encuentra contemplada en el articulo 45 fracción VIII del Reglamento de Transito y Vialidad del Municipio de Lerma y así mismo en el tabulador de infracciones y sanciones dentro del cuatro causal 47 visible en la pagina 43 del Reglamento y es equivalente a 18 UMAS, fracción I de las autorizaciones, permisos, restricciones y otras obligaciones. Se encuentra disponible para su consulta en la Pag. Oficial del Ayuntamiento en el Catalogo Municipal de Regularizaciones . Actualmente la Dirección de Seguridad Publica y Transito se han fusionado, el numero de contacto es 7282851145</w:t>
      </w:r>
      <w:r w:rsidR="001A2B7D" w:rsidRPr="002D4136">
        <w:rPr>
          <w:rFonts w:ascii="Palatino Linotype" w:hAnsi="Palatino Linotype"/>
          <w:color w:val="000000"/>
        </w:rPr>
        <w:t>.” (sic)</w:t>
      </w:r>
    </w:p>
    <w:p w14:paraId="753E7E44" w14:textId="77777777" w:rsidR="001A2B7D" w:rsidRDefault="001A2B7D" w:rsidP="002F59D1">
      <w:pPr>
        <w:spacing w:after="0" w:line="360" w:lineRule="auto"/>
        <w:ind w:right="-3"/>
        <w:jc w:val="both"/>
        <w:rPr>
          <w:rFonts w:ascii="Palatino Linotype" w:hAnsi="Palatino Linotype"/>
          <w:sz w:val="24"/>
          <w:szCs w:val="23"/>
          <w:lang w:val="es-ES"/>
        </w:rPr>
      </w:pPr>
    </w:p>
    <w:p w14:paraId="2803E0DA" w14:textId="0338CF5A" w:rsidR="004402F7" w:rsidRDefault="000B4FD2" w:rsidP="002F59D1">
      <w:pPr>
        <w:spacing w:after="0" w:line="360" w:lineRule="auto"/>
        <w:ind w:right="-3"/>
        <w:jc w:val="both"/>
        <w:rPr>
          <w:rFonts w:ascii="Palatino Linotype" w:eastAsia="Times New Roman" w:hAnsi="Palatino Linotype" w:cs="Times New Roman"/>
          <w:sz w:val="24"/>
          <w:szCs w:val="24"/>
          <w:lang w:val="es-ES" w:eastAsia="es-ES"/>
        </w:rPr>
      </w:pPr>
      <w:r w:rsidRPr="000B4FD2">
        <w:rPr>
          <w:rFonts w:ascii="Palatino Linotype" w:eastAsia="Times New Roman" w:hAnsi="Palatino Linotype" w:cs="Times New Roman"/>
          <w:b/>
          <w:sz w:val="24"/>
          <w:szCs w:val="24"/>
          <w:lang w:val="es-ES" w:eastAsia="es-ES"/>
        </w:rPr>
        <w:t>III.</w:t>
      </w:r>
      <w:r>
        <w:rPr>
          <w:rFonts w:ascii="Palatino Linotype" w:eastAsia="Times New Roman" w:hAnsi="Palatino Linotype" w:cs="Times New Roman"/>
          <w:sz w:val="24"/>
          <w:szCs w:val="24"/>
          <w:lang w:val="es-ES" w:eastAsia="es-ES"/>
        </w:rPr>
        <w:t xml:space="preserve"> </w:t>
      </w:r>
      <w:r w:rsidR="004402F7" w:rsidRPr="00F86EDD">
        <w:rPr>
          <w:rFonts w:ascii="Palatino Linotype" w:eastAsia="Times New Roman" w:hAnsi="Palatino Linotype" w:cs="Times New Roman"/>
          <w:sz w:val="24"/>
          <w:szCs w:val="24"/>
          <w:lang w:val="es-ES" w:eastAsia="es-ES"/>
        </w:rPr>
        <w:t xml:space="preserve">Inconforme con la respuesta proporcionada, </w:t>
      </w:r>
      <w:r w:rsidR="00403FFD">
        <w:rPr>
          <w:rFonts w:ascii="Palatino Linotype" w:eastAsia="Times New Roman" w:hAnsi="Palatino Linotype" w:cs="Times New Roman"/>
          <w:b/>
          <w:sz w:val="24"/>
          <w:szCs w:val="24"/>
          <w:lang w:val="es-ES" w:eastAsia="es-ES"/>
        </w:rPr>
        <w:t>E</w:t>
      </w:r>
      <w:r w:rsidR="004402F7" w:rsidRPr="00403FFD">
        <w:rPr>
          <w:rFonts w:ascii="Palatino Linotype" w:eastAsia="Times New Roman" w:hAnsi="Palatino Linotype" w:cs="Times New Roman"/>
          <w:b/>
          <w:sz w:val="24"/>
          <w:szCs w:val="24"/>
          <w:lang w:val="es-ES" w:eastAsia="es-ES"/>
        </w:rPr>
        <w:t>l</w:t>
      </w:r>
      <w:r w:rsidR="004402F7" w:rsidRPr="00F86EDD">
        <w:rPr>
          <w:rFonts w:ascii="Palatino Linotype" w:eastAsia="Times New Roman" w:hAnsi="Palatino Linotype" w:cs="Times New Roman"/>
          <w:b/>
          <w:sz w:val="24"/>
          <w:szCs w:val="24"/>
          <w:lang w:val="es-ES" w:eastAsia="es-ES"/>
        </w:rPr>
        <w:t xml:space="preserve"> Recurrente</w:t>
      </w:r>
      <w:r w:rsidR="004402F7" w:rsidRPr="00F86EDD">
        <w:rPr>
          <w:rFonts w:ascii="Palatino Linotype" w:eastAsia="Times New Roman" w:hAnsi="Palatino Linotype" w:cs="Times New Roman"/>
          <w:sz w:val="24"/>
          <w:szCs w:val="24"/>
          <w:lang w:val="es-ES" w:eastAsia="es-ES"/>
        </w:rPr>
        <w:t xml:space="preserve"> interpuso el recurso de revisión de mérito, manifestando como acto impugnado y motivos de inconformidad, lo siguiente:</w:t>
      </w:r>
    </w:p>
    <w:p w14:paraId="13755F30" w14:textId="77777777" w:rsidR="00BC4DEE" w:rsidRDefault="00BC4DEE" w:rsidP="002F59D1">
      <w:pPr>
        <w:spacing w:after="0" w:line="360" w:lineRule="auto"/>
        <w:ind w:right="-3"/>
        <w:jc w:val="both"/>
        <w:rPr>
          <w:rFonts w:ascii="Palatino Linotype" w:eastAsia="Times New Roman" w:hAnsi="Palatino Linotype" w:cs="Times New Roman"/>
          <w:sz w:val="24"/>
          <w:szCs w:val="24"/>
          <w:lang w:val="es-ES" w:eastAsia="es-ES"/>
        </w:rPr>
      </w:pPr>
    </w:p>
    <w:p w14:paraId="36F92D76" w14:textId="30B6F09B" w:rsidR="00EC70B3" w:rsidRPr="00EC70B3" w:rsidRDefault="00EC70B3" w:rsidP="002F59D1">
      <w:pPr>
        <w:spacing w:after="0" w:line="360" w:lineRule="auto"/>
        <w:ind w:right="-3"/>
        <w:jc w:val="both"/>
        <w:rPr>
          <w:rFonts w:ascii="Palatino Linotype" w:eastAsia="Times New Roman" w:hAnsi="Palatino Linotype" w:cs="Times New Roman"/>
          <w:b/>
          <w:sz w:val="24"/>
          <w:szCs w:val="24"/>
          <w:lang w:val="es-ES" w:eastAsia="es-ES"/>
        </w:rPr>
      </w:pPr>
      <w:r>
        <w:rPr>
          <w:rFonts w:ascii="Palatino Linotype" w:eastAsia="Times New Roman" w:hAnsi="Palatino Linotype" w:cs="Times New Roman"/>
          <w:b/>
          <w:sz w:val="24"/>
          <w:szCs w:val="24"/>
          <w:lang w:val="es-ES" w:eastAsia="es-ES"/>
        </w:rPr>
        <w:lastRenderedPageBreak/>
        <w:t>A</w:t>
      </w:r>
      <w:r w:rsidRPr="00EC70B3">
        <w:rPr>
          <w:rFonts w:ascii="Palatino Linotype" w:eastAsia="Times New Roman" w:hAnsi="Palatino Linotype" w:cs="Times New Roman"/>
          <w:b/>
          <w:sz w:val="24"/>
          <w:szCs w:val="24"/>
          <w:lang w:val="es-ES" w:eastAsia="es-ES"/>
        </w:rPr>
        <w:t>cto impugnado</w:t>
      </w:r>
    </w:p>
    <w:p w14:paraId="3DA3C87C" w14:textId="36B24F04" w:rsidR="00EC70B3" w:rsidRDefault="00463A29" w:rsidP="002F59D1">
      <w:pPr>
        <w:spacing w:after="0" w:line="360" w:lineRule="auto"/>
        <w:ind w:left="851" w:right="900"/>
        <w:jc w:val="both"/>
        <w:rPr>
          <w:rFonts w:ascii="Palatino Linotype" w:hAnsi="Palatino Linotype" w:cs="Arial"/>
          <w:b/>
          <w:i/>
          <w:lang w:eastAsia="es-MX"/>
        </w:rPr>
      </w:pPr>
      <w:r w:rsidRPr="006F0C82">
        <w:rPr>
          <w:rFonts w:ascii="Palatino Linotype" w:hAnsi="Palatino Linotype" w:cs="Arial"/>
          <w:i/>
          <w:color w:val="000000" w:themeColor="text1"/>
        </w:rPr>
        <w:t>“</w:t>
      </w:r>
      <w:r w:rsidR="000B4FD2" w:rsidRPr="000B4FD2">
        <w:rPr>
          <w:rFonts w:ascii="Palatino Linotype" w:hAnsi="Palatino Linotype" w:cs="Arial"/>
          <w:i/>
          <w:color w:val="000000" w:themeColor="text1"/>
        </w:rPr>
        <w:t>Solicite informacion referente a unidades operativas de la policia municipal perteneciente al ayuntamiento de lerma de villada estado de mexico , las preguntas son claras y con fundamento a lo cual no se respondio una sola de manera clara , exceptuando las sanciones por estacionarse en las banquetas , pregunte cuantas patullas operativas es decir trabajando y brindando seguridad a los habitantes de municipio de lerma de villada estado de mexico , solo por mencionar alguna de las preguntas realizadas y me solo me contestan diciendo que se fusiono vialidad y seguridad publica y anexan un numero de telefono? Ademas el sujeto obligado el ayuntamiento de lerma de villada excedió por mucho tiempo violando la ley en tiempos de respuesta como sujeto obligado solo para contestar de manera escueta , taL parece que ocultan la informacion quisiera una respuesta en tiempo y forma de manera detallada y precisa ESPERO NO TENER QUE ESPERAR MAS DE UN MES PARA PODER TENER LA INFORMACION VERAZ , CLARA Y OBJETIVA</w:t>
      </w:r>
      <w:r w:rsidRPr="006F0C82">
        <w:rPr>
          <w:rFonts w:ascii="Palatino Linotype" w:hAnsi="Palatino Linotype" w:cs="Arial"/>
          <w:i/>
          <w:color w:val="000000" w:themeColor="text1"/>
        </w:rPr>
        <w:t>.”</w:t>
      </w:r>
      <w:r w:rsidR="00EC70B3">
        <w:rPr>
          <w:rFonts w:ascii="Palatino Linotype" w:hAnsi="Palatino Linotype" w:cs="Arial"/>
          <w:i/>
          <w:lang w:eastAsia="es-MX"/>
        </w:rPr>
        <w:t xml:space="preserve"> </w:t>
      </w:r>
      <w:r w:rsidR="00EC70B3">
        <w:rPr>
          <w:rFonts w:ascii="Palatino Linotype" w:hAnsi="Palatino Linotype" w:cs="Arial"/>
          <w:b/>
          <w:i/>
          <w:lang w:eastAsia="es-MX"/>
        </w:rPr>
        <w:t>[Sic]</w:t>
      </w:r>
    </w:p>
    <w:p w14:paraId="343051D2" w14:textId="77777777" w:rsidR="00BC4DEE" w:rsidRPr="00BC4DEE" w:rsidRDefault="00BC4DEE" w:rsidP="002F59D1">
      <w:pPr>
        <w:spacing w:after="0" w:line="360" w:lineRule="auto"/>
        <w:ind w:left="851" w:right="900"/>
        <w:jc w:val="both"/>
        <w:rPr>
          <w:rFonts w:ascii="Palatino Linotype" w:hAnsi="Palatino Linotype" w:cs="Arial"/>
          <w:b/>
          <w:i/>
          <w:lang w:eastAsia="es-MX"/>
        </w:rPr>
      </w:pPr>
    </w:p>
    <w:p w14:paraId="1051C9A8" w14:textId="2FDFF416" w:rsidR="00EC70B3" w:rsidRPr="00EC70B3" w:rsidRDefault="00EC70B3" w:rsidP="002F59D1">
      <w:pPr>
        <w:spacing w:after="0" w:line="360" w:lineRule="auto"/>
        <w:ind w:right="-3"/>
        <w:jc w:val="both"/>
        <w:rPr>
          <w:rFonts w:ascii="Palatino Linotype" w:eastAsia="Times New Roman" w:hAnsi="Palatino Linotype" w:cs="Times New Roman"/>
          <w:b/>
          <w:sz w:val="24"/>
          <w:szCs w:val="24"/>
          <w:lang w:val="es-ES" w:eastAsia="es-ES"/>
        </w:rPr>
      </w:pPr>
      <w:r w:rsidRPr="00EC70B3">
        <w:rPr>
          <w:rFonts w:ascii="Palatino Linotype" w:eastAsia="Times New Roman" w:hAnsi="Palatino Linotype" w:cs="Times New Roman"/>
          <w:b/>
          <w:sz w:val="24"/>
          <w:szCs w:val="24"/>
          <w:lang w:val="es-ES" w:eastAsia="es-ES"/>
        </w:rPr>
        <w:t>Motivos de inconformidad</w:t>
      </w:r>
    </w:p>
    <w:p w14:paraId="45FB8028" w14:textId="33EC52FA" w:rsidR="00494F48" w:rsidRPr="00494F48" w:rsidRDefault="00463A29" w:rsidP="002F59D1">
      <w:pPr>
        <w:pStyle w:val="Citas"/>
        <w:spacing w:before="0" w:after="0"/>
        <w:rPr>
          <w:b/>
        </w:rPr>
      </w:pPr>
      <w:r w:rsidRPr="006F0C82">
        <w:rPr>
          <w:color w:val="000000" w:themeColor="text1"/>
        </w:rPr>
        <w:t>“</w:t>
      </w:r>
      <w:r w:rsidR="000B4FD2" w:rsidRPr="000B4FD2">
        <w:rPr>
          <w:color w:val="000000" w:themeColor="text1"/>
        </w:rPr>
        <w:t>falta de informacion , no hay respuestas como tal , falta de claridad tal parece que se oculta informacion</w:t>
      </w:r>
      <w:r w:rsidRPr="006F0C82">
        <w:rPr>
          <w:color w:val="000000" w:themeColor="text1"/>
        </w:rPr>
        <w:t xml:space="preserve">.” </w:t>
      </w:r>
      <w:r w:rsidR="00494F48">
        <w:t xml:space="preserve"> </w:t>
      </w:r>
      <w:r w:rsidR="00494F48">
        <w:rPr>
          <w:b/>
        </w:rPr>
        <w:t>[Sic]</w:t>
      </w:r>
    </w:p>
    <w:p w14:paraId="4642BA8A" w14:textId="77777777" w:rsidR="00494F48" w:rsidRDefault="00494F48" w:rsidP="002F59D1">
      <w:pPr>
        <w:tabs>
          <w:tab w:val="left" w:pos="709"/>
        </w:tabs>
        <w:spacing w:after="0" w:line="360" w:lineRule="auto"/>
        <w:ind w:right="-3"/>
        <w:jc w:val="both"/>
        <w:rPr>
          <w:rFonts w:ascii="Palatino Linotype" w:hAnsi="Palatino Linotype"/>
          <w:sz w:val="24"/>
          <w:szCs w:val="23"/>
          <w:lang w:val="es-ES"/>
        </w:rPr>
      </w:pPr>
    </w:p>
    <w:p w14:paraId="5C51CCBB" w14:textId="3F328E84" w:rsidR="00463A29" w:rsidRDefault="00F865EE" w:rsidP="002F59D1">
      <w:pPr>
        <w:tabs>
          <w:tab w:val="left" w:pos="709"/>
        </w:tabs>
        <w:spacing w:after="0" w:line="360" w:lineRule="auto"/>
        <w:ind w:right="-3"/>
        <w:jc w:val="both"/>
        <w:rPr>
          <w:rFonts w:ascii="Palatino Linotype" w:hAnsi="Palatino Linotype"/>
          <w:sz w:val="24"/>
          <w:szCs w:val="23"/>
          <w:lang w:val="es-ES"/>
        </w:rPr>
      </w:pPr>
      <w:r w:rsidRPr="00F865EE">
        <w:rPr>
          <w:rFonts w:ascii="Palatino Linotype" w:hAnsi="Palatino Linotype"/>
          <w:b/>
          <w:sz w:val="24"/>
          <w:szCs w:val="23"/>
          <w:lang w:val="es-ES"/>
        </w:rPr>
        <w:t>IV.</w:t>
      </w:r>
      <w:r>
        <w:rPr>
          <w:rFonts w:ascii="Palatino Linotype" w:hAnsi="Palatino Linotype"/>
          <w:sz w:val="24"/>
          <w:szCs w:val="23"/>
          <w:lang w:val="es-ES"/>
        </w:rPr>
        <w:t xml:space="preserve"> </w:t>
      </w:r>
      <w:r w:rsidR="004402F7" w:rsidRPr="00F86EDD">
        <w:rPr>
          <w:rFonts w:ascii="Palatino Linotype" w:hAnsi="Palatino Linotype"/>
          <w:sz w:val="24"/>
          <w:szCs w:val="23"/>
          <w:lang w:val="es-ES"/>
        </w:rPr>
        <w:t xml:space="preserve">Así, del estudio al expediente electrónico, la Ponencia Resolutora determinó </w:t>
      </w:r>
      <w:r w:rsidR="00494F48">
        <w:rPr>
          <w:rFonts w:ascii="Palatino Linotype" w:hAnsi="Palatino Linotype"/>
          <w:b/>
          <w:sz w:val="24"/>
          <w:szCs w:val="23"/>
          <w:lang w:val="es-ES"/>
        </w:rPr>
        <w:t xml:space="preserve">MODIFICAR </w:t>
      </w:r>
      <w:r w:rsidR="00403FFD">
        <w:rPr>
          <w:rFonts w:ascii="Palatino Linotype" w:hAnsi="Palatino Linotype"/>
          <w:sz w:val="24"/>
          <w:szCs w:val="23"/>
          <w:lang w:val="es-ES"/>
        </w:rPr>
        <w:t xml:space="preserve">la respuesta del </w:t>
      </w:r>
      <w:r w:rsidR="00403FFD">
        <w:rPr>
          <w:rFonts w:ascii="Palatino Linotype" w:hAnsi="Palatino Linotype"/>
          <w:b/>
          <w:sz w:val="24"/>
          <w:szCs w:val="23"/>
          <w:lang w:val="es-ES"/>
        </w:rPr>
        <w:t xml:space="preserve">Sujeto Obligado </w:t>
      </w:r>
      <w:r w:rsidR="00494F48">
        <w:rPr>
          <w:rFonts w:ascii="Palatino Linotype" w:hAnsi="Palatino Linotype"/>
          <w:sz w:val="24"/>
          <w:szCs w:val="23"/>
          <w:lang w:val="es-ES"/>
        </w:rPr>
        <w:t xml:space="preserve">y ordenar la entrega en </w:t>
      </w:r>
      <w:r w:rsidR="00494F48">
        <w:rPr>
          <w:rFonts w:ascii="Palatino Linotype" w:hAnsi="Palatino Linotype"/>
          <w:b/>
          <w:sz w:val="24"/>
          <w:szCs w:val="23"/>
          <w:lang w:val="es-ES"/>
        </w:rPr>
        <w:t>c</w:t>
      </w:r>
      <w:r w:rsidR="00463A29">
        <w:rPr>
          <w:rFonts w:ascii="Palatino Linotype" w:hAnsi="Palatino Linotype"/>
          <w:b/>
          <w:sz w:val="24"/>
          <w:szCs w:val="23"/>
          <w:lang w:val="es-ES"/>
        </w:rPr>
        <w:t>opias certificadas (con</w:t>
      </w:r>
      <w:r w:rsidR="00D040F5">
        <w:rPr>
          <w:rFonts w:ascii="Palatino Linotype" w:hAnsi="Palatino Linotype"/>
          <w:b/>
          <w:sz w:val="24"/>
          <w:szCs w:val="23"/>
          <w:lang w:val="es-ES"/>
        </w:rPr>
        <w:t xml:space="preserve"> costo</w:t>
      </w:r>
      <w:r w:rsidR="00463A29">
        <w:rPr>
          <w:rFonts w:ascii="Palatino Linotype" w:hAnsi="Palatino Linotype"/>
          <w:b/>
          <w:sz w:val="24"/>
          <w:szCs w:val="23"/>
          <w:lang w:val="es-ES"/>
        </w:rPr>
        <w:t xml:space="preserve">), </w:t>
      </w:r>
      <w:r w:rsidR="00463A29">
        <w:rPr>
          <w:rFonts w:ascii="Palatino Linotype" w:hAnsi="Palatino Linotype"/>
          <w:sz w:val="24"/>
          <w:szCs w:val="23"/>
          <w:lang w:val="es-ES"/>
        </w:rPr>
        <w:t>sin embargo en estudio,</w:t>
      </w:r>
      <w:r w:rsidR="000B4FD2">
        <w:rPr>
          <w:rFonts w:ascii="Palatino Linotype" w:hAnsi="Palatino Linotype"/>
          <w:sz w:val="24"/>
          <w:szCs w:val="23"/>
          <w:lang w:val="es-ES"/>
        </w:rPr>
        <w:t xml:space="preserve"> se</w:t>
      </w:r>
      <w:r w:rsidR="00463A29">
        <w:rPr>
          <w:rFonts w:ascii="Palatino Linotype" w:hAnsi="Palatino Linotype"/>
          <w:sz w:val="24"/>
          <w:szCs w:val="23"/>
          <w:lang w:val="es-ES"/>
        </w:rPr>
        <w:t xml:space="preserve"> invocó el criterio </w:t>
      </w:r>
      <w:r w:rsidR="000B4FD2">
        <w:rPr>
          <w:rFonts w:ascii="Palatino Linotype" w:hAnsi="Palatino Linotype"/>
          <w:b/>
          <w:sz w:val="24"/>
          <w:szCs w:val="23"/>
          <w:lang w:val="es-ES"/>
        </w:rPr>
        <w:t>02/18</w:t>
      </w:r>
      <w:r w:rsidR="00463A29">
        <w:rPr>
          <w:rFonts w:ascii="Palatino Linotype" w:hAnsi="Palatino Linotype"/>
          <w:b/>
          <w:sz w:val="24"/>
          <w:szCs w:val="23"/>
          <w:lang w:val="es-ES"/>
        </w:rPr>
        <w:t xml:space="preserve"> </w:t>
      </w:r>
      <w:r w:rsidR="00463A29">
        <w:rPr>
          <w:rFonts w:ascii="Palatino Linotype" w:hAnsi="Palatino Linotype"/>
          <w:sz w:val="24"/>
          <w:szCs w:val="23"/>
          <w:lang w:val="es-ES"/>
        </w:rPr>
        <w:t xml:space="preserve">del Órgano </w:t>
      </w:r>
      <w:r w:rsidR="00463A29">
        <w:rPr>
          <w:rFonts w:ascii="Palatino Linotype" w:hAnsi="Palatino Linotype"/>
          <w:sz w:val="24"/>
          <w:szCs w:val="23"/>
          <w:lang w:val="es-ES"/>
        </w:rPr>
        <w:lastRenderedPageBreak/>
        <w:t>Garante Nacional, de rubro</w:t>
      </w:r>
      <w:r w:rsidR="006869BD">
        <w:rPr>
          <w:rFonts w:ascii="Palatino Linotype" w:hAnsi="Palatino Linotype"/>
          <w:sz w:val="24"/>
          <w:szCs w:val="23"/>
          <w:lang w:val="es-ES"/>
        </w:rPr>
        <w:t>:</w:t>
      </w:r>
      <w:r w:rsidR="00463A29">
        <w:rPr>
          <w:rFonts w:ascii="Palatino Linotype" w:hAnsi="Palatino Linotype"/>
          <w:sz w:val="24"/>
          <w:szCs w:val="23"/>
          <w:lang w:val="es-ES"/>
        </w:rPr>
        <w:t xml:space="preserve"> </w:t>
      </w:r>
      <w:r w:rsidR="00463A29">
        <w:rPr>
          <w:rFonts w:ascii="Palatino Linotype" w:hAnsi="Palatino Linotype"/>
          <w:b/>
          <w:sz w:val="24"/>
          <w:szCs w:val="23"/>
          <w:lang w:val="es-ES"/>
        </w:rPr>
        <w:t>“Gratuidad de las primeras veinte</w:t>
      </w:r>
      <w:r w:rsidR="000B4FD2">
        <w:rPr>
          <w:rFonts w:ascii="Palatino Linotype" w:hAnsi="Palatino Linotype"/>
          <w:b/>
          <w:sz w:val="24"/>
          <w:szCs w:val="23"/>
          <w:lang w:val="es-ES"/>
        </w:rPr>
        <w:t xml:space="preserve"> hojas simples o certificadas”</w:t>
      </w:r>
      <w:r w:rsidR="000B4FD2" w:rsidRPr="000B4FD2">
        <w:rPr>
          <w:rFonts w:ascii="Palatino Linotype" w:hAnsi="Palatino Linotype"/>
          <w:sz w:val="24"/>
          <w:szCs w:val="23"/>
          <w:lang w:val="es-ES"/>
        </w:rPr>
        <w:t>, d</w:t>
      </w:r>
      <w:r w:rsidR="00463A29">
        <w:rPr>
          <w:rFonts w:ascii="Palatino Linotype" w:hAnsi="Palatino Linotype"/>
          <w:sz w:val="24"/>
          <w:szCs w:val="23"/>
          <w:lang w:val="es-ES"/>
        </w:rPr>
        <w:t xml:space="preserve">eterminando la entrega de la información en los siguientes términos: </w:t>
      </w:r>
    </w:p>
    <w:p w14:paraId="05656970" w14:textId="77777777" w:rsidR="000B4FD2" w:rsidRDefault="000B4FD2" w:rsidP="002F59D1">
      <w:pPr>
        <w:tabs>
          <w:tab w:val="left" w:pos="709"/>
        </w:tabs>
        <w:spacing w:after="0" w:line="360" w:lineRule="auto"/>
        <w:ind w:right="-3"/>
        <w:jc w:val="both"/>
        <w:rPr>
          <w:rFonts w:ascii="Palatino Linotype" w:hAnsi="Palatino Linotype"/>
          <w:sz w:val="24"/>
          <w:szCs w:val="23"/>
          <w:lang w:val="es-ES"/>
        </w:rPr>
      </w:pPr>
    </w:p>
    <w:p w14:paraId="04E9BE30" w14:textId="33DCF868" w:rsidR="000F68A8" w:rsidRDefault="00463A29" w:rsidP="000F68A8">
      <w:pPr>
        <w:spacing w:after="0" w:line="240" w:lineRule="auto"/>
        <w:ind w:left="851" w:right="423"/>
        <w:jc w:val="both"/>
        <w:rPr>
          <w:rFonts w:ascii="Palatino Linotype" w:eastAsia="Palatino Linotype" w:hAnsi="Palatino Linotype" w:cs="Palatino Linotype"/>
          <w:i/>
        </w:rPr>
      </w:pPr>
      <w:bookmarkStart w:id="1" w:name="_Toc477891768"/>
      <w:bookmarkStart w:id="2" w:name="_Toc477891858"/>
      <w:bookmarkStart w:id="3" w:name="_Toc481576259"/>
      <w:bookmarkStart w:id="4" w:name="_Toc492590391"/>
      <w:bookmarkStart w:id="5" w:name="_Toc462653937"/>
      <w:bookmarkStart w:id="6" w:name="_Toc453696502"/>
      <w:bookmarkStart w:id="7" w:name="_Toc454301155"/>
      <w:r w:rsidRPr="000F68A8">
        <w:rPr>
          <w:rFonts w:ascii="Palatino Linotype" w:eastAsiaTheme="minorEastAsia" w:hAnsi="Palatino Linotype"/>
          <w:b/>
          <w:i/>
          <w:lang w:val="es-ES_tradnl"/>
        </w:rPr>
        <w:t>“</w:t>
      </w:r>
      <w:r w:rsidR="000F68A8" w:rsidRPr="000F68A8">
        <w:rPr>
          <w:rFonts w:ascii="Palatino Linotype" w:eastAsia="Palatino Linotype" w:hAnsi="Palatino Linotype" w:cs="Palatino Linotype"/>
          <w:b/>
          <w:i/>
          <w:highlight w:val="white"/>
        </w:rPr>
        <w:t xml:space="preserve">Segundo. </w:t>
      </w:r>
      <w:r w:rsidR="000F68A8" w:rsidRPr="000F68A8">
        <w:rPr>
          <w:rFonts w:ascii="Palatino Linotype" w:eastAsia="Palatino Linotype" w:hAnsi="Palatino Linotype" w:cs="Palatino Linotype"/>
          <w:i/>
        </w:rPr>
        <w:t xml:space="preserve">Se </w:t>
      </w:r>
      <w:r w:rsidR="000F68A8" w:rsidRPr="000F68A8">
        <w:rPr>
          <w:rFonts w:ascii="Palatino Linotype" w:eastAsia="Palatino Linotype" w:hAnsi="Palatino Linotype" w:cs="Palatino Linotype"/>
          <w:b/>
          <w:i/>
        </w:rPr>
        <w:t>Ordena</w:t>
      </w:r>
      <w:r w:rsidR="000F68A8" w:rsidRPr="000F68A8">
        <w:rPr>
          <w:rFonts w:ascii="Palatino Linotype" w:eastAsia="Palatino Linotype" w:hAnsi="Palatino Linotype" w:cs="Palatino Linotype"/>
          <w:i/>
        </w:rPr>
        <w:t xml:space="preserve"> al </w:t>
      </w:r>
      <w:r w:rsidR="000F68A8" w:rsidRPr="000F68A8">
        <w:rPr>
          <w:rFonts w:ascii="Palatino Linotype" w:eastAsia="Palatino Linotype" w:hAnsi="Palatino Linotype" w:cs="Palatino Linotype"/>
          <w:b/>
          <w:i/>
        </w:rPr>
        <w:t>Sujeto Obligado</w:t>
      </w:r>
      <w:r w:rsidR="000F68A8" w:rsidRPr="000F68A8">
        <w:rPr>
          <w:rFonts w:ascii="Palatino Linotype" w:eastAsia="Palatino Linotype" w:hAnsi="Palatino Linotype" w:cs="Palatino Linotype"/>
          <w:i/>
        </w:rPr>
        <w:t xml:space="preserve">, en términos de los Considerandos </w:t>
      </w:r>
      <w:r w:rsidR="000F68A8" w:rsidRPr="000F68A8">
        <w:rPr>
          <w:rFonts w:ascii="Palatino Linotype" w:eastAsia="Palatino Linotype" w:hAnsi="Palatino Linotype" w:cs="Palatino Linotype"/>
          <w:b/>
          <w:i/>
        </w:rPr>
        <w:t xml:space="preserve">Cuarto y Quinto </w:t>
      </w:r>
      <w:r w:rsidR="000F68A8" w:rsidRPr="000F68A8">
        <w:rPr>
          <w:rFonts w:ascii="Palatino Linotype" w:eastAsia="Palatino Linotype" w:hAnsi="Palatino Linotype" w:cs="Palatino Linotype"/>
          <w:i/>
        </w:rPr>
        <w:t xml:space="preserve">de esta resolución, haga entrega, </w:t>
      </w:r>
      <w:r w:rsidR="000F68A8" w:rsidRPr="00F865EE">
        <w:rPr>
          <w:rFonts w:ascii="Palatino Linotype" w:eastAsia="Palatino Linotype" w:hAnsi="Palatino Linotype" w:cs="Palatino Linotype"/>
          <w:b/>
          <w:i/>
          <w:u w:val="single"/>
        </w:rPr>
        <w:t>en copias certificadas con costo</w:t>
      </w:r>
      <w:r w:rsidR="000F68A8" w:rsidRPr="000F68A8">
        <w:rPr>
          <w:rFonts w:ascii="Palatino Linotype" w:eastAsia="Palatino Linotype" w:hAnsi="Palatino Linotype" w:cs="Palatino Linotype"/>
          <w:i/>
        </w:rPr>
        <w:t>, del soporte documental en versión pública de ser procedente, en el que conste lo siguiente:</w:t>
      </w:r>
    </w:p>
    <w:p w14:paraId="128AAE26" w14:textId="77777777" w:rsidR="000F68A8" w:rsidRPr="000F68A8" w:rsidRDefault="000F68A8" w:rsidP="000F68A8">
      <w:pPr>
        <w:spacing w:after="0" w:line="240" w:lineRule="auto"/>
        <w:ind w:left="851" w:right="423"/>
        <w:jc w:val="both"/>
        <w:rPr>
          <w:rFonts w:ascii="Palatino Linotype" w:eastAsia="Palatino Linotype" w:hAnsi="Palatino Linotype" w:cs="Palatino Linotype"/>
          <w:i/>
        </w:rPr>
      </w:pPr>
    </w:p>
    <w:p w14:paraId="1631F6D4" w14:textId="77777777" w:rsidR="000F68A8" w:rsidRPr="000F68A8" w:rsidRDefault="000F68A8" w:rsidP="000F68A8">
      <w:pPr>
        <w:numPr>
          <w:ilvl w:val="0"/>
          <w:numId w:val="13"/>
        </w:numPr>
        <w:pBdr>
          <w:top w:val="nil"/>
          <w:left w:val="nil"/>
          <w:bottom w:val="nil"/>
          <w:right w:val="nil"/>
          <w:between w:val="nil"/>
        </w:pBdr>
        <w:spacing w:after="0" w:line="240" w:lineRule="auto"/>
        <w:ind w:left="851" w:right="423" w:hanging="357"/>
        <w:jc w:val="both"/>
        <w:rPr>
          <w:rFonts w:ascii="Palatino Linotype" w:eastAsia="Palatino Linotype" w:hAnsi="Palatino Linotype" w:cs="Palatino Linotype"/>
          <w:i/>
          <w:color w:val="000000"/>
        </w:rPr>
      </w:pPr>
      <w:r w:rsidRPr="000F68A8">
        <w:rPr>
          <w:rFonts w:ascii="Palatino Linotype" w:eastAsia="Palatino Linotype" w:hAnsi="Palatino Linotype" w:cs="Palatino Linotype"/>
          <w:i/>
          <w:color w:val="000000"/>
        </w:rPr>
        <w:t>Programas sociales gestionados del veintiocho de junio de dos mil veinte al veintiocho de junio de dos mil veintiuno, por el o los administradores del Fraccionamiento  “Galaxias Lerma” en representación de los residentes del mismo, señalando la vigencia y el cumplimiento de entrega a los beneficiarios.</w:t>
      </w:r>
    </w:p>
    <w:p w14:paraId="15D6F01F" w14:textId="77777777" w:rsidR="000F68A8" w:rsidRPr="000F68A8" w:rsidRDefault="000F68A8" w:rsidP="000F68A8">
      <w:pPr>
        <w:numPr>
          <w:ilvl w:val="0"/>
          <w:numId w:val="13"/>
        </w:numPr>
        <w:pBdr>
          <w:top w:val="nil"/>
          <w:left w:val="nil"/>
          <w:bottom w:val="nil"/>
          <w:right w:val="nil"/>
          <w:between w:val="nil"/>
        </w:pBdr>
        <w:spacing w:after="0" w:line="240" w:lineRule="auto"/>
        <w:ind w:left="851" w:right="423" w:hanging="357"/>
        <w:jc w:val="both"/>
        <w:rPr>
          <w:rFonts w:ascii="Palatino Linotype" w:eastAsia="Palatino Linotype" w:hAnsi="Palatino Linotype" w:cs="Palatino Linotype"/>
          <w:i/>
          <w:color w:val="000000"/>
        </w:rPr>
      </w:pPr>
      <w:r w:rsidRPr="000F68A8">
        <w:rPr>
          <w:rFonts w:ascii="Palatino Linotype" w:eastAsia="Palatino Linotype" w:hAnsi="Palatino Linotype" w:cs="Palatino Linotype"/>
          <w:i/>
          <w:color w:val="000000"/>
        </w:rPr>
        <w:t>Nombre del Titular Dirección de Seguridad Pública y Tránsito.</w:t>
      </w:r>
    </w:p>
    <w:p w14:paraId="71C68537" w14:textId="77777777" w:rsidR="000F68A8" w:rsidRPr="000F68A8" w:rsidRDefault="000F68A8" w:rsidP="000F68A8">
      <w:pPr>
        <w:numPr>
          <w:ilvl w:val="0"/>
          <w:numId w:val="13"/>
        </w:numPr>
        <w:pBdr>
          <w:top w:val="nil"/>
          <w:left w:val="nil"/>
          <w:bottom w:val="nil"/>
          <w:right w:val="nil"/>
          <w:between w:val="nil"/>
        </w:pBdr>
        <w:spacing w:after="0" w:line="240" w:lineRule="auto"/>
        <w:ind w:left="851" w:right="423" w:hanging="357"/>
        <w:jc w:val="both"/>
        <w:rPr>
          <w:rFonts w:ascii="Palatino Linotype" w:eastAsia="Palatino Linotype" w:hAnsi="Palatino Linotype" w:cs="Palatino Linotype"/>
          <w:i/>
          <w:color w:val="000000"/>
        </w:rPr>
      </w:pPr>
      <w:r w:rsidRPr="000F68A8">
        <w:rPr>
          <w:rFonts w:ascii="Palatino Linotype" w:eastAsia="Palatino Linotype" w:hAnsi="Palatino Linotype" w:cs="Palatino Linotype"/>
          <w:i/>
          <w:color w:val="000000"/>
        </w:rPr>
        <w:t xml:space="preserve">Ámbito de jurisdicción y competencia </w:t>
      </w:r>
      <w:r w:rsidRPr="000F68A8">
        <w:rPr>
          <w:rFonts w:ascii="Palatino Linotype" w:eastAsia="Palatino Linotype" w:hAnsi="Palatino Linotype" w:cs="Palatino Linotype"/>
          <w:i/>
        </w:rPr>
        <w:t>de la Dirección</w:t>
      </w:r>
      <w:r w:rsidRPr="000F68A8">
        <w:rPr>
          <w:rFonts w:ascii="Palatino Linotype" w:eastAsia="Palatino Linotype" w:hAnsi="Palatino Linotype" w:cs="Palatino Linotype"/>
          <w:i/>
          <w:color w:val="000000"/>
        </w:rPr>
        <w:t xml:space="preserve"> de Seguridad Pública y Tránsito para atender </w:t>
      </w:r>
      <w:r w:rsidRPr="000F68A8">
        <w:rPr>
          <w:rFonts w:ascii="Palatino Linotype" w:eastAsia="Palatino Linotype" w:hAnsi="Palatino Linotype" w:cs="Palatino Linotype"/>
          <w:i/>
        </w:rPr>
        <w:t>solicitudes</w:t>
      </w:r>
      <w:r w:rsidRPr="000F68A8">
        <w:rPr>
          <w:rFonts w:ascii="Palatino Linotype" w:eastAsia="Palatino Linotype" w:hAnsi="Palatino Linotype" w:cs="Palatino Linotype"/>
          <w:i/>
          <w:color w:val="000000"/>
        </w:rPr>
        <w:t xml:space="preserve"> para retirar vehículos estacionados en la banqueta, dentro de un fraccionamiento.</w:t>
      </w:r>
    </w:p>
    <w:p w14:paraId="67F17269" w14:textId="77777777" w:rsidR="000F68A8" w:rsidRPr="000F68A8" w:rsidRDefault="000F68A8" w:rsidP="000F68A8">
      <w:pPr>
        <w:numPr>
          <w:ilvl w:val="0"/>
          <w:numId w:val="13"/>
        </w:numPr>
        <w:pBdr>
          <w:top w:val="nil"/>
          <w:left w:val="nil"/>
          <w:bottom w:val="nil"/>
          <w:right w:val="nil"/>
          <w:between w:val="nil"/>
        </w:pBdr>
        <w:spacing w:after="0" w:line="240" w:lineRule="auto"/>
        <w:ind w:left="851" w:right="423" w:hanging="357"/>
        <w:jc w:val="both"/>
        <w:rPr>
          <w:rFonts w:ascii="Palatino Linotype" w:eastAsia="Palatino Linotype" w:hAnsi="Palatino Linotype" w:cs="Palatino Linotype"/>
          <w:i/>
          <w:color w:val="000000"/>
        </w:rPr>
      </w:pPr>
      <w:r w:rsidRPr="000F68A8">
        <w:rPr>
          <w:rFonts w:ascii="Palatino Linotype" w:eastAsia="Palatino Linotype" w:hAnsi="Palatino Linotype" w:cs="Palatino Linotype"/>
          <w:i/>
          <w:color w:val="000000"/>
        </w:rPr>
        <w:t>Tiempo de respuesta al solicitar a la Dirección de Seguridad Pública y Tránsito, el apoyo de una grúa o una unidad de tránsito.</w:t>
      </w:r>
    </w:p>
    <w:p w14:paraId="34BF017C" w14:textId="77777777" w:rsidR="000F68A8" w:rsidRDefault="000F68A8" w:rsidP="000F68A8">
      <w:pPr>
        <w:numPr>
          <w:ilvl w:val="0"/>
          <w:numId w:val="13"/>
        </w:numPr>
        <w:pBdr>
          <w:top w:val="nil"/>
          <w:left w:val="nil"/>
          <w:bottom w:val="nil"/>
          <w:right w:val="nil"/>
          <w:between w:val="nil"/>
        </w:pBdr>
        <w:spacing w:after="0" w:line="240" w:lineRule="auto"/>
        <w:ind w:left="851" w:right="423" w:hanging="357"/>
        <w:jc w:val="both"/>
        <w:rPr>
          <w:rFonts w:ascii="Palatino Linotype" w:eastAsia="Palatino Linotype" w:hAnsi="Palatino Linotype" w:cs="Palatino Linotype"/>
          <w:i/>
          <w:color w:val="000000"/>
        </w:rPr>
      </w:pPr>
      <w:r w:rsidRPr="000F68A8">
        <w:rPr>
          <w:rFonts w:ascii="Palatino Linotype" w:eastAsia="Palatino Linotype" w:hAnsi="Palatino Linotype" w:cs="Palatino Linotype"/>
          <w:i/>
          <w:color w:val="000000"/>
        </w:rPr>
        <w:t>Número de vehículos tipo patrulla, motocicletas, cuatrimotos y grúas, operativos y en funcionamiento, al mayor grado de desagregación posible, actualizado al veintiocho de junio de dos mil veintiuno.</w:t>
      </w:r>
    </w:p>
    <w:p w14:paraId="591B019C" w14:textId="77777777" w:rsidR="000F68A8" w:rsidRPr="000F68A8" w:rsidRDefault="000F68A8" w:rsidP="000F68A8">
      <w:pPr>
        <w:pBdr>
          <w:top w:val="nil"/>
          <w:left w:val="nil"/>
          <w:bottom w:val="nil"/>
          <w:right w:val="nil"/>
          <w:between w:val="nil"/>
        </w:pBdr>
        <w:spacing w:after="0" w:line="240" w:lineRule="auto"/>
        <w:ind w:left="851" w:right="423"/>
        <w:jc w:val="both"/>
        <w:rPr>
          <w:rFonts w:ascii="Palatino Linotype" w:eastAsia="Palatino Linotype" w:hAnsi="Palatino Linotype" w:cs="Palatino Linotype"/>
          <w:i/>
          <w:color w:val="000000"/>
        </w:rPr>
      </w:pPr>
    </w:p>
    <w:p w14:paraId="1EA8B5A2" w14:textId="77777777" w:rsidR="000F68A8" w:rsidRPr="000F68A8" w:rsidRDefault="000F68A8" w:rsidP="000F68A8">
      <w:pPr>
        <w:spacing w:after="0" w:line="240" w:lineRule="auto"/>
        <w:ind w:left="851" w:right="423"/>
        <w:jc w:val="both"/>
        <w:rPr>
          <w:rFonts w:ascii="Palatino Linotype" w:eastAsia="Palatino Linotype" w:hAnsi="Palatino Linotype" w:cs="Palatino Linotype"/>
          <w:i/>
        </w:rPr>
      </w:pPr>
      <w:r w:rsidRPr="000F68A8">
        <w:rPr>
          <w:rFonts w:ascii="Palatino Linotype" w:eastAsia="Palatino Linotype" w:hAnsi="Palatino Linotype" w:cs="Palatino Linotype"/>
          <w:i/>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14:paraId="01541A89" w14:textId="77777777" w:rsidR="000F68A8" w:rsidRDefault="000F68A8" w:rsidP="000F68A8">
      <w:pPr>
        <w:spacing w:after="0" w:line="240" w:lineRule="auto"/>
        <w:ind w:left="851" w:right="423"/>
        <w:jc w:val="both"/>
        <w:rPr>
          <w:rFonts w:ascii="Palatino Linotype" w:eastAsia="Palatino Linotype" w:hAnsi="Palatino Linotype" w:cs="Palatino Linotype"/>
          <w:i/>
        </w:rPr>
      </w:pPr>
    </w:p>
    <w:p w14:paraId="494CDB8C" w14:textId="77777777" w:rsidR="000F68A8" w:rsidRDefault="000F68A8" w:rsidP="000F68A8">
      <w:pPr>
        <w:spacing w:after="0" w:line="240" w:lineRule="auto"/>
        <w:ind w:left="851" w:right="423"/>
        <w:jc w:val="both"/>
        <w:rPr>
          <w:rFonts w:ascii="Palatino Linotype" w:eastAsia="Palatino Linotype" w:hAnsi="Palatino Linotype" w:cs="Palatino Linotype"/>
          <w:i/>
        </w:rPr>
      </w:pPr>
      <w:r w:rsidRPr="000F68A8">
        <w:rPr>
          <w:rFonts w:ascii="Palatino Linotype" w:eastAsia="Palatino Linotype" w:hAnsi="Palatino Linotype" w:cs="Palatino Linotype"/>
          <w:i/>
        </w:rPr>
        <w:t xml:space="preserve">Para la entrega de la información </w:t>
      </w:r>
      <w:r w:rsidRPr="00F865EE">
        <w:rPr>
          <w:rFonts w:ascii="Palatino Linotype" w:eastAsia="Palatino Linotype" w:hAnsi="Palatino Linotype" w:cs="Palatino Linotype"/>
          <w:b/>
          <w:i/>
        </w:rPr>
        <w:t>en copia certificada, el Sujeto Obligado previamente deberá hacer de conocimiento de la parte Recurrente, vía SAIMEX, el costo por la reproducción y certificación</w:t>
      </w:r>
      <w:r w:rsidRPr="000F68A8">
        <w:rPr>
          <w:rFonts w:ascii="Palatino Linotype" w:eastAsia="Palatino Linotype" w:hAnsi="Palatino Linotype" w:cs="Palatino Linotype"/>
          <w:i/>
        </w:rPr>
        <w:t>, el lugar, día y horarios en los que podrá acceder a la información, así como el nombre del o los servidores públicos que le atenderán.</w:t>
      </w:r>
    </w:p>
    <w:p w14:paraId="7C19B57B" w14:textId="77777777" w:rsidR="000F68A8" w:rsidRPr="000F68A8" w:rsidRDefault="000F68A8" w:rsidP="000F68A8">
      <w:pPr>
        <w:spacing w:after="0" w:line="240" w:lineRule="auto"/>
        <w:ind w:left="851" w:right="423"/>
        <w:jc w:val="both"/>
        <w:rPr>
          <w:rFonts w:ascii="Palatino Linotype" w:eastAsia="Palatino Linotype" w:hAnsi="Palatino Linotype" w:cs="Palatino Linotype"/>
          <w:i/>
        </w:rPr>
      </w:pPr>
    </w:p>
    <w:p w14:paraId="2214AC67" w14:textId="7275D486" w:rsidR="000F68A8" w:rsidRPr="000F68A8" w:rsidRDefault="000F68A8" w:rsidP="000F68A8">
      <w:pPr>
        <w:pStyle w:val="Citas"/>
        <w:spacing w:before="0" w:after="0" w:line="240" w:lineRule="auto"/>
        <w:ind w:right="423"/>
        <w:rPr>
          <w:rFonts w:eastAsiaTheme="minorEastAsia" w:cstheme="minorBidi"/>
          <w:b/>
          <w:lang w:val="es-ES_tradnl"/>
        </w:rPr>
      </w:pPr>
      <w:r w:rsidRPr="000F68A8">
        <w:rPr>
          <w:rFonts w:eastAsia="Palatino Linotype" w:cs="Palatino Linotype"/>
        </w:rPr>
        <w:lastRenderedPageBreak/>
        <w:t xml:space="preserve">En el supuesto que la información ordenada en los puntos 1,  3 y 4, no obre en los archivos del </w:t>
      </w:r>
      <w:r w:rsidRPr="000F68A8">
        <w:rPr>
          <w:rFonts w:eastAsia="Palatino Linotype" w:cs="Palatino Linotype"/>
          <w:b/>
        </w:rPr>
        <w:t xml:space="preserve">Sujeto Obligado </w:t>
      </w:r>
      <w:r w:rsidRPr="000F68A8">
        <w:rPr>
          <w:rFonts w:eastAsia="Palatino Linotype" w:cs="Palatino Linotype"/>
        </w:rPr>
        <w:t>por no haberse generado, bastará con que así lo haga del conocimiento de la parte hoy recurrente, para tener por colmado el requerimiento de información.</w:t>
      </w:r>
      <w:r>
        <w:rPr>
          <w:rFonts w:eastAsia="Palatino Linotype" w:cs="Palatino Linotype"/>
        </w:rPr>
        <w:t>”</w:t>
      </w:r>
    </w:p>
    <w:bookmarkEnd w:id="1"/>
    <w:bookmarkEnd w:id="2"/>
    <w:bookmarkEnd w:id="3"/>
    <w:bookmarkEnd w:id="4"/>
    <w:bookmarkEnd w:id="5"/>
    <w:bookmarkEnd w:id="6"/>
    <w:bookmarkEnd w:id="7"/>
    <w:p w14:paraId="4F482D0C" w14:textId="77777777" w:rsidR="00463A29" w:rsidRPr="00F865EE" w:rsidRDefault="00463A29" w:rsidP="00F865EE">
      <w:pPr>
        <w:pStyle w:val="Sinespaciado"/>
        <w:spacing w:line="360" w:lineRule="auto"/>
        <w:jc w:val="both"/>
        <w:rPr>
          <w:rFonts w:ascii="Palatino Linotype" w:hAnsi="Palatino Linotype"/>
          <w:lang w:val="es-ES"/>
        </w:rPr>
      </w:pPr>
    </w:p>
    <w:p w14:paraId="4F580F68" w14:textId="4F57ED44" w:rsidR="00E447C2" w:rsidRDefault="00F865EE" w:rsidP="002F59D1">
      <w:pPr>
        <w:pStyle w:val="Sinespaciado"/>
        <w:spacing w:line="360" w:lineRule="auto"/>
        <w:jc w:val="both"/>
        <w:rPr>
          <w:rFonts w:ascii="Palatino Linotype" w:hAnsi="Palatino Linotype"/>
          <w:lang w:val="es-ES"/>
        </w:rPr>
      </w:pPr>
      <w:r w:rsidRPr="00F865EE">
        <w:rPr>
          <w:rFonts w:ascii="Palatino Linotype" w:hAnsi="Palatino Linotype"/>
          <w:lang w:val="es-ES"/>
        </w:rPr>
        <w:t>En este contexto, si bien es cierto que mediante puntos resolutivos el Comisionado Ponente coincide en que la entrega de la información en copias certificadas se supedita al pago de derechos, lo cierto también es que mediante estudio precisa que para el cálculo de dicho cobro deberán de exceptuarse las primeras 20 –veinte- fojas. Lo anterior con base en el Criterio 02/18 emitido por el Instituto Nacional de Transparencia, Acceso a la Información y Protección de Datos Personales “INAI” que señala a la literalidad lo siguiente:</w:t>
      </w:r>
    </w:p>
    <w:p w14:paraId="4D5B1799" w14:textId="77777777" w:rsidR="00F865EE" w:rsidRDefault="00F865EE" w:rsidP="002F59D1">
      <w:pPr>
        <w:pStyle w:val="Sinespaciado"/>
        <w:spacing w:line="360" w:lineRule="auto"/>
        <w:jc w:val="both"/>
        <w:rPr>
          <w:rFonts w:ascii="Palatino Linotype" w:hAnsi="Palatino Linotype"/>
          <w:lang w:val="es-ES"/>
        </w:rPr>
      </w:pPr>
    </w:p>
    <w:p w14:paraId="237836F8" w14:textId="77777777" w:rsidR="00F865EE" w:rsidRDefault="00F865EE" w:rsidP="00F865EE">
      <w:pPr>
        <w:spacing w:after="0" w:line="360" w:lineRule="auto"/>
        <w:ind w:left="851" w:right="900"/>
        <w:jc w:val="both"/>
        <w:rPr>
          <w:rFonts w:ascii="Palatino Linotype" w:hAnsi="Palatino Linotype" w:cs="Arial"/>
          <w:i/>
          <w:color w:val="000000" w:themeColor="text1"/>
        </w:rPr>
      </w:pPr>
      <w:r w:rsidRPr="00F865EE">
        <w:rPr>
          <w:rFonts w:ascii="Palatino Linotype" w:hAnsi="Palatino Linotype" w:cs="Arial"/>
          <w:i/>
          <w:color w:val="000000" w:themeColor="text1"/>
        </w:rPr>
        <w:t xml:space="preserve">Cuando la entrega de los datos personales sea a través de copias simples o certificadas, las primeras veinte hojas serán sin costo. Resoluciones: </w:t>
      </w:r>
    </w:p>
    <w:p w14:paraId="5DB2B251" w14:textId="77777777" w:rsidR="00F865EE" w:rsidRDefault="00F865EE" w:rsidP="00F865EE">
      <w:pPr>
        <w:spacing w:after="0" w:line="360" w:lineRule="auto"/>
        <w:ind w:left="851" w:right="900"/>
        <w:jc w:val="both"/>
        <w:rPr>
          <w:rFonts w:ascii="Palatino Linotype" w:hAnsi="Palatino Linotype" w:cs="Arial"/>
          <w:i/>
          <w:color w:val="000000" w:themeColor="text1"/>
        </w:rPr>
      </w:pPr>
    </w:p>
    <w:p w14:paraId="241A4BCD" w14:textId="55E182C3" w:rsidR="00F865EE" w:rsidRDefault="00F865EE" w:rsidP="00F865EE">
      <w:pPr>
        <w:spacing w:after="0" w:line="360" w:lineRule="auto"/>
        <w:ind w:left="851" w:right="900"/>
        <w:jc w:val="both"/>
        <w:rPr>
          <w:rFonts w:ascii="Palatino Linotype" w:hAnsi="Palatino Linotype" w:cs="Arial"/>
          <w:i/>
          <w:color w:val="000000" w:themeColor="text1"/>
        </w:rPr>
      </w:pPr>
      <w:r w:rsidRPr="00F865EE">
        <w:rPr>
          <w:rFonts w:ascii="Palatino Linotype" w:hAnsi="Palatino Linotype" w:cs="Arial"/>
          <w:i/>
          <w:color w:val="000000" w:themeColor="text1"/>
        </w:rPr>
        <w:t xml:space="preserve">RRD 0198/17. Banco Nacional del Ejército, Fuerza Aérea y Armada, S.N.C. 24 de mayo de 2017. Por unanimidad. Comisionada Ponente Areli Cano Guadiana. </w:t>
      </w:r>
    </w:p>
    <w:p w14:paraId="1A12C8EB" w14:textId="77777777" w:rsidR="00F865EE" w:rsidRDefault="00F865EE" w:rsidP="00F865EE">
      <w:pPr>
        <w:spacing w:after="0" w:line="360" w:lineRule="auto"/>
        <w:ind w:left="851" w:right="900"/>
        <w:jc w:val="both"/>
        <w:rPr>
          <w:rFonts w:ascii="Palatino Linotype" w:hAnsi="Palatino Linotype" w:cs="Arial"/>
          <w:i/>
          <w:color w:val="000000" w:themeColor="text1"/>
        </w:rPr>
      </w:pPr>
    </w:p>
    <w:p w14:paraId="4762554C" w14:textId="77777777" w:rsidR="00F865EE" w:rsidRDefault="00F865EE" w:rsidP="00F865EE">
      <w:pPr>
        <w:spacing w:after="0" w:line="360" w:lineRule="auto"/>
        <w:ind w:left="851" w:right="900"/>
        <w:jc w:val="both"/>
        <w:rPr>
          <w:rFonts w:ascii="Palatino Linotype" w:hAnsi="Palatino Linotype" w:cs="Arial"/>
          <w:i/>
          <w:color w:val="000000" w:themeColor="text1"/>
        </w:rPr>
      </w:pPr>
      <w:r w:rsidRPr="00F865EE">
        <w:rPr>
          <w:rFonts w:ascii="Palatino Linotype" w:hAnsi="Palatino Linotype" w:cs="Arial"/>
          <w:i/>
          <w:color w:val="000000" w:themeColor="text1"/>
        </w:rPr>
        <w:t xml:space="preserve">RRD 0297/17. Policía Federal antes Policía Federal Preventiva. 21 de junio de 2017. Por unanimidad. Comisionado Ponente Oscar Mauricio Guerra Ford. </w:t>
      </w:r>
    </w:p>
    <w:p w14:paraId="2B6FAA30" w14:textId="77777777" w:rsidR="00F865EE" w:rsidRDefault="00F865EE" w:rsidP="00F865EE">
      <w:pPr>
        <w:spacing w:after="0" w:line="360" w:lineRule="auto"/>
        <w:ind w:left="851" w:right="900"/>
        <w:jc w:val="both"/>
        <w:rPr>
          <w:rFonts w:ascii="Palatino Linotype" w:hAnsi="Palatino Linotype" w:cs="Arial"/>
          <w:i/>
          <w:color w:val="000000" w:themeColor="text1"/>
        </w:rPr>
      </w:pPr>
    </w:p>
    <w:p w14:paraId="3AA5238C" w14:textId="226F1203" w:rsidR="00F865EE" w:rsidRPr="00F865EE" w:rsidRDefault="00F865EE" w:rsidP="00F865EE">
      <w:pPr>
        <w:spacing w:after="0" w:line="360" w:lineRule="auto"/>
        <w:ind w:left="851" w:right="900"/>
        <w:jc w:val="both"/>
        <w:rPr>
          <w:rFonts w:ascii="Palatino Linotype" w:hAnsi="Palatino Linotype" w:cs="Arial"/>
          <w:i/>
          <w:color w:val="000000" w:themeColor="text1"/>
        </w:rPr>
      </w:pPr>
      <w:r w:rsidRPr="00F865EE">
        <w:rPr>
          <w:rFonts w:ascii="Palatino Linotype" w:hAnsi="Palatino Linotype" w:cs="Arial"/>
          <w:i/>
          <w:color w:val="000000" w:themeColor="text1"/>
        </w:rPr>
        <w:t>RRD 0250/17. Secretaría de Relaciones Exteriores. 28 de junio de 2017. Por unanimidad. Comisionado Ponente Rosendoevgueni Monterrey Chepov” [Sic]</w:t>
      </w:r>
    </w:p>
    <w:p w14:paraId="2DE71D8A" w14:textId="77777777" w:rsidR="00E447C2" w:rsidRDefault="00E447C2" w:rsidP="002F59D1">
      <w:pPr>
        <w:pStyle w:val="Sinespaciado"/>
        <w:spacing w:line="360" w:lineRule="auto"/>
        <w:jc w:val="both"/>
        <w:rPr>
          <w:rFonts w:ascii="Palatino Linotype" w:hAnsi="Palatino Linotype"/>
          <w:lang w:val="es-ES"/>
        </w:rPr>
      </w:pPr>
    </w:p>
    <w:p w14:paraId="3DAFFA57" w14:textId="2323BC0A" w:rsidR="00492535" w:rsidRPr="00492535" w:rsidRDefault="00492535" w:rsidP="00492535">
      <w:pPr>
        <w:pStyle w:val="Sinespaciado"/>
        <w:spacing w:line="360" w:lineRule="auto"/>
        <w:jc w:val="center"/>
        <w:rPr>
          <w:rFonts w:ascii="Palatino Linotype" w:hAnsi="Palatino Linotype"/>
          <w:b/>
          <w:lang w:val="es-ES"/>
        </w:rPr>
      </w:pPr>
      <w:r w:rsidRPr="00492535">
        <w:rPr>
          <w:rFonts w:ascii="Palatino Linotype" w:hAnsi="Palatino Linotype"/>
          <w:b/>
          <w:lang w:val="es-ES"/>
        </w:rPr>
        <w:t>CONSIDERANDOS:</w:t>
      </w:r>
    </w:p>
    <w:p w14:paraId="18F30267" w14:textId="77777777" w:rsidR="00492535" w:rsidRDefault="00492535" w:rsidP="002F59D1">
      <w:pPr>
        <w:pStyle w:val="Sinespaciado"/>
        <w:spacing w:line="360" w:lineRule="auto"/>
        <w:jc w:val="both"/>
        <w:rPr>
          <w:rFonts w:ascii="Palatino Linotype" w:hAnsi="Palatino Linotype"/>
          <w:lang w:val="es-ES"/>
        </w:rPr>
      </w:pPr>
    </w:p>
    <w:p w14:paraId="49AD6CE7" w14:textId="4BD688D5" w:rsidR="00330955" w:rsidRDefault="00330955" w:rsidP="002F59D1">
      <w:pPr>
        <w:pStyle w:val="Sinespaciado"/>
        <w:spacing w:line="360" w:lineRule="auto"/>
        <w:jc w:val="both"/>
        <w:rPr>
          <w:rFonts w:ascii="Palatino Linotype" w:hAnsi="Palatino Linotype"/>
          <w:lang w:val="es-ES"/>
        </w:rPr>
      </w:pPr>
      <w:r w:rsidRPr="00F86EDD">
        <w:rPr>
          <w:rFonts w:ascii="Palatino Linotype" w:hAnsi="Palatino Linotype"/>
          <w:lang w:val="es-ES"/>
        </w:rPr>
        <w:t xml:space="preserve">Por lo anterior es que se llega al punto en disenso, toda vez que quien suscribe considera que, si bien se debe ordenar la entrega de la información solicitada por </w:t>
      </w:r>
      <w:r w:rsidR="00F86EDD" w:rsidRPr="00F86EDD">
        <w:rPr>
          <w:rFonts w:ascii="Palatino Linotype" w:hAnsi="Palatino Linotype"/>
          <w:b/>
          <w:bCs/>
          <w:lang w:val="es-ES"/>
        </w:rPr>
        <w:t xml:space="preserve">la parte </w:t>
      </w:r>
      <w:r w:rsidR="00F86EDD">
        <w:rPr>
          <w:rFonts w:ascii="Palatino Linotype" w:hAnsi="Palatino Linotype"/>
          <w:b/>
          <w:bCs/>
          <w:lang w:val="es-ES"/>
        </w:rPr>
        <w:t>r</w:t>
      </w:r>
      <w:r w:rsidRPr="00F86EDD">
        <w:rPr>
          <w:rFonts w:ascii="Palatino Linotype" w:hAnsi="Palatino Linotype"/>
          <w:b/>
          <w:lang w:val="es-ES"/>
        </w:rPr>
        <w:t>ecurrente</w:t>
      </w:r>
      <w:r w:rsidRPr="00F86EDD">
        <w:rPr>
          <w:rFonts w:ascii="Palatino Linotype" w:hAnsi="Palatino Linotype"/>
          <w:lang w:val="es-ES"/>
        </w:rPr>
        <w:t xml:space="preserve"> en la modalidad solicitada, </w:t>
      </w:r>
      <w:r w:rsidRPr="00F86EDD">
        <w:rPr>
          <w:rFonts w:ascii="Palatino Linotype" w:hAnsi="Palatino Linotype"/>
          <w:b/>
          <w:u w:val="single"/>
          <w:lang w:val="es-ES"/>
        </w:rPr>
        <w:t>esto es vía copias certificadas</w:t>
      </w:r>
      <w:r w:rsidRPr="00F86EDD">
        <w:rPr>
          <w:rFonts w:ascii="Palatino Linotype" w:hAnsi="Palatino Linotype"/>
          <w:lang w:val="es-ES"/>
        </w:rPr>
        <w:t>, éstas últimas tendrían</w:t>
      </w:r>
      <w:r w:rsidR="00463A29">
        <w:rPr>
          <w:rFonts w:ascii="Palatino Linotype" w:hAnsi="Palatino Linotype"/>
          <w:lang w:val="es-ES"/>
        </w:rPr>
        <w:t xml:space="preserve"> que ser entregadas con costo, con independencia del número de fojas, </w:t>
      </w:r>
      <w:r w:rsidRPr="00F86EDD">
        <w:rPr>
          <w:rFonts w:ascii="Palatino Linotype" w:hAnsi="Palatino Linotype"/>
          <w:lang w:val="es-ES"/>
        </w:rPr>
        <w:t xml:space="preserve">conforme a las consideraciones que se exponen a continuación: </w:t>
      </w:r>
    </w:p>
    <w:p w14:paraId="3C934ECD" w14:textId="77777777" w:rsidR="00D040F5" w:rsidRPr="00F86EDD" w:rsidRDefault="00D040F5" w:rsidP="002F59D1">
      <w:pPr>
        <w:pStyle w:val="Sinespaciado"/>
        <w:spacing w:line="360" w:lineRule="auto"/>
        <w:jc w:val="both"/>
        <w:rPr>
          <w:rFonts w:ascii="Palatino Linotype" w:hAnsi="Palatino Linotype"/>
          <w:lang w:val="es-ES"/>
        </w:rPr>
      </w:pPr>
    </w:p>
    <w:p w14:paraId="1D37C5F8" w14:textId="33A2C082" w:rsidR="00330955" w:rsidRPr="00F86EDD" w:rsidRDefault="00492535" w:rsidP="002F59D1">
      <w:pPr>
        <w:tabs>
          <w:tab w:val="left" w:pos="709"/>
        </w:tabs>
        <w:spacing w:after="0" w:line="360" w:lineRule="auto"/>
        <w:ind w:right="51"/>
        <w:jc w:val="both"/>
        <w:rPr>
          <w:rFonts w:ascii="Palatino Linotype" w:hAnsi="Palatino Linotype"/>
          <w:sz w:val="24"/>
          <w:lang w:val="es-ES"/>
        </w:rPr>
      </w:pPr>
      <w:r w:rsidRPr="00492535">
        <w:rPr>
          <w:rFonts w:ascii="Palatino Linotype" w:hAnsi="Palatino Linotype"/>
          <w:b/>
          <w:sz w:val="24"/>
          <w:lang w:val="es-ES"/>
        </w:rPr>
        <w:t xml:space="preserve">I. </w:t>
      </w:r>
      <w:r w:rsidR="00330955" w:rsidRPr="00F86EDD">
        <w:rPr>
          <w:rFonts w:ascii="Palatino Linotype" w:hAnsi="Palatino Linotype"/>
          <w:sz w:val="24"/>
          <w:lang w:val="es-ES"/>
        </w:rPr>
        <w:t xml:space="preserve">En primer término, desde una perspectiva etimológica la palabra certificar proviene del latín </w:t>
      </w:r>
      <w:r w:rsidR="00330955" w:rsidRPr="00F86EDD">
        <w:rPr>
          <w:rFonts w:ascii="Palatino Linotype" w:hAnsi="Palatino Linotype"/>
          <w:b/>
          <w:i/>
          <w:sz w:val="24"/>
          <w:lang w:val="es-ES"/>
        </w:rPr>
        <w:t xml:space="preserve">certificare, </w:t>
      </w:r>
      <w:r w:rsidR="00330955" w:rsidRPr="00F86EDD">
        <w:rPr>
          <w:rFonts w:ascii="Palatino Linotype" w:hAnsi="Palatino Linotype"/>
          <w:sz w:val="24"/>
          <w:lang w:val="es-ES"/>
        </w:rPr>
        <w:t xml:space="preserve">forma verbal de </w:t>
      </w:r>
      <w:r w:rsidR="00330955" w:rsidRPr="00F86EDD">
        <w:rPr>
          <w:rFonts w:ascii="Palatino Linotype" w:hAnsi="Palatino Linotype"/>
          <w:b/>
          <w:i/>
          <w:sz w:val="24"/>
          <w:lang w:val="es-ES"/>
        </w:rPr>
        <w:t xml:space="preserve">certus </w:t>
      </w:r>
      <w:r w:rsidR="00330955" w:rsidRPr="00F86EDD">
        <w:rPr>
          <w:rFonts w:ascii="Palatino Linotype" w:hAnsi="Palatino Linotype"/>
          <w:sz w:val="24"/>
          <w:lang w:val="es-ES"/>
        </w:rPr>
        <w:t xml:space="preserve">(cierto, decidido, resuelto, seguro, real) y </w:t>
      </w:r>
      <w:r w:rsidR="00330955" w:rsidRPr="00F86EDD">
        <w:rPr>
          <w:rFonts w:ascii="Palatino Linotype" w:hAnsi="Palatino Linotype"/>
          <w:b/>
          <w:i/>
          <w:sz w:val="24"/>
          <w:lang w:val="es-ES"/>
        </w:rPr>
        <w:t xml:space="preserve">facere </w:t>
      </w:r>
      <w:r w:rsidR="00330955" w:rsidRPr="00F86EDD">
        <w:rPr>
          <w:rFonts w:ascii="Palatino Linotype" w:hAnsi="Palatino Linotype"/>
          <w:sz w:val="24"/>
          <w:lang w:val="es-ES"/>
        </w:rPr>
        <w:t xml:space="preserve"> (hacer). Asimismo, la Real Academia Española la define como: </w:t>
      </w:r>
    </w:p>
    <w:p w14:paraId="7FB26BB8" w14:textId="77777777" w:rsidR="00330955" w:rsidRPr="00D74772" w:rsidRDefault="00330955" w:rsidP="00D74772">
      <w:pPr>
        <w:tabs>
          <w:tab w:val="left" w:pos="709"/>
        </w:tabs>
        <w:spacing w:after="0" w:line="360" w:lineRule="auto"/>
        <w:ind w:right="51"/>
        <w:jc w:val="both"/>
        <w:rPr>
          <w:rFonts w:ascii="Palatino Linotype" w:hAnsi="Palatino Linotype"/>
          <w:lang w:val="es-ES"/>
        </w:rPr>
      </w:pPr>
    </w:p>
    <w:p w14:paraId="7ADB6D9F" w14:textId="77777777" w:rsidR="00330955" w:rsidRPr="00D74772" w:rsidRDefault="00330955" w:rsidP="00D74772">
      <w:pPr>
        <w:pStyle w:val="Citas"/>
        <w:spacing w:before="0" w:after="0"/>
        <w:ind w:left="567" w:right="425"/>
        <w:rPr>
          <w:lang w:val="es-ES"/>
        </w:rPr>
      </w:pPr>
      <w:r w:rsidRPr="00D74772">
        <w:rPr>
          <w:lang w:val="es-ES"/>
        </w:rPr>
        <w:t xml:space="preserve">“1. Asegurar, afirmar, dar por cierto algo. </w:t>
      </w:r>
    </w:p>
    <w:p w14:paraId="4F096FA9" w14:textId="77777777" w:rsidR="00330955" w:rsidRPr="00D74772" w:rsidRDefault="00330955" w:rsidP="00D74772">
      <w:pPr>
        <w:pStyle w:val="Citas"/>
        <w:spacing w:before="0" w:after="0"/>
        <w:ind w:left="567" w:right="425"/>
        <w:rPr>
          <w:lang w:val="es-ES"/>
        </w:rPr>
      </w:pPr>
      <w:r w:rsidRPr="00D74772">
        <w:rPr>
          <w:lang w:val="es-ES"/>
        </w:rPr>
        <w:t xml:space="preserve">2. Obtener, mediante pago, un certificado o resguardo por el cual el servicio de correos se obliga a hacer llegar a su destino una carta o un paquete que se ha de remitir por esa vía. </w:t>
      </w:r>
    </w:p>
    <w:p w14:paraId="380D8CD3" w14:textId="77777777" w:rsidR="00330955" w:rsidRPr="00D74772" w:rsidRDefault="00330955" w:rsidP="00D74772">
      <w:pPr>
        <w:pStyle w:val="Citas"/>
        <w:spacing w:before="0" w:after="0"/>
        <w:ind w:left="567" w:right="425"/>
        <w:rPr>
          <w:lang w:val="es-ES"/>
        </w:rPr>
      </w:pPr>
      <w:r w:rsidRPr="00D74772">
        <w:rPr>
          <w:lang w:val="es-ES"/>
        </w:rPr>
        <w:t xml:space="preserve">3. Dicho de una autoridad competente: Hacer constar por escrito una realidad de hecho. </w:t>
      </w:r>
    </w:p>
    <w:p w14:paraId="7AE039BD" w14:textId="77777777" w:rsidR="00330955" w:rsidRPr="00D74772" w:rsidRDefault="00330955" w:rsidP="00D74772">
      <w:pPr>
        <w:pStyle w:val="Citas"/>
        <w:spacing w:before="0" w:after="0"/>
        <w:ind w:left="567" w:right="425"/>
        <w:rPr>
          <w:lang w:val="es-ES"/>
        </w:rPr>
      </w:pPr>
      <w:r w:rsidRPr="00D74772">
        <w:rPr>
          <w:lang w:val="es-ES"/>
        </w:rPr>
        <w:t xml:space="preserve">4. Fijar, señalar con certeza” [Sic] </w:t>
      </w:r>
    </w:p>
    <w:p w14:paraId="0714059E" w14:textId="77777777" w:rsidR="00330955" w:rsidRPr="00D74772" w:rsidRDefault="00330955" w:rsidP="00D74772">
      <w:pPr>
        <w:pStyle w:val="Prrafodelista"/>
        <w:autoSpaceDE w:val="0"/>
        <w:autoSpaceDN w:val="0"/>
        <w:adjustRightInd w:val="0"/>
        <w:spacing w:line="360" w:lineRule="auto"/>
        <w:ind w:left="0"/>
        <w:jc w:val="both"/>
        <w:rPr>
          <w:rStyle w:val="nfasis"/>
          <w:rFonts w:ascii="Palatino Linotype" w:eastAsia="Arial Unicode MS" w:hAnsi="Palatino Linotype" w:cs="Arial Unicode MS"/>
          <w:i w:val="0"/>
          <w:spacing w:val="4"/>
          <w:sz w:val="22"/>
          <w:szCs w:val="22"/>
        </w:rPr>
      </w:pPr>
    </w:p>
    <w:p w14:paraId="26283EEA" w14:textId="77777777" w:rsidR="00330955" w:rsidRPr="00F86EDD" w:rsidRDefault="00330955" w:rsidP="002F59D1">
      <w:pPr>
        <w:pStyle w:val="Prrafodelista"/>
        <w:autoSpaceDE w:val="0"/>
        <w:autoSpaceDN w:val="0"/>
        <w:adjustRightInd w:val="0"/>
        <w:spacing w:line="360" w:lineRule="auto"/>
        <w:ind w:left="0"/>
        <w:jc w:val="both"/>
        <w:rPr>
          <w:rFonts w:ascii="Palatino Linotype" w:hAnsi="Palatino Linotype" w:cs="Arial"/>
          <w:szCs w:val="22"/>
        </w:rPr>
      </w:pPr>
      <w:r w:rsidRPr="00F86EDD">
        <w:rPr>
          <w:rFonts w:ascii="Palatino Linotype" w:hAnsi="Palatino Linotype" w:cs="Arial"/>
          <w:szCs w:val="22"/>
        </w:rPr>
        <w:t xml:space="preserve">De forma complementaria, Rafael de Pina (2013), en su obra </w:t>
      </w:r>
      <w:r w:rsidRPr="00F86EDD">
        <w:rPr>
          <w:rFonts w:ascii="Palatino Linotype" w:hAnsi="Palatino Linotype" w:cs="Arial"/>
          <w:i/>
          <w:szCs w:val="22"/>
        </w:rPr>
        <w:t xml:space="preserve">“Diccionario de Derecho” </w:t>
      </w:r>
      <w:r w:rsidRPr="00F86EDD">
        <w:rPr>
          <w:rFonts w:ascii="Palatino Linotype" w:hAnsi="Palatino Linotype" w:cs="Arial"/>
          <w:szCs w:val="22"/>
        </w:rPr>
        <w:t xml:space="preserve">delimita las fronteras conceptuales de la palabra </w:t>
      </w:r>
      <w:r w:rsidRPr="00F86EDD">
        <w:rPr>
          <w:rFonts w:ascii="Palatino Linotype" w:hAnsi="Palatino Linotype" w:cs="Arial"/>
          <w:b/>
          <w:i/>
          <w:szCs w:val="22"/>
        </w:rPr>
        <w:t xml:space="preserve">certificación </w:t>
      </w:r>
      <w:r w:rsidRPr="00F86EDD">
        <w:rPr>
          <w:rFonts w:ascii="Palatino Linotype" w:hAnsi="Palatino Linotype" w:cs="Arial"/>
          <w:szCs w:val="22"/>
        </w:rPr>
        <w:t xml:space="preserve">en los siguientes términos: </w:t>
      </w:r>
    </w:p>
    <w:p w14:paraId="02320EBA" w14:textId="77777777" w:rsidR="00330955" w:rsidRPr="00D040F5" w:rsidRDefault="00330955" w:rsidP="002F59D1">
      <w:pPr>
        <w:pStyle w:val="Citas"/>
        <w:spacing w:before="0" w:after="0"/>
      </w:pPr>
      <w:r w:rsidRPr="00D040F5">
        <w:lastRenderedPageBreak/>
        <w:t>“Acto jurídico por medio del cual un funcionario público, en el ejercicio de su cargo, da fe de la existencia de un hecho, acto o calidad personal de alguien, que le consta de manera indubitable, por razón de su oficio” [Sic]</w:t>
      </w:r>
    </w:p>
    <w:p w14:paraId="556BB855" w14:textId="77777777" w:rsidR="00330955" w:rsidRPr="00F86EDD" w:rsidRDefault="00330955" w:rsidP="002F59D1">
      <w:pPr>
        <w:spacing w:after="0" w:line="360" w:lineRule="auto"/>
        <w:jc w:val="both"/>
        <w:rPr>
          <w:rFonts w:ascii="Palatino Linotype" w:hAnsi="Palatino Linotype"/>
          <w:sz w:val="24"/>
          <w:szCs w:val="24"/>
          <w:lang w:val="es-ES"/>
        </w:rPr>
      </w:pPr>
    </w:p>
    <w:p w14:paraId="1F3A9BFF" w14:textId="31D5A1E2" w:rsidR="005E2445" w:rsidRDefault="005E2445" w:rsidP="002F59D1">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De esta manera se arriba a la premisa de que la certificación de documentos es un acto materialmente administrativo, emitido por una autoridad competente, mediante el cual da fe respecto del lugar, tiempo y circunstancias derivadas de soportes documentales</w:t>
      </w:r>
      <w:r w:rsidR="00492535">
        <w:rPr>
          <w:rFonts w:ascii="Palatino Linotype" w:hAnsi="Palatino Linotype"/>
          <w:sz w:val="24"/>
          <w:lang w:val="es-ES"/>
        </w:rPr>
        <w:t xml:space="preserve"> que obren en sus archivos.</w:t>
      </w:r>
    </w:p>
    <w:p w14:paraId="359BB759" w14:textId="77777777" w:rsidR="00492535" w:rsidRPr="00F86EDD" w:rsidRDefault="00492535" w:rsidP="002F59D1">
      <w:pPr>
        <w:tabs>
          <w:tab w:val="left" w:pos="709"/>
        </w:tabs>
        <w:spacing w:after="0" w:line="360" w:lineRule="auto"/>
        <w:ind w:right="51"/>
        <w:jc w:val="both"/>
        <w:rPr>
          <w:rFonts w:ascii="Palatino Linotype" w:hAnsi="Palatino Linotype"/>
          <w:sz w:val="24"/>
          <w:lang w:val="es-ES"/>
        </w:rPr>
      </w:pPr>
    </w:p>
    <w:p w14:paraId="267F4A7F" w14:textId="6D0B0D12" w:rsidR="005E2445" w:rsidRDefault="00D74772" w:rsidP="002F59D1">
      <w:pPr>
        <w:tabs>
          <w:tab w:val="left" w:pos="709"/>
        </w:tabs>
        <w:spacing w:after="0" w:line="360" w:lineRule="auto"/>
        <w:ind w:right="51"/>
        <w:jc w:val="both"/>
        <w:rPr>
          <w:rFonts w:ascii="Palatino Linotype" w:hAnsi="Palatino Linotype"/>
          <w:sz w:val="24"/>
          <w:lang w:val="es-ES"/>
        </w:rPr>
      </w:pPr>
      <w:r w:rsidRPr="00D74772">
        <w:rPr>
          <w:rFonts w:ascii="Palatino Linotype" w:hAnsi="Palatino Linotype"/>
          <w:b/>
          <w:sz w:val="24"/>
          <w:lang w:val="es-ES"/>
        </w:rPr>
        <w:t xml:space="preserve">II. </w:t>
      </w:r>
      <w:r w:rsidR="005E2445" w:rsidRPr="00D74772">
        <w:rPr>
          <w:rFonts w:ascii="Palatino Linotype" w:hAnsi="Palatino Linotype"/>
          <w:sz w:val="24"/>
          <w:lang w:val="es-ES"/>
        </w:rPr>
        <w:t>Una vez sentado l</w:t>
      </w:r>
      <w:r w:rsidR="005E2445" w:rsidRPr="00F86EDD">
        <w:rPr>
          <w:rFonts w:ascii="Palatino Linotype" w:hAnsi="Palatino Linotype"/>
          <w:sz w:val="24"/>
          <w:lang w:val="es-ES"/>
        </w:rPr>
        <w:t>o anterior, resulta oportuno traer a colación el artículo 31, fracción IV, de la Constitución Política de los Estados Unidos Mexicanos cuyo contenido literal es el siguiente:</w:t>
      </w:r>
    </w:p>
    <w:p w14:paraId="6BB018B1" w14:textId="77777777" w:rsidR="00492535" w:rsidRPr="00F86EDD" w:rsidRDefault="00492535" w:rsidP="002F59D1">
      <w:pPr>
        <w:tabs>
          <w:tab w:val="left" w:pos="709"/>
        </w:tabs>
        <w:spacing w:after="0" w:line="360" w:lineRule="auto"/>
        <w:ind w:right="51"/>
        <w:jc w:val="both"/>
        <w:rPr>
          <w:rFonts w:ascii="Palatino Linotype" w:hAnsi="Palatino Linotype"/>
          <w:sz w:val="24"/>
          <w:lang w:val="es-ES"/>
        </w:rPr>
      </w:pPr>
    </w:p>
    <w:p w14:paraId="7C59C133" w14:textId="77777777" w:rsidR="005E2445" w:rsidRPr="00F86EDD" w:rsidRDefault="005E2445" w:rsidP="002F59D1">
      <w:pPr>
        <w:pStyle w:val="Citas"/>
        <w:spacing w:before="0" w:after="0"/>
        <w:rPr>
          <w:lang w:val="es-ES"/>
        </w:rPr>
      </w:pPr>
      <w:r w:rsidRPr="00F86EDD">
        <w:rPr>
          <w:lang w:val="es-ES"/>
        </w:rPr>
        <w:t>“Artícul</w:t>
      </w:r>
      <w:r w:rsidRPr="00F86EDD">
        <w:rPr>
          <w:rStyle w:val="highlight"/>
          <w:iCs/>
          <w:lang w:val="es-ES"/>
        </w:rPr>
        <w:t>o 31</w:t>
      </w:r>
      <w:r w:rsidRPr="00F86EDD">
        <w:rPr>
          <w:lang w:val="es-ES"/>
        </w:rPr>
        <w:t>.Son obligaciones de los mexicanos:</w:t>
      </w:r>
    </w:p>
    <w:p w14:paraId="1A55C448" w14:textId="77777777" w:rsidR="005E2445" w:rsidRPr="00F86EDD" w:rsidRDefault="005E2445" w:rsidP="002F59D1">
      <w:pPr>
        <w:pStyle w:val="Citas"/>
        <w:spacing w:before="0" w:after="0"/>
        <w:rPr>
          <w:lang w:val="es-ES"/>
        </w:rPr>
      </w:pPr>
      <w:r w:rsidRPr="00F86EDD">
        <w:rPr>
          <w:lang w:val="es-ES"/>
        </w:rPr>
        <w:t>(…)</w:t>
      </w:r>
    </w:p>
    <w:p w14:paraId="6757B048" w14:textId="77777777" w:rsidR="005E2445" w:rsidRPr="00F86EDD" w:rsidRDefault="005E2445" w:rsidP="002F59D1">
      <w:pPr>
        <w:pStyle w:val="Citas"/>
        <w:spacing w:before="0" w:after="0"/>
        <w:rPr>
          <w:b/>
          <w:bCs/>
          <w:u w:val="single"/>
          <w:lang w:val="es-ES"/>
        </w:rPr>
      </w:pPr>
      <w:r w:rsidRPr="00F86EDD">
        <w:rPr>
          <w:b/>
          <w:bCs/>
          <w:u w:val="single"/>
          <w:lang w:val="es-ES"/>
        </w:rPr>
        <w:t>IV. Contribuir para los gastos públicos, así de la Federación, como de los Estados, de la Ciudad de México y del Municipio en que residan, de la manera proporcional y equitativa que dispongan las leyes</w:t>
      </w:r>
    </w:p>
    <w:p w14:paraId="2A12A7DA" w14:textId="77777777" w:rsidR="005E2445" w:rsidRPr="00F86EDD" w:rsidRDefault="005E2445" w:rsidP="002F59D1">
      <w:pPr>
        <w:pStyle w:val="Citas"/>
        <w:spacing w:before="0" w:after="0"/>
        <w:rPr>
          <w:b/>
          <w:bCs/>
          <w:lang w:val="es-ES"/>
        </w:rPr>
      </w:pPr>
      <w:r w:rsidRPr="00F86EDD">
        <w:rPr>
          <w:lang w:val="es-ES"/>
        </w:rPr>
        <w:t xml:space="preserve">(…)” </w:t>
      </w:r>
      <w:r w:rsidRPr="00F86EDD">
        <w:rPr>
          <w:b/>
          <w:bCs/>
          <w:lang w:val="es-ES"/>
        </w:rPr>
        <w:t>[Sic]</w:t>
      </w:r>
    </w:p>
    <w:p w14:paraId="7A42E683" w14:textId="77777777" w:rsidR="00D040F5" w:rsidRPr="00F86EDD" w:rsidRDefault="00D040F5" w:rsidP="002F59D1">
      <w:pPr>
        <w:spacing w:after="0" w:line="360" w:lineRule="auto"/>
        <w:ind w:right="851"/>
        <w:jc w:val="both"/>
        <w:rPr>
          <w:rFonts w:ascii="Palatino Linotype" w:hAnsi="Palatino Linotype"/>
          <w:b/>
          <w:bCs/>
          <w:i/>
          <w:iCs/>
          <w:lang w:val="es-ES"/>
        </w:rPr>
      </w:pPr>
    </w:p>
    <w:p w14:paraId="22D2A01E" w14:textId="77777777" w:rsidR="005E2445" w:rsidRPr="00F86EDD" w:rsidRDefault="005E2445" w:rsidP="002F59D1">
      <w:pPr>
        <w:spacing w:after="0" w:line="360" w:lineRule="auto"/>
        <w:jc w:val="both"/>
        <w:rPr>
          <w:rFonts w:ascii="Palatino Linotype" w:hAnsi="Palatino Linotype"/>
          <w:sz w:val="24"/>
          <w:lang w:val="es-ES"/>
        </w:rPr>
      </w:pPr>
      <w:r w:rsidRPr="00F86EDD">
        <w:rPr>
          <w:rFonts w:ascii="Palatino Linotype" w:hAnsi="Palatino Linotype"/>
          <w:sz w:val="24"/>
          <w:lang w:val="es-ES"/>
        </w:rPr>
        <w:lastRenderedPageBreak/>
        <w:t>En atención a lo descrito, resulta inconcusa la existencia de una obligación impuesta por nuestra Carta Magna a todo ciudadano mexicano para contribuir a los gastos públicos, lo anterior en atención a los principios de:</w:t>
      </w:r>
    </w:p>
    <w:p w14:paraId="05555D51" w14:textId="77777777" w:rsidR="005E2445" w:rsidRPr="00F86EDD" w:rsidRDefault="005E2445" w:rsidP="002F59D1">
      <w:pPr>
        <w:spacing w:after="0" w:line="360" w:lineRule="auto"/>
        <w:jc w:val="both"/>
        <w:rPr>
          <w:rFonts w:ascii="Palatino Linotype" w:hAnsi="Palatino Linotype"/>
          <w:sz w:val="24"/>
          <w:lang w:val="es-ES"/>
        </w:rPr>
      </w:pPr>
    </w:p>
    <w:p w14:paraId="36E9ABAB" w14:textId="77777777" w:rsidR="005E2445" w:rsidRPr="00F86EDD" w:rsidRDefault="005E2445" w:rsidP="002F59D1">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Proporcionalidad:</w:t>
      </w:r>
      <w:r w:rsidRPr="00F86EDD">
        <w:rPr>
          <w:rFonts w:ascii="Palatino Linotype" w:hAnsi="Palatino Linotype"/>
          <w:szCs w:val="22"/>
        </w:rPr>
        <w:t xml:space="preserve"> Que cada ciudadano tribute de acuerdo con su riqueza, ingresos o posibilidades económicas y que dicha aportación sea la mínima posible para no ahuyentar o empobrecer al contribuyente. </w:t>
      </w:r>
    </w:p>
    <w:p w14:paraId="3D6B7E49" w14:textId="77777777" w:rsidR="005E2445" w:rsidRPr="00F86EDD" w:rsidRDefault="005E2445" w:rsidP="002F59D1">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szCs w:val="22"/>
        </w:rPr>
        <w:t xml:space="preserve"> </w:t>
      </w:r>
      <w:r w:rsidRPr="00F86EDD">
        <w:rPr>
          <w:rFonts w:ascii="Palatino Linotype" w:hAnsi="Palatino Linotype"/>
          <w:b/>
          <w:szCs w:val="22"/>
        </w:rPr>
        <w:t>Equidad:</w:t>
      </w:r>
      <w:r w:rsidRPr="00F86EDD">
        <w:rPr>
          <w:rFonts w:ascii="Palatino Linotype" w:hAnsi="Palatino Linotype"/>
          <w:szCs w:val="22"/>
        </w:rPr>
        <w:t xml:space="preserve"> Que el impacto del gravamen sea el mismo para todas las personas físicas o morales colocadas en la misma circunstancia contributiva, trato igual frente a sujetos iguales y desiguales entre desiguales. </w:t>
      </w:r>
    </w:p>
    <w:p w14:paraId="5FD89514" w14:textId="77777777" w:rsidR="005E2445" w:rsidRPr="00F86EDD" w:rsidRDefault="005E2445" w:rsidP="002F59D1">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 xml:space="preserve"> Destino:</w:t>
      </w:r>
      <w:r w:rsidRPr="00F86EDD">
        <w:rPr>
          <w:rFonts w:ascii="Palatino Linotype" w:hAnsi="Palatino Linotype"/>
          <w:szCs w:val="22"/>
        </w:rPr>
        <w:t xml:space="preserve"> Para el sostenimiento de los gastos públicos. </w:t>
      </w:r>
    </w:p>
    <w:p w14:paraId="12DC02F3" w14:textId="77777777" w:rsidR="005E2445" w:rsidRPr="00F86EDD" w:rsidRDefault="005E2445" w:rsidP="002F59D1">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 xml:space="preserve"> Legalidad:</w:t>
      </w:r>
      <w:r w:rsidRPr="00F86EDD">
        <w:rPr>
          <w:rFonts w:ascii="Palatino Linotype" w:hAnsi="Palatino Linotype"/>
          <w:szCs w:val="22"/>
        </w:rPr>
        <w:t xml:space="preserve"> La contribución invariablemente debe de estar prevista en ley. </w:t>
      </w:r>
    </w:p>
    <w:p w14:paraId="1D69E039" w14:textId="77777777" w:rsidR="005E2445" w:rsidRPr="00F86EDD" w:rsidRDefault="005E2445" w:rsidP="002F59D1">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 xml:space="preserve"> Época de pago:</w:t>
      </w:r>
      <w:r w:rsidRPr="00F86EDD">
        <w:rPr>
          <w:rFonts w:ascii="Palatino Linotype" w:hAnsi="Palatino Linotype"/>
          <w:szCs w:val="22"/>
        </w:rPr>
        <w:t xml:space="preserve"> Conforme a lo establecido en la normatividad aplicable. </w:t>
      </w:r>
    </w:p>
    <w:p w14:paraId="01CBAA2D" w14:textId="77777777" w:rsidR="005E2445" w:rsidRPr="00F86EDD" w:rsidRDefault="005E2445" w:rsidP="002F59D1">
      <w:pPr>
        <w:pStyle w:val="Sinespaciado"/>
        <w:spacing w:line="360" w:lineRule="auto"/>
        <w:jc w:val="both"/>
        <w:rPr>
          <w:rFonts w:ascii="Palatino Linotype" w:hAnsi="Palatino Linotype"/>
          <w:sz w:val="28"/>
          <w:lang w:val="es-ES"/>
        </w:rPr>
      </w:pPr>
    </w:p>
    <w:p w14:paraId="7D4C2E0D" w14:textId="77777777" w:rsidR="005E2445" w:rsidRPr="00F86EDD" w:rsidRDefault="005E2445" w:rsidP="002F59D1">
      <w:pPr>
        <w:pStyle w:val="Sinespaciado"/>
        <w:spacing w:line="360" w:lineRule="auto"/>
        <w:jc w:val="both"/>
        <w:rPr>
          <w:rFonts w:ascii="Palatino Linotype" w:hAnsi="Palatino Linotype"/>
          <w:lang w:val="es-ES"/>
        </w:rPr>
      </w:pPr>
      <w:r w:rsidRPr="00F86EDD">
        <w:rPr>
          <w:rFonts w:ascii="Palatino Linotype" w:hAnsi="Palatino Linotype"/>
          <w:lang w:val="es-ES"/>
        </w:rPr>
        <w:t xml:space="preserve">En este tenor, es menester tomar en cuenta lo dispuesto por el Código Financiero del Estado de México y Municipios, el cual </w:t>
      </w:r>
      <w:r w:rsidRPr="00F86EDD">
        <w:rPr>
          <w:rFonts w:ascii="Palatino Linotype" w:hAnsi="Palatino Linotype"/>
          <w:b/>
          <w:u w:val="single"/>
          <w:lang w:val="es-ES"/>
        </w:rPr>
        <w:t>regula la actividad financiera</w:t>
      </w:r>
      <w:r w:rsidRPr="00F86EDD">
        <w:rPr>
          <w:rFonts w:ascii="Palatino Linotype" w:hAnsi="Palatino Linotype"/>
          <w:lang w:val="es-ES"/>
        </w:rPr>
        <w:t xml:space="preserve"> estatal y </w:t>
      </w:r>
      <w:r w:rsidRPr="00F86EDD">
        <w:rPr>
          <w:rFonts w:ascii="Palatino Linotype" w:hAnsi="Palatino Linotype"/>
          <w:b/>
          <w:u w:val="single"/>
          <w:lang w:val="es-ES"/>
        </w:rPr>
        <w:t>municipal</w:t>
      </w:r>
      <w:r w:rsidRPr="00F86EDD">
        <w:rPr>
          <w:rFonts w:ascii="Palatino Linotype" w:hAnsi="Palatino Linotype"/>
          <w:lang w:val="es-ES"/>
        </w:rPr>
        <w:t xml:space="preserve">, </w:t>
      </w:r>
      <w:r w:rsidRPr="00F86EDD">
        <w:rPr>
          <w:rFonts w:ascii="Palatino Linotype" w:hAnsi="Palatino Linotype"/>
          <w:b/>
          <w:u w:val="single"/>
          <w:lang w:val="es-ES"/>
        </w:rPr>
        <w:t>entendiendo a dicha actividad la que comprende la obtención</w:t>
      </w:r>
      <w:r w:rsidRPr="00F86EDD">
        <w:rPr>
          <w:rFonts w:ascii="Palatino Linotype" w:hAnsi="Palatino Linotype"/>
          <w:lang w:val="es-ES"/>
        </w:rPr>
        <w:t xml:space="preserve">, administración y aplicación </w:t>
      </w:r>
      <w:r w:rsidRPr="00F86EDD">
        <w:rPr>
          <w:rFonts w:ascii="Palatino Linotype" w:hAnsi="Palatino Linotype"/>
          <w:b/>
          <w:u w:val="single"/>
          <w:lang w:val="es-ES"/>
        </w:rPr>
        <w:t>de los ingresos públicos</w:t>
      </w:r>
      <w:r w:rsidRPr="00F86EDD">
        <w:rPr>
          <w:rFonts w:ascii="Palatino Linotype" w:hAnsi="Palatino Linotype"/>
          <w:lang w:val="es-ES"/>
        </w:rPr>
        <w:t>, así como lo conducente a la transparencia y difusión de la información financiera relativa a la presupuestario, ejercicio, evaluación y rendición de cuentas, en apego a las disposiciones aplicables en la materia.</w:t>
      </w:r>
    </w:p>
    <w:p w14:paraId="6E8FA148" w14:textId="77777777" w:rsidR="005E2445" w:rsidRPr="00F86EDD" w:rsidRDefault="005E2445" w:rsidP="002F59D1">
      <w:pPr>
        <w:pStyle w:val="Sinespaciado"/>
        <w:spacing w:line="360" w:lineRule="auto"/>
        <w:jc w:val="both"/>
        <w:rPr>
          <w:rFonts w:ascii="Palatino Linotype" w:hAnsi="Palatino Linotype"/>
          <w:lang w:val="es-ES"/>
        </w:rPr>
      </w:pPr>
    </w:p>
    <w:p w14:paraId="172B41F7" w14:textId="77777777" w:rsidR="005E2445" w:rsidRPr="00F86EDD" w:rsidRDefault="005E2445" w:rsidP="002F59D1">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 xml:space="preserve">Por tanto, se tiene que el artículo 7, del Código referido establece que </w:t>
      </w:r>
      <w:r w:rsidRPr="00F86EDD">
        <w:rPr>
          <w:rFonts w:ascii="Palatino Linotype" w:hAnsi="Palatino Linotype"/>
          <w:b/>
          <w:u w:val="single"/>
          <w:lang w:val="es-ES"/>
        </w:rPr>
        <w:t>para cubrir el gasto público y demás obligaciones a su cargo</w:t>
      </w:r>
      <w:r w:rsidRPr="00F86EDD">
        <w:rPr>
          <w:rFonts w:ascii="Palatino Linotype" w:hAnsi="Palatino Linotype"/>
          <w:lang w:val="es-ES"/>
        </w:rPr>
        <w:t xml:space="preserve">, el Estado y los Municipios percibirán en cada ejercicio fiscal los impuestos, </w:t>
      </w:r>
      <w:r w:rsidRPr="00F86EDD">
        <w:rPr>
          <w:rFonts w:ascii="Palatino Linotype" w:hAnsi="Palatino Linotype"/>
          <w:b/>
          <w:u w:val="single"/>
          <w:lang w:val="es-ES"/>
        </w:rPr>
        <w:t>derechos</w:t>
      </w:r>
      <w:r w:rsidRPr="00F86EDD">
        <w:rPr>
          <w:rFonts w:ascii="Palatino Linotype" w:hAnsi="Palatino Linotype"/>
          <w:lang w:val="es-ES"/>
        </w:rPr>
        <w:t xml:space="preserve">, aportaciones de mejoras, productos, aprovechamientos, ingresos derivados de la coordinación hacendaria, e ingresos provenientes de financiamientos, </w:t>
      </w:r>
      <w:r w:rsidRPr="00F86EDD">
        <w:rPr>
          <w:rFonts w:ascii="Palatino Linotype" w:hAnsi="Palatino Linotype"/>
          <w:b/>
          <w:u w:val="single"/>
          <w:lang w:val="es-ES"/>
        </w:rPr>
        <w:t>establecidos en la Ley de ingresos</w:t>
      </w:r>
      <w:r w:rsidRPr="00F86EDD">
        <w:rPr>
          <w:rFonts w:ascii="Palatino Linotype" w:hAnsi="Palatino Linotype"/>
          <w:lang w:val="es-ES"/>
        </w:rPr>
        <w:t xml:space="preserve">. </w:t>
      </w:r>
    </w:p>
    <w:p w14:paraId="718E6F7A" w14:textId="77777777" w:rsidR="005E2445" w:rsidRPr="00F86EDD" w:rsidRDefault="005E2445" w:rsidP="002F59D1">
      <w:pPr>
        <w:pStyle w:val="Sinespaciado"/>
        <w:spacing w:line="360" w:lineRule="auto"/>
        <w:ind w:firstLine="1"/>
        <w:jc w:val="both"/>
        <w:rPr>
          <w:rFonts w:ascii="Palatino Linotype" w:hAnsi="Palatino Linotype"/>
          <w:lang w:val="es-ES"/>
        </w:rPr>
      </w:pPr>
    </w:p>
    <w:p w14:paraId="3B695BD7" w14:textId="14AFF77C" w:rsidR="005E2445" w:rsidRPr="00BC4DEE" w:rsidRDefault="005E2445" w:rsidP="002F59D1">
      <w:pPr>
        <w:pStyle w:val="Sinespaciado"/>
        <w:spacing w:line="360" w:lineRule="auto"/>
        <w:ind w:firstLine="1"/>
        <w:jc w:val="both"/>
        <w:rPr>
          <w:rFonts w:ascii="Palatino Linotype" w:hAnsi="Palatino Linotype"/>
          <w:u w:val="single"/>
          <w:lang w:val="es-ES"/>
        </w:rPr>
      </w:pPr>
      <w:r w:rsidRPr="00F86EDD">
        <w:rPr>
          <w:rFonts w:ascii="Palatino Linotype" w:hAnsi="Palatino Linotype"/>
          <w:lang w:val="es-ES"/>
        </w:rPr>
        <w:t xml:space="preserve">Asimismo, </w:t>
      </w:r>
      <w:r w:rsidRPr="00F86EDD">
        <w:rPr>
          <w:rFonts w:ascii="Palatino Linotype" w:hAnsi="Palatino Linotype"/>
          <w:b/>
          <w:u w:val="single"/>
          <w:lang w:val="es-ES"/>
        </w:rPr>
        <w:t>el artículo 9, en su fracción II, define a los derechos como las contraprestaciones establecidos en este Código que deben pagar las personas físicas y jurídicas colectivas</w:t>
      </w:r>
      <w:r w:rsidRPr="00F86EDD">
        <w:rPr>
          <w:rFonts w:ascii="Palatino Linotype" w:hAnsi="Palatino Linotype"/>
          <w:lang w:val="es-ES"/>
        </w:rPr>
        <w:t xml:space="preserve">, por el uso o aprovechamiento de los bienes del domino público de la Entidad, así como </w:t>
      </w:r>
      <w:r w:rsidRPr="00F86EDD">
        <w:rPr>
          <w:rFonts w:ascii="Palatino Linotype" w:hAnsi="Palatino Linotype"/>
          <w:b/>
          <w:u w:val="single"/>
          <w:lang w:val="es-ES"/>
        </w:rPr>
        <w:t>por recibir servicios que preste</w:t>
      </w:r>
      <w:r w:rsidRPr="00F86EDD">
        <w:rPr>
          <w:rFonts w:ascii="Palatino Linotype" w:hAnsi="Palatino Linotype"/>
          <w:u w:val="single"/>
          <w:lang w:val="es-ES"/>
        </w:rPr>
        <w:t xml:space="preserve">, </w:t>
      </w:r>
      <w:r w:rsidRPr="00F86EDD">
        <w:rPr>
          <w:rFonts w:ascii="Palatino Linotype" w:hAnsi="Palatino Linotype"/>
          <w:b/>
          <w:u w:val="single"/>
          <w:lang w:val="es-ES"/>
        </w:rPr>
        <w:t>el Estado, sus organismos y</w:t>
      </w:r>
      <w:r w:rsidRPr="00F86EDD">
        <w:rPr>
          <w:rFonts w:ascii="Palatino Linotype" w:hAnsi="Palatino Linotype"/>
          <w:u w:val="single"/>
          <w:lang w:val="es-ES"/>
        </w:rPr>
        <w:t xml:space="preserve"> </w:t>
      </w:r>
      <w:r w:rsidRPr="00F86EDD">
        <w:rPr>
          <w:rFonts w:ascii="Palatino Linotype" w:hAnsi="Palatino Linotype"/>
          <w:b/>
          <w:u w:val="single"/>
          <w:lang w:val="es-ES"/>
        </w:rPr>
        <w:t>Municipios en funciones de derecho público</w:t>
      </w:r>
      <w:r w:rsidRPr="00F86EDD">
        <w:rPr>
          <w:rFonts w:ascii="Palatino Linotype" w:hAnsi="Palatino Linotype"/>
          <w:u w:val="single"/>
          <w:lang w:val="es-ES"/>
        </w:rPr>
        <w:t>.</w:t>
      </w:r>
    </w:p>
    <w:p w14:paraId="1FF39C48" w14:textId="77777777" w:rsidR="00BC4DEE" w:rsidRDefault="00BC4DEE" w:rsidP="002F59D1">
      <w:pPr>
        <w:spacing w:after="0" w:line="360" w:lineRule="auto"/>
        <w:contextualSpacing/>
        <w:jc w:val="both"/>
        <w:rPr>
          <w:rFonts w:ascii="Palatino Linotype" w:hAnsi="Palatino Linotype"/>
          <w:sz w:val="24"/>
          <w:szCs w:val="24"/>
          <w:lang w:val="es-ES"/>
        </w:rPr>
      </w:pPr>
    </w:p>
    <w:p w14:paraId="53F5122F" w14:textId="087075F5" w:rsidR="004402F7" w:rsidRPr="0093512E" w:rsidRDefault="005E2445" w:rsidP="002F59D1">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 xml:space="preserve">En este sentido, la modalidad seleccionada por </w:t>
      </w:r>
      <w:r w:rsidR="00F86EDD">
        <w:rPr>
          <w:rFonts w:ascii="Palatino Linotype" w:hAnsi="Palatino Linotype"/>
          <w:b/>
          <w:sz w:val="24"/>
          <w:szCs w:val="24"/>
          <w:lang w:val="es-ES"/>
        </w:rPr>
        <w:t>la parte</w:t>
      </w:r>
      <w:r w:rsidRPr="00F86EDD">
        <w:rPr>
          <w:rFonts w:ascii="Palatino Linotype" w:hAnsi="Palatino Linotype"/>
          <w:b/>
          <w:sz w:val="24"/>
          <w:szCs w:val="24"/>
          <w:lang w:val="es-ES"/>
        </w:rPr>
        <w:t xml:space="preserve"> </w:t>
      </w:r>
      <w:r w:rsidR="00F86EDD">
        <w:rPr>
          <w:rFonts w:ascii="Palatino Linotype" w:hAnsi="Palatino Linotype"/>
          <w:b/>
          <w:sz w:val="24"/>
          <w:szCs w:val="24"/>
          <w:lang w:val="es-ES"/>
        </w:rPr>
        <w:t>r</w:t>
      </w:r>
      <w:r w:rsidRPr="00F86EDD">
        <w:rPr>
          <w:rFonts w:ascii="Palatino Linotype" w:hAnsi="Palatino Linotype"/>
          <w:b/>
          <w:sz w:val="24"/>
          <w:szCs w:val="24"/>
          <w:lang w:val="es-ES"/>
        </w:rPr>
        <w:t xml:space="preserve">ecurrente </w:t>
      </w:r>
      <w:r w:rsidRPr="00F86EDD">
        <w:rPr>
          <w:rFonts w:ascii="Palatino Linotype" w:hAnsi="Palatino Linotype"/>
          <w:sz w:val="24"/>
          <w:szCs w:val="24"/>
          <w:lang w:val="es-ES"/>
        </w:rPr>
        <w:t xml:space="preserve">se encuentra regulada por el Código Financiero del </w:t>
      </w:r>
      <w:r w:rsidRPr="0093512E">
        <w:rPr>
          <w:rFonts w:ascii="Palatino Linotype" w:hAnsi="Palatino Linotype"/>
          <w:sz w:val="24"/>
          <w:szCs w:val="24"/>
          <w:lang w:val="es-ES"/>
        </w:rPr>
        <w:t xml:space="preserve">Estado de México y Municipios en su artículo </w:t>
      </w:r>
      <w:r w:rsidR="000E5D43" w:rsidRPr="0093512E">
        <w:rPr>
          <w:rFonts w:ascii="Palatino Linotype" w:hAnsi="Palatino Linotype"/>
          <w:sz w:val="24"/>
          <w:szCs w:val="24"/>
          <w:lang w:val="es-ES"/>
        </w:rPr>
        <w:t>148</w:t>
      </w:r>
      <w:r w:rsidRPr="0093512E">
        <w:rPr>
          <w:rFonts w:ascii="Palatino Linotype" w:hAnsi="Palatino Linotype"/>
          <w:sz w:val="24"/>
          <w:szCs w:val="24"/>
          <w:lang w:val="es-ES"/>
        </w:rPr>
        <w:t xml:space="preserve">, aplicable al </w:t>
      </w:r>
      <w:r w:rsidRPr="0093512E">
        <w:rPr>
          <w:rFonts w:ascii="Palatino Linotype" w:hAnsi="Palatino Linotype"/>
          <w:b/>
          <w:bCs/>
          <w:sz w:val="24"/>
          <w:szCs w:val="24"/>
          <w:lang w:val="es-ES"/>
        </w:rPr>
        <w:t>Sujeto Obligado</w:t>
      </w:r>
      <w:r w:rsidRPr="0093512E">
        <w:rPr>
          <w:rFonts w:ascii="Palatino Linotype" w:hAnsi="Palatino Linotype"/>
          <w:sz w:val="24"/>
          <w:szCs w:val="24"/>
          <w:lang w:val="es-ES"/>
        </w:rPr>
        <w:t xml:space="preserve"> al estar incluido en el</w:t>
      </w:r>
      <w:r w:rsidR="000E5D43" w:rsidRPr="0093512E">
        <w:rPr>
          <w:rFonts w:ascii="Palatino Linotype" w:hAnsi="Palatino Linotype"/>
          <w:sz w:val="24"/>
          <w:szCs w:val="24"/>
          <w:lang w:val="es-ES"/>
        </w:rPr>
        <w:t xml:space="preserve"> Titulo Cuarto “De los Ingresos de los Municipios”,</w:t>
      </w:r>
      <w:r w:rsidRPr="0093512E">
        <w:rPr>
          <w:rFonts w:ascii="Palatino Linotype" w:hAnsi="Palatino Linotype"/>
          <w:sz w:val="24"/>
          <w:szCs w:val="24"/>
          <w:lang w:val="es-ES"/>
        </w:rPr>
        <w:t xml:space="preserve"> Capítulo II “De los Derechos</w:t>
      </w:r>
      <w:r w:rsidR="000E5D43" w:rsidRPr="0093512E">
        <w:rPr>
          <w:rFonts w:ascii="Palatino Linotype" w:hAnsi="Palatino Linotype"/>
          <w:sz w:val="24"/>
          <w:szCs w:val="24"/>
          <w:lang w:val="es-ES"/>
        </w:rPr>
        <w:t>”</w:t>
      </w:r>
      <w:r w:rsidRPr="0093512E">
        <w:rPr>
          <w:rFonts w:ascii="Palatino Linotype" w:hAnsi="Palatino Linotype"/>
          <w:sz w:val="24"/>
          <w:szCs w:val="24"/>
          <w:lang w:val="es-ES"/>
        </w:rPr>
        <w:t>, porción normativa que dispone a la literalidad lo siguiente:</w:t>
      </w:r>
    </w:p>
    <w:p w14:paraId="111FF5D9" w14:textId="77777777" w:rsidR="00D74772" w:rsidRPr="0093512E" w:rsidRDefault="00D74772" w:rsidP="002F59D1">
      <w:pPr>
        <w:spacing w:after="0" w:line="360" w:lineRule="auto"/>
        <w:contextualSpacing/>
        <w:jc w:val="both"/>
        <w:rPr>
          <w:rFonts w:ascii="Palatino Linotype" w:hAnsi="Palatino Linotype"/>
          <w:sz w:val="24"/>
          <w:szCs w:val="24"/>
          <w:lang w:val="es-ES"/>
        </w:rPr>
      </w:pPr>
    </w:p>
    <w:p w14:paraId="36D82163" w14:textId="4E999423" w:rsidR="00D74772" w:rsidRPr="0093512E" w:rsidRDefault="005E2445" w:rsidP="002F59D1">
      <w:pPr>
        <w:pStyle w:val="Citas"/>
        <w:spacing w:before="0" w:after="0"/>
      </w:pPr>
      <w:r w:rsidRPr="0093512E">
        <w:t>“</w:t>
      </w:r>
      <w:r w:rsidR="00D74772" w:rsidRPr="0093512E">
        <w:rPr>
          <w:b/>
        </w:rPr>
        <w:t>Artículo 148.-</w:t>
      </w:r>
      <w:r w:rsidR="00D74772" w:rsidRPr="0093512E">
        <w:t xml:space="preserve"> Por la expedición de documentos solicitados en el ejercicio del derecho a la información pública, se pagarán los derechos conforme a la siguiente:</w:t>
      </w:r>
    </w:p>
    <w:p w14:paraId="753B3DB1" w14:textId="77777777" w:rsidR="00C84DBA" w:rsidRPr="0093512E" w:rsidRDefault="00C84DBA" w:rsidP="00D74772">
      <w:pPr>
        <w:pStyle w:val="Citas"/>
        <w:spacing w:before="0" w:after="0"/>
        <w:jc w:val="center"/>
      </w:pPr>
    </w:p>
    <w:p w14:paraId="263FA364" w14:textId="77777777" w:rsidR="005E2445" w:rsidRPr="0093512E" w:rsidRDefault="005E2445" w:rsidP="00D74772">
      <w:pPr>
        <w:pStyle w:val="Citas"/>
        <w:spacing w:before="0" w:after="0"/>
        <w:jc w:val="center"/>
        <w:rPr>
          <w:b/>
          <w:i w:val="0"/>
        </w:rPr>
      </w:pPr>
      <w:r w:rsidRPr="0093512E">
        <w:rPr>
          <w:b/>
          <w:i w:val="0"/>
        </w:rPr>
        <w:lastRenderedPageBreak/>
        <w:t>TARIFA</w:t>
      </w:r>
    </w:p>
    <w:tbl>
      <w:tblPr>
        <w:tblStyle w:val="Tablaconcuadrcula"/>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8"/>
        <w:gridCol w:w="3872"/>
      </w:tblGrid>
      <w:tr w:rsidR="00C84DBA" w:rsidRPr="0093512E" w14:paraId="29E3A1A6" w14:textId="77777777" w:rsidTr="008B7FA8">
        <w:tc>
          <w:tcPr>
            <w:tcW w:w="3638" w:type="dxa"/>
            <w:vAlign w:val="center"/>
          </w:tcPr>
          <w:p w14:paraId="32AB2D47" w14:textId="7CBAA0E4" w:rsidR="00C84DBA" w:rsidRPr="0093512E" w:rsidRDefault="00C84DBA" w:rsidP="00C84DBA">
            <w:pPr>
              <w:pStyle w:val="Prrafodelista"/>
              <w:spacing w:line="360" w:lineRule="auto"/>
              <w:ind w:left="0" w:right="564"/>
              <w:jc w:val="center"/>
              <w:rPr>
                <w:rFonts w:ascii="Palatino Linotype" w:hAnsi="Palatino Linotype"/>
                <w:b/>
                <w:sz w:val="22"/>
                <w:szCs w:val="22"/>
              </w:rPr>
            </w:pPr>
            <w:r w:rsidRPr="0093512E">
              <w:rPr>
                <w:rFonts w:ascii="Palatino Linotype" w:hAnsi="Palatino Linotype"/>
                <w:b/>
                <w:sz w:val="22"/>
                <w:szCs w:val="22"/>
              </w:rPr>
              <w:t>CONCEPTO</w:t>
            </w:r>
          </w:p>
        </w:tc>
        <w:tc>
          <w:tcPr>
            <w:tcW w:w="3872" w:type="dxa"/>
          </w:tcPr>
          <w:p w14:paraId="6BF4D030" w14:textId="4F243973" w:rsidR="00C84DBA" w:rsidRPr="0093512E" w:rsidRDefault="00C84DBA" w:rsidP="00C84DBA">
            <w:pPr>
              <w:pStyle w:val="Prrafodelista"/>
              <w:spacing w:line="360" w:lineRule="auto"/>
              <w:ind w:left="0" w:right="564"/>
              <w:jc w:val="center"/>
              <w:rPr>
                <w:rFonts w:ascii="Palatino Linotype" w:hAnsi="Palatino Linotype"/>
                <w:b/>
                <w:sz w:val="22"/>
                <w:szCs w:val="22"/>
              </w:rPr>
            </w:pPr>
            <w:r w:rsidRPr="0093512E">
              <w:rPr>
                <w:rFonts w:ascii="Palatino Linotype" w:hAnsi="Palatino Linotype"/>
                <w:b/>
                <w:sz w:val="22"/>
                <w:szCs w:val="22"/>
              </w:rPr>
              <w:t>NÚMERO DE VECES EL VALOR DIARIO DE LA UNIDAD DE MEDIDA Y ACTUALIZACIÓN VIGENTE</w:t>
            </w:r>
          </w:p>
        </w:tc>
      </w:tr>
      <w:tr w:rsidR="00C84DBA" w:rsidRPr="0093512E" w14:paraId="60CA5D38" w14:textId="77777777" w:rsidTr="008B7FA8">
        <w:tc>
          <w:tcPr>
            <w:tcW w:w="3638" w:type="dxa"/>
          </w:tcPr>
          <w:p w14:paraId="0B4CCF9B" w14:textId="77777777" w:rsidR="00C84DBA" w:rsidRPr="0093512E" w:rsidRDefault="00C84DBA" w:rsidP="00C84DBA">
            <w:pPr>
              <w:pStyle w:val="Prrafodelista"/>
              <w:spacing w:line="360" w:lineRule="auto"/>
              <w:ind w:left="0" w:right="564"/>
              <w:jc w:val="both"/>
              <w:rPr>
                <w:rFonts w:ascii="Palatino Linotype" w:hAnsi="Palatino Linotype"/>
                <w:b/>
              </w:rPr>
            </w:pPr>
            <w:r w:rsidRPr="0093512E">
              <w:rPr>
                <w:rFonts w:ascii="Palatino Linotype" w:hAnsi="Palatino Linotype"/>
                <w:b/>
              </w:rPr>
              <w:t>…</w:t>
            </w:r>
          </w:p>
          <w:p w14:paraId="1CBD1979" w14:textId="32F02AFB" w:rsidR="00C84DBA" w:rsidRPr="0093512E" w:rsidRDefault="00C84DBA" w:rsidP="00C84DBA">
            <w:pPr>
              <w:pStyle w:val="Prrafodelista"/>
              <w:spacing w:line="360" w:lineRule="auto"/>
              <w:ind w:left="0" w:right="-4"/>
              <w:jc w:val="both"/>
              <w:rPr>
                <w:rFonts w:ascii="Palatino Linotype" w:hAnsi="Palatino Linotype"/>
                <w:b/>
                <w:i/>
              </w:rPr>
            </w:pPr>
            <w:r w:rsidRPr="0093512E">
              <w:rPr>
                <w:rFonts w:ascii="Palatino Linotype" w:hAnsi="Palatino Linotype"/>
                <w:b/>
              </w:rPr>
              <w:t xml:space="preserve">II. </w:t>
            </w:r>
            <w:r w:rsidRPr="0093512E">
              <w:rPr>
                <w:rFonts w:ascii="Palatino Linotype" w:hAnsi="Palatino Linotype" w:cs="Arial"/>
              </w:rPr>
              <w:t>Por la expedición de copias certificadas:</w:t>
            </w:r>
          </w:p>
        </w:tc>
        <w:tc>
          <w:tcPr>
            <w:tcW w:w="3872" w:type="dxa"/>
          </w:tcPr>
          <w:p w14:paraId="393E07C2" w14:textId="77777777" w:rsidR="00C84DBA" w:rsidRPr="0093512E" w:rsidRDefault="00C84DBA" w:rsidP="002F59D1">
            <w:pPr>
              <w:pStyle w:val="Prrafodelista"/>
              <w:spacing w:line="360" w:lineRule="auto"/>
              <w:ind w:left="0" w:right="564"/>
              <w:rPr>
                <w:rFonts w:ascii="Palatino Linotype" w:hAnsi="Palatino Linotype"/>
                <w:b/>
                <w:i/>
              </w:rPr>
            </w:pPr>
          </w:p>
          <w:p w14:paraId="1D870B54" w14:textId="77777777" w:rsidR="00C84DBA" w:rsidRPr="0093512E" w:rsidRDefault="00C84DBA" w:rsidP="002F59D1">
            <w:pPr>
              <w:pStyle w:val="Prrafodelista"/>
              <w:spacing w:line="360" w:lineRule="auto"/>
              <w:ind w:left="0" w:right="564"/>
              <w:rPr>
                <w:rFonts w:ascii="Palatino Linotype" w:hAnsi="Palatino Linotype"/>
                <w:b/>
                <w:i/>
              </w:rPr>
            </w:pPr>
          </w:p>
        </w:tc>
      </w:tr>
      <w:tr w:rsidR="00C84DBA" w:rsidRPr="0093512E" w14:paraId="4EFDAF4F" w14:textId="77777777" w:rsidTr="008B7FA8">
        <w:tc>
          <w:tcPr>
            <w:tcW w:w="3638" w:type="dxa"/>
          </w:tcPr>
          <w:p w14:paraId="4E672707" w14:textId="188E7DB4" w:rsidR="00C84DBA" w:rsidRPr="0093512E" w:rsidRDefault="00C84DBA" w:rsidP="002F59D1">
            <w:pPr>
              <w:pStyle w:val="Prrafodelista"/>
              <w:spacing w:line="360" w:lineRule="auto"/>
              <w:ind w:left="0" w:right="564"/>
              <w:rPr>
                <w:rFonts w:ascii="Palatino Linotype" w:hAnsi="Palatino Linotype"/>
              </w:rPr>
            </w:pPr>
            <w:r w:rsidRPr="0093512E">
              <w:rPr>
                <w:rFonts w:ascii="Palatino Linotype" w:hAnsi="Palatino Linotype"/>
                <w:b/>
              </w:rPr>
              <w:t xml:space="preserve">A). </w:t>
            </w:r>
            <w:r w:rsidRPr="0093512E">
              <w:rPr>
                <w:rFonts w:ascii="Palatino Linotype" w:hAnsi="Palatino Linotype"/>
              </w:rPr>
              <w:t>Por la primera hoja</w:t>
            </w:r>
          </w:p>
        </w:tc>
        <w:tc>
          <w:tcPr>
            <w:tcW w:w="3872" w:type="dxa"/>
          </w:tcPr>
          <w:p w14:paraId="665110C8" w14:textId="6538D7FE" w:rsidR="00C84DBA" w:rsidRPr="0093512E" w:rsidRDefault="00C84DBA" w:rsidP="008B7FA8">
            <w:pPr>
              <w:pStyle w:val="Prrafodelista"/>
              <w:spacing w:line="360" w:lineRule="auto"/>
              <w:ind w:left="0"/>
              <w:jc w:val="center"/>
              <w:rPr>
                <w:rFonts w:ascii="Palatino Linotype" w:hAnsi="Palatino Linotype"/>
              </w:rPr>
            </w:pPr>
            <w:r w:rsidRPr="0093512E">
              <w:rPr>
                <w:rFonts w:ascii="Palatino Linotype" w:hAnsi="Palatino Linotype"/>
              </w:rPr>
              <w:t>0.850</w:t>
            </w:r>
          </w:p>
        </w:tc>
      </w:tr>
      <w:tr w:rsidR="00C84DBA" w:rsidRPr="0093512E" w14:paraId="4EE1048E" w14:textId="77777777" w:rsidTr="008B7FA8">
        <w:tc>
          <w:tcPr>
            <w:tcW w:w="3638" w:type="dxa"/>
          </w:tcPr>
          <w:p w14:paraId="4C1CE7F6" w14:textId="1A374C97" w:rsidR="00C84DBA" w:rsidRPr="0093512E" w:rsidRDefault="00C84DBA" w:rsidP="00C84DBA">
            <w:pPr>
              <w:pStyle w:val="Prrafodelista"/>
              <w:spacing w:line="360" w:lineRule="auto"/>
              <w:ind w:left="0"/>
              <w:rPr>
                <w:rFonts w:ascii="Palatino Linotype" w:hAnsi="Palatino Linotype"/>
                <w:b/>
              </w:rPr>
            </w:pPr>
            <w:r w:rsidRPr="0093512E">
              <w:rPr>
                <w:rFonts w:ascii="Palatino Linotype" w:hAnsi="Palatino Linotype"/>
                <w:b/>
              </w:rPr>
              <w:t xml:space="preserve">B). </w:t>
            </w:r>
            <w:r w:rsidRPr="0093512E">
              <w:rPr>
                <w:rFonts w:ascii="Palatino Linotype" w:hAnsi="Palatino Linotype"/>
              </w:rPr>
              <w:t>Por cada hoja subsecuente</w:t>
            </w:r>
          </w:p>
        </w:tc>
        <w:tc>
          <w:tcPr>
            <w:tcW w:w="3872" w:type="dxa"/>
          </w:tcPr>
          <w:p w14:paraId="0BFB9DCA" w14:textId="4A276ACB" w:rsidR="00C84DBA" w:rsidRPr="0093512E" w:rsidRDefault="00C84DBA" w:rsidP="008B7FA8">
            <w:pPr>
              <w:pStyle w:val="Prrafodelista"/>
              <w:spacing w:line="360" w:lineRule="auto"/>
              <w:ind w:left="0"/>
              <w:jc w:val="center"/>
              <w:rPr>
                <w:rFonts w:ascii="Palatino Linotype" w:hAnsi="Palatino Linotype"/>
              </w:rPr>
            </w:pPr>
            <w:r w:rsidRPr="0093512E">
              <w:rPr>
                <w:rFonts w:ascii="Palatino Linotype" w:hAnsi="Palatino Linotype"/>
              </w:rPr>
              <w:t>0.417</w:t>
            </w:r>
          </w:p>
        </w:tc>
      </w:tr>
    </w:tbl>
    <w:p w14:paraId="645C0964" w14:textId="77777777" w:rsidR="00C84DBA" w:rsidRPr="0093512E" w:rsidRDefault="00C84DBA" w:rsidP="002F59D1">
      <w:pPr>
        <w:pStyle w:val="Prrafodelista"/>
        <w:spacing w:line="360" w:lineRule="auto"/>
        <w:ind w:left="1418" w:right="564"/>
        <w:rPr>
          <w:rFonts w:ascii="Palatino Linotype" w:hAnsi="Palatino Linotype"/>
          <w:b/>
          <w:i/>
          <w:sz w:val="22"/>
          <w:szCs w:val="22"/>
        </w:rPr>
      </w:pPr>
    </w:p>
    <w:p w14:paraId="0DF79CFD" w14:textId="73192264" w:rsidR="005E2445" w:rsidRPr="00F86EDD" w:rsidRDefault="005E2445" w:rsidP="002F59D1">
      <w:pPr>
        <w:pStyle w:val="Sinespaciado"/>
        <w:spacing w:line="360" w:lineRule="auto"/>
        <w:ind w:firstLine="1"/>
        <w:jc w:val="both"/>
        <w:rPr>
          <w:rFonts w:ascii="Palatino Linotype" w:hAnsi="Palatino Linotype"/>
          <w:lang w:val="es-ES"/>
        </w:rPr>
      </w:pPr>
      <w:r w:rsidRPr="0093512E">
        <w:rPr>
          <w:rFonts w:ascii="Palatino Linotype" w:hAnsi="Palatino Linotype"/>
          <w:lang w:val="es-ES"/>
        </w:rPr>
        <w:t>Así, se tiene que el cobro por copias certi</w:t>
      </w:r>
      <w:r w:rsidR="00E34CA6" w:rsidRPr="0093512E">
        <w:rPr>
          <w:rFonts w:ascii="Palatino Linotype" w:hAnsi="Palatino Linotype"/>
          <w:lang w:val="es-ES"/>
        </w:rPr>
        <w:t>ficadas es un derecho que cobra</w:t>
      </w:r>
      <w:r w:rsidRPr="0093512E">
        <w:rPr>
          <w:rFonts w:ascii="Palatino Linotype" w:hAnsi="Palatino Linotype"/>
          <w:lang w:val="es-ES"/>
        </w:rPr>
        <w:t xml:space="preserve"> el Estado y sus organismos y su destino es cubrir el gasto público y demás obligaciones a su cargo, por lo cual, al eximir del pago al particular, en el caso en concreto al Recurrente, se ocasiona un perjuicio al ente público, pues se le está privando de la ganancia lícita que debiera haberse obtenido con el cumplimiento</w:t>
      </w:r>
      <w:r w:rsidRPr="00F86EDD">
        <w:rPr>
          <w:rFonts w:ascii="Palatino Linotype" w:hAnsi="Palatino Linotype"/>
          <w:lang w:val="es-ES"/>
        </w:rPr>
        <w:t xml:space="preserve"> de la obligación del solicitante a realizar el pago establecido en el artículo 73, del multicitado Código Financiero.</w:t>
      </w:r>
    </w:p>
    <w:p w14:paraId="6F4E58BE" w14:textId="77777777" w:rsidR="005E2445" w:rsidRPr="00F86EDD" w:rsidRDefault="005E2445" w:rsidP="002F59D1">
      <w:pPr>
        <w:pStyle w:val="Sinespaciado"/>
        <w:spacing w:line="360" w:lineRule="auto"/>
        <w:ind w:firstLine="1"/>
        <w:jc w:val="both"/>
        <w:rPr>
          <w:rFonts w:ascii="Palatino Linotype" w:hAnsi="Palatino Linotype"/>
          <w:lang w:val="es-ES"/>
        </w:rPr>
      </w:pPr>
    </w:p>
    <w:p w14:paraId="2BAF7220" w14:textId="77777777" w:rsidR="005E2445" w:rsidRDefault="005E2445" w:rsidP="002F59D1">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De forma complementaria, resultan aplicables los artículos 9, fracción III, 17 y 174 de la Ley de Transparencia y Acceso a la Información Pública del Estado de México y Municipios, los cuales en su contenido establecen lo siguiente:</w:t>
      </w:r>
    </w:p>
    <w:p w14:paraId="77F32E0C" w14:textId="77777777" w:rsidR="008B7FA8" w:rsidRPr="00F86EDD" w:rsidRDefault="008B7FA8" w:rsidP="002F59D1">
      <w:pPr>
        <w:spacing w:after="0" w:line="360" w:lineRule="auto"/>
        <w:contextualSpacing/>
        <w:jc w:val="both"/>
        <w:rPr>
          <w:rFonts w:ascii="Palatino Linotype" w:hAnsi="Palatino Linotype"/>
          <w:sz w:val="24"/>
          <w:szCs w:val="24"/>
          <w:lang w:val="es-ES"/>
        </w:rPr>
      </w:pPr>
    </w:p>
    <w:p w14:paraId="70C21BF8" w14:textId="77777777" w:rsidR="005E2445" w:rsidRPr="00F86EDD" w:rsidRDefault="005E2445" w:rsidP="002F59D1">
      <w:pPr>
        <w:pStyle w:val="Citas"/>
        <w:spacing w:before="0" w:after="0"/>
        <w:rPr>
          <w:rFonts w:eastAsia="Times New Roman"/>
          <w:color w:val="000000" w:themeColor="text1"/>
          <w:lang w:val="es-ES"/>
        </w:rPr>
      </w:pPr>
      <w:r w:rsidRPr="00F86EDD">
        <w:rPr>
          <w:rFonts w:eastAsia="Times New Roman" w:cs="Times New Roman"/>
          <w:b/>
          <w:lang w:val="es-ES" w:eastAsia="es-ES"/>
        </w:rPr>
        <w:t>“</w:t>
      </w:r>
      <w:r w:rsidRPr="00F86EDD">
        <w:rPr>
          <w:rFonts w:eastAsia="Times New Roman"/>
          <w:b/>
          <w:color w:val="000000" w:themeColor="text1"/>
          <w:lang w:val="es-ES"/>
        </w:rPr>
        <w:t>Artículo 9.</w:t>
      </w:r>
      <w:r w:rsidRPr="00F86EDD">
        <w:rPr>
          <w:rFonts w:eastAsia="Times New Roman"/>
          <w:color w:val="000000" w:themeColor="text1"/>
          <w:lang w:val="es-ES"/>
        </w:rPr>
        <w:t xml:space="preserve"> El Instituto deberá regir su funcionamiento de acuerdo a los siguientes principios: </w:t>
      </w:r>
    </w:p>
    <w:p w14:paraId="61B7EE0E" w14:textId="77777777" w:rsidR="005E2445" w:rsidRPr="00F86EDD" w:rsidRDefault="005E2445" w:rsidP="002F59D1">
      <w:pPr>
        <w:pStyle w:val="Citas"/>
        <w:spacing w:before="0" w:after="0"/>
        <w:rPr>
          <w:rFonts w:eastAsia="Times New Roman"/>
          <w:color w:val="000000" w:themeColor="text1"/>
          <w:lang w:val="es-ES"/>
        </w:rPr>
      </w:pPr>
      <w:r w:rsidRPr="00F86EDD">
        <w:rPr>
          <w:rFonts w:eastAsia="Times New Roman"/>
          <w:color w:val="000000" w:themeColor="text1"/>
          <w:lang w:val="es-ES"/>
        </w:rPr>
        <w:t xml:space="preserve">(…) </w:t>
      </w:r>
    </w:p>
    <w:p w14:paraId="68347DC1" w14:textId="77777777" w:rsidR="005E2445" w:rsidRPr="00F86EDD" w:rsidRDefault="005E2445" w:rsidP="002F59D1">
      <w:pPr>
        <w:pStyle w:val="Citas"/>
        <w:spacing w:before="0" w:after="0"/>
        <w:rPr>
          <w:rFonts w:eastAsia="Times New Roman"/>
          <w:color w:val="000000" w:themeColor="text1"/>
          <w:lang w:val="es-ES"/>
        </w:rPr>
      </w:pPr>
      <w:r w:rsidRPr="00F86EDD">
        <w:rPr>
          <w:rFonts w:eastAsia="Times New Roman"/>
          <w:color w:val="000000" w:themeColor="text1"/>
          <w:lang w:val="es-ES"/>
        </w:rPr>
        <w:t xml:space="preserve">III. Gratuidad: Consiste en que el acceso a la información pública no genera costo alguno para los solicitantes, </w:t>
      </w:r>
      <w:r w:rsidRPr="00F86EDD">
        <w:rPr>
          <w:rFonts w:eastAsia="Times New Roman"/>
          <w:b/>
          <w:bCs/>
          <w:color w:val="000000" w:themeColor="text1"/>
          <w:u w:val="single"/>
          <w:lang w:val="es-ES"/>
        </w:rPr>
        <w:t>sólo podrá requerirse el cobro correspondiente a la modalidad de reproducción y entrega solicitada conforme a lo establecido en la presente Ley y demás disposiciones jurídicas aplicables</w:t>
      </w:r>
      <w:r w:rsidRPr="00F86EDD">
        <w:rPr>
          <w:rFonts w:eastAsia="Times New Roman"/>
          <w:b/>
          <w:bCs/>
          <w:color w:val="000000" w:themeColor="text1"/>
          <w:lang w:val="es-ES"/>
        </w:rPr>
        <w:t>;</w:t>
      </w:r>
    </w:p>
    <w:p w14:paraId="40C939D1" w14:textId="77777777" w:rsidR="005E2445" w:rsidRPr="00F86EDD" w:rsidRDefault="005E2445" w:rsidP="002F59D1">
      <w:pPr>
        <w:pStyle w:val="Citas"/>
        <w:spacing w:before="0" w:after="0"/>
        <w:rPr>
          <w:rFonts w:eastAsia="Times New Roman"/>
          <w:color w:val="000000" w:themeColor="text1"/>
          <w:lang w:val="es-ES"/>
        </w:rPr>
      </w:pPr>
      <w:r w:rsidRPr="00F86EDD">
        <w:rPr>
          <w:rFonts w:eastAsia="Times New Roman"/>
          <w:color w:val="000000" w:themeColor="text1"/>
          <w:lang w:val="es-ES"/>
        </w:rPr>
        <w:t>(…)</w:t>
      </w:r>
    </w:p>
    <w:p w14:paraId="02BBE590" w14:textId="77777777" w:rsidR="005E2445" w:rsidRPr="00F86EDD" w:rsidRDefault="005E2445" w:rsidP="002F59D1">
      <w:pPr>
        <w:pStyle w:val="Citas"/>
        <w:spacing w:before="0" w:after="0"/>
        <w:rPr>
          <w:rFonts w:eastAsia="Times New Roman"/>
          <w:b/>
          <w:bCs/>
          <w:color w:val="000000" w:themeColor="text1"/>
          <w:lang w:val="es-ES"/>
        </w:rPr>
      </w:pPr>
      <w:r w:rsidRPr="00F86EDD">
        <w:rPr>
          <w:rFonts w:eastAsia="Times New Roman"/>
          <w:b/>
          <w:color w:val="000000" w:themeColor="text1"/>
          <w:lang w:val="es-ES"/>
        </w:rPr>
        <w:t>Artículo 17.</w:t>
      </w:r>
      <w:r w:rsidRPr="00F86EDD">
        <w:rPr>
          <w:rFonts w:eastAsia="Times New Roman"/>
          <w:color w:val="000000" w:themeColor="text1"/>
          <w:lang w:val="es-ES"/>
        </w:rPr>
        <w:t xml:space="preserve"> La búsqueda y acceso a la información es gratuita </w:t>
      </w:r>
      <w:r w:rsidRPr="00F86EDD">
        <w:rPr>
          <w:rFonts w:eastAsia="Times New Roman"/>
          <w:b/>
          <w:bCs/>
          <w:color w:val="000000" w:themeColor="text1"/>
          <w:lang w:val="es-ES"/>
        </w:rPr>
        <w:t xml:space="preserve">y </w:t>
      </w:r>
      <w:r w:rsidRPr="00F86EDD">
        <w:rPr>
          <w:rFonts w:eastAsia="Times New Roman"/>
          <w:b/>
          <w:bCs/>
          <w:color w:val="000000" w:themeColor="text1"/>
          <w:u w:val="single"/>
          <w:lang w:val="es-ES"/>
        </w:rPr>
        <w:t>solo se cubrirán los gastos de reproducción, o por la modalidad de entrega solicitada</w:t>
      </w:r>
      <w:r w:rsidRPr="00F86EDD">
        <w:rPr>
          <w:rFonts w:eastAsia="Times New Roman"/>
          <w:b/>
          <w:bCs/>
          <w:color w:val="000000" w:themeColor="text1"/>
          <w:lang w:val="es-ES"/>
        </w:rPr>
        <w:t>,</w:t>
      </w:r>
      <w:r w:rsidRPr="00F86EDD">
        <w:rPr>
          <w:rFonts w:eastAsia="Times New Roman"/>
          <w:color w:val="000000" w:themeColor="text1"/>
          <w:lang w:val="es-ES"/>
        </w:rPr>
        <w:t xml:space="preserve"> así como por el envío, que en su caso se genere</w:t>
      </w:r>
      <w:r w:rsidRPr="00F86EDD">
        <w:rPr>
          <w:rFonts w:eastAsia="Times New Roman"/>
          <w:b/>
          <w:bCs/>
          <w:color w:val="000000" w:themeColor="text1"/>
          <w:lang w:val="es-ES"/>
        </w:rPr>
        <w:t xml:space="preserve">, </w:t>
      </w:r>
      <w:r w:rsidRPr="00F86EDD">
        <w:rPr>
          <w:rFonts w:eastAsia="Times New Roman"/>
          <w:b/>
          <w:bCs/>
          <w:color w:val="000000" w:themeColor="text1"/>
          <w:u w:val="single"/>
          <w:lang w:val="es-ES"/>
        </w:rPr>
        <w:t>de conformidad con los derechos, productos y aprovechamientos establecidos en la legislación aplicable, sin que exceda de los límites establecidos en la presente Ley</w:t>
      </w:r>
      <w:r w:rsidRPr="00F86EDD">
        <w:rPr>
          <w:rFonts w:eastAsia="Times New Roman"/>
          <w:b/>
          <w:bCs/>
          <w:color w:val="000000" w:themeColor="text1"/>
          <w:lang w:val="es-ES"/>
        </w:rPr>
        <w:t>.</w:t>
      </w:r>
    </w:p>
    <w:p w14:paraId="481F33C5" w14:textId="77777777" w:rsidR="005E2445" w:rsidRPr="00F86EDD" w:rsidRDefault="005E2445" w:rsidP="002F59D1">
      <w:pPr>
        <w:pStyle w:val="Citas"/>
        <w:spacing w:before="0" w:after="0"/>
        <w:rPr>
          <w:rFonts w:eastAsia="Times New Roman" w:cs="Times New Roman"/>
          <w:lang w:val="es-ES" w:eastAsia="es-ES"/>
        </w:rPr>
      </w:pPr>
      <w:r w:rsidRPr="00F86EDD">
        <w:rPr>
          <w:rFonts w:eastAsia="Times New Roman" w:cs="Times New Roman"/>
          <w:b/>
          <w:lang w:val="es-ES" w:eastAsia="es-ES"/>
        </w:rPr>
        <w:t>Artículo 174.</w:t>
      </w:r>
      <w:r w:rsidRPr="00F86EDD">
        <w:rPr>
          <w:rFonts w:eastAsia="Times New Roman" w:cs="Times New Roman"/>
          <w:lang w:val="es-ES" w:eastAsia="es-ES"/>
        </w:rPr>
        <w:t xml:space="preserve"> En caso de existir costos para obtener la información deberán cubrirse de manera previa a la entrega y no podrán ser superiores a la suma de:</w:t>
      </w:r>
    </w:p>
    <w:p w14:paraId="794DFA9F" w14:textId="77777777" w:rsidR="005E2445" w:rsidRPr="00F86EDD" w:rsidRDefault="005E2445" w:rsidP="002F59D1">
      <w:pPr>
        <w:pStyle w:val="Citas"/>
        <w:spacing w:before="0" w:after="0"/>
        <w:rPr>
          <w:rFonts w:eastAsia="Times New Roman"/>
          <w:bCs/>
        </w:rPr>
      </w:pPr>
      <w:r w:rsidRPr="00F86EDD">
        <w:rPr>
          <w:rFonts w:eastAsia="Times New Roman"/>
          <w:bCs/>
        </w:rPr>
        <w:t>El costo de los materiales utilizados en la reproducción de la información</w:t>
      </w:r>
    </w:p>
    <w:p w14:paraId="3F94B10E" w14:textId="77777777" w:rsidR="005E2445" w:rsidRPr="00F86EDD" w:rsidRDefault="005E2445" w:rsidP="002F59D1">
      <w:pPr>
        <w:pStyle w:val="Citas"/>
        <w:spacing w:before="0" w:after="0"/>
        <w:rPr>
          <w:rFonts w:eastAsia="Times New Roman"/>
          <w:b/>
          <w:bCs/>
          <w:u w:val="single"/>
        </w:rPr>
      </w:pPr>
      <w:r w:rsidRPr="00F86EDD">
        <w:rPr>
          <w:rFonts w:eastAsia="Times New Roman"/>
        </w:rPr>
        <w:t xml:space="preserve">  El costo de envío, en su caso; y</w:t>
      </w:r>
    </w:p>
    <w:p w14:paraId="46593356" w14:textId="77777777" w:rsidR="005E2445" w:rsidRPr="00F86EDD" w:rsidRDefault="005E2445" w:rsidP="002F59D1">
      <w:pPr>
        <w:pStyle w:val="Citas"/>
        <w:spacing w:before="0" w:after="0"/>
        <w:rPr>
          <w:rFonts w:eastAsia="Times New Roman"/>
          <w:b/>
          <w:bCs/>
          <w:u w:val="single"/>
        </w:rPr>
      </w:pPr>
      <w:r w:rsidRPr="00F86EDD">
        <w:rPr>
          <w:rFonts w:eastAsia="Times New Roman"/>
          <w:b/>
          <w:bCs/>
          <w:u w:val="single"/>
        </w:rPr>
        <w:t xml:space="preserve"> El pago de la certificación de los documentos, cuando proceda.</w:t>
      </w:r>
    </w:p>
    <w:p w14:paraId="6AB73952" w14:textId="77777777" w:rsidR="005E2445" w:rsidRPr="00F86EDD" w:rsidRDefault="005E2445" w:rsidP="002F59D1">
      <w:pPr>
        <w:pStyle w:val="Citas"/>
        <w:spacing w:before="0" w:after="0"/>
        <w:rPr>
          <w:rFonts w:eastAsia="Times New Roman" w:cs="Times New Roman"/>
          <w:lang w:val="es-ES" w:eastAsia="es-ES"/>
        </w:rPr>
      </w:pPr>
      <w:r w:rsidRPr="00F86EDD">
        <w:rPr>
          <w:rFonts w:eastAsia="Times New Roman" w:cs="Times New Roman"/>
          <w:lang w:val="es-ES" w:eastAsia="es-ES"/>
        </w:rPr>
        <w:t xml:space="preserve">Las cuotas de los derechos aplicables deberán establecerse, en su caso, en el Código Financiero del Estado de México y Municipios y demás disposiciones jurídicas aplicables, las cuales se publicarán en los sitios de internet de los sujetos obligados. </w:t>
      </w:r>
      <w:r w:rsidRPr="00F86EDD">
        <w:rPr>
          <w:rFonts w:eastAsia="Times New Roman" w:cs="Times New Roman"/>
          <w:lang w:val="es-ES" w:eastAsia="es-ES"/>
        </w:rPr>
        <w:lastRenderedPageBreak/>
        <w:t>En su determinación se deberá considerar que los montos permitan o faciliten el ejercicio del derecho de acceso a la información.</w:t>
      </w:r>
    </w:p>
    <w:p w14:paraId="4A7C8432" w14:textId="77777777" w:rsidR="005E2445" w:rsidRPr="00F86EDD" w:rsidRDefault="005E2445" w:rsidP="002F59D1">
      <w:pPr>
        <w:pStyle w:val="Citas"/>
        <w:spacing w:before="0" w:after="0"/>
        <w:rPr>
          <w:rFonts w:eastAsia="Times New Roman" w:cs="Times New Roman"/>
          <w:lang w:val="es-ES" w:eastAsia="es-ES"/>
        </w:rPr>
      </w:pPr>
      <w:r w:rsidRPr="00F86EDD">
        <w:rPr>
          <w:rFonts w:eastAsia="Times New Roman" w:cs="Times New Roman"/>
          <w:lang w:val="es-ES" w:eastAsia="es-ES"/>
        </w:rPr>
        <w:t>Los sujetos obligados a los que no les sea aplicable el Código Financiero del Estado de México y Municipios deberán establecer cuotas que no sean mayores a las dispuestas en dicho ordenamiento.</w:t>
      </w:r>
    </w:p>
    <w:p w14:paraId="25E84722" w14:textId="77777777" w:rsidR="005E2445" w:rsidRPr="00F86EDD" w:rsidRDefault="005E2445" w:rsidP="002F59D1">
      <w:pPr>
        <w:pStyle w:val="Citas"/>
        <w:spacing w:before="0" w:after="0"/>
        <w:rPr>
          <w:rFonts w:eastAsia="Times New Roman" w:cs="Times New Roman"/>
          <w:b/>
          <w:bCs/>
          <w:lang w:val="es-ES" w:eastAsia="es-ES"/>
        </w:rPr>
      </w:pPr>
      <w:r w:rsidRPr="00F86EDD">
        <w:rPr>
          <w:rFonts w:eastAsia="Times New Roman" w:cs="Times New Roman"/>
          <w:lang w:val="es-ES" w:eastAsia="es-ES"/>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r w:rsidRPr="00F86EDD">
        <w:rPr>
          <w:rFonts w:eastAsia="Times New Roman" w:cs="Times New Roman"/>
          <w:b/>
          <w:bCs/>
          <w:lang w:val="es-ES" w:eastAsia="es-ES"/>
        </w:rPr>
        <w:t>[Sic]</w:t>
      </w:r>
    </w:p>
    <w:p w14:paraId="004C3610" w14:textId="77777777" w:rsidR="00463A29" w:rsidRDefault="00463A29" w:rsidP="002F59D1">
      <w:pPr>
        <w:pStyle w:val="Sinespaciado"/>
        <w:spacing w:line="360" w:lineRule="auto"/>
        <w:ind w:firstLine="1"/>
        <w:jc w:val="both"/>
        <w:rPr>
          <w:rFonts w:ascii="Palatino Linotype" w:hAnsi="Palatino Linotype"/>
          <w:lang w:val="es-ES"/>
        </w:rPr>
      </w:pPr>
    </w:p>
    <w:p w14:paraId="0DF7066B" w14:textId="09A8E070" w:rsidR="008B7FA8" w:rsidRPr="008B7FA8" w:rsidRDefault="008B7FA8" w:rsidP="008B7FA8">
      <w:pPr>
        <w:pStyle w:val="Sinespaciado"/>
        <w:spacing w:line="360" w:lineRule="auto"/>
        <w:ind w:firstLine="1"/>
        <w:jc w:val="center"/>
        <w:rPr>
          <w:rFonts w:ascii="Palatino Linotype" w:hAnsi="Palatino Linotype"/>
          <w:b/>
          <w:lang w:val="es-ES"/>
        </w:rPr>
      </w:pPr>
      <w:r w:rsidRPr="008B7FA8">
        <w:rPr>
          <w:rFonts w:ascii="Palatino Linotype" w:hAnsi="Palatino Linotype"/>
          <w:b/>
          <w:lang w:val="es-ES"/>
        </w:rPr>
        <w:t>RAZONES POR LAS QUE SE EMITE EL VOTO</w:t>
      </w:r>
    </w:p>
    <w:p w14:paraId="58BDEFE4" w14:textId="77777777" w:rsidR="008B7FA8" w:rsidRDefault="008B7FA8" w:rsidP="002F59D1">
      <w:pPr>
        <w:pStyle w:val="Sinespaciado"/>
        <w:spacing w:line="360" w:lineRule="auto"/>
        <w:ind w:firstLine="1"/>
        <w:jc w:val="both"/>
        <w:rPr>
          <w:rFonts w:ascii="Palatino Linotype" w:hAnsi="Palatino Linotype"/>
          <w:lang w:val="es-ES"/>
        </w:rPr>
      </w:pPr>
    </w:p>
    <w:p w14:paraId="533313C4" w14:textId="6A76A86C" w:rsidR="005E2445" w:rsidRPr="00F86EDD" w:rsidRDefault="001D4490" w:rsidP="002F59D1">
      <w:pPr>
        <w:pStyle w:val="Sinespaciado"/>
        <w:spacing w:line="360" w:lineRule="auto"/>
        <w:ind w:firstLine="1"/>
        <w:jc w:val="both"/>
        <w:rPr>
          <w:rFonts w:ascii="Palatino Linotype" w:hAnsi="Palatino Linotype"/>
          <w:b/>
          <w:u w:val="single"/>
          <w:lang w:val="es-ES"/>
        </w:rPr>
      </w:pPr>
      <w:r w:rsidRPr="001D4490">
        <w:rPr>
          <w:rFonts w:ascii="Palatino Linotype" w:hAnsi="Palatino Linotype"/>
          <w:b/>
          <w:lang w:val="es-ES"/>
        </w:rPr>
        <w:t>I.</w:t>
      </w:r>
      <w:r>
        <w:rPr>
          <w:rFonts w:ascii="Palatino Linotype" w:hAnsi="Palatino Linotype"/>
          <w:lang w:val="es-ES"/>
        </w:rPr>
        <w:t xml:space="preserve"> </w:t>
      </w:r>
      <w:r w:rsidR="005E2445" w:rsidRPr="00F86EDD">
        <w:rPr>
          <w:rFonts w:ascii="Palatino Linotype" w:hAnsi="Palatino Linotype"/>
          <w:lang w:val="es-ES"/>
        </w:rPr>
        <w:t>En virtud de lo anterior, resulta inconcuso que la certificación de documentos configura un servicio que presta el Estado en sus funciones de derecho público,</w:t>
      </w:r>
      <w:r w:rsidR="005E2445" w:rsidRPr="00F86EDD">
        <w:rPr>
          <w:rFonts w:ascii="Palatino Linotype" w:hAnsi="Palatino Linotype"/>
          <w:b/>
          <w:lang w:val="es-ES"/>
        </w:rPr>
        <w:t xml:space="preserve"> </w:t>
      </w:r>
      <w:r w:rsidR="005E2445" w:rsidRPr="00F86EDD">
        <w:rPr>
          <w:rFonts w:ascii="Palatino Linotype" w:hAnsi="Palatino Linotype"/>
          <w:lang w:val="es-ES"/>
        </w:rPr>
        <w:t xml:space="preserve">de ahí que resulte necesario la recuperación de tales gastos, en el caso en particular, mediante el pago de un derecho establecido en la normatividad aplicable, </w:t>
      </w:r>
      <w:r w:rsidR="005E2445" w:rsidRPr="00F86EDD">
        <w:rPr>
          <w:rFonts w:ascii="Palatino Linotype" w:hAnsi="Palatino Linotype"/>
          <w:b/>
          <w:u w:val="single"/>
          <w:lang w:val="es-ES"/>
        </w:rPr>
        <w:t xml:space="preserve">el cual invariablemente no podrá ser desestimado, condonado o inaplicado, pues conforme a la normatividad previamente referida se reconoce la imposición de un gravamen incluso con independencia del número de fojas. </w:t>
      </w:r>
    </w:p>
    <w:p w14:paraId="698A2270" w14:textId="77777777" w:rsidR="005E2445" w:rsidRPr="00F86EDD" w:rsidRDefault="005E2445" w:rsidP="002F59D1">
      <w:pPr>
        <w:pStyle w:val="Sinespaciado"/>
        <w:spacing w:line="360" w:lineRule="auto"/>
        <w:ind w:firstLine="1"/>
        <w:jc w:val="both"/>
        <w:rPr>
          <w:rFonts w:ascii="Palatino Linotype" w:hAnsi="Palatino Linotype"/>
          <w:b/>
          <w:u w:val="single"/>
          <w:lang w:val="es-ES"/>
        </w:rPr>
      </w:pPr>
    </w:p>
    <w:p w14:paraId="73581387" w14:textId="77777777" w:rsidR="005E2445" w:rsidRPr="00F86EDD" w:rsidRDefault="005E2445" w:rsidP="002F59D1">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 xml:space="preserve">Por ello, conviene señalar lo estipulado por el Poder Judicial de la Federación a través de la tesis aislada con número de registro </w:t>
      </w:r>
      <w:r w:rsidRPr="00F86EDD">
        <w:rPr>
          <w:rFonts w:ascii="Palatino Linotype" w:hAnsi="Palatino Linotype"/>
          <w:b/>
          <w:lang w:val="es-ES"/>
        </w:rPr>
        <w:t>2007573</w:t>
      </w:r>
      <w:r w:rsidRPr="00F86EDD">
        <w:rPr>
          <w:rFonts w:ascii="Palatino Linotype" w:hAnsi="Palatino Linotype"/>
          <w:lang w:val="es-ES"/>
        </w:rPr>
        <w:t xml:space="preserve"> de la Décima Época, sustentada </w:t>
      </w:r>
      <w:r w:rsidRPr="00F86EDD">
        <w:rPr>
          <w:rFonts w:ascii="Palatino Linotype" w:hAnsi="Palatino Linotype"/>
          <w:lang w:val="es-ES"/>
        </w:rPr>
        <w:lastRenderedPageBreak/>
        <w:t xml:space="preserve">por la Segunda Sala de la Suprema Corte de Justicia de la Nación, órgano colegiado que se ha pronunciado en cuanto al control constitucional concentrado o difuso en los términos siguientes: </w:t>
      </w:r>
    </w:p>
    <w:p w14:paraId="14F21104" w14:textId="77777777" w:rsidR="005E2445" w:rsidRPr="008B7FA8" w:rsidRDefault="005E2445" w:rsidP="008B7FA8">
      <w:pPr>
        <w:pStyle w:val="Sinespaciado"/>
        <w:spacing w:line="360" w:lineRule="auto"/>
        <w:ind w:firstLine="1"/>
        <w:jc w:val="both"/>
        <w:rPr>
          <w:rFonts w:ascii="Palatino Linotype" w:hAnsi="Palatino Linotype"/>
          <w:lang w:val="es-ES"/>
        </w:rPr>
      </w:pPr>
    </w:p>
    <w:p w14:paraId="25837A61" w14:textId="77777777" w:rsidR="005E2445" w:rsidRPr="00F86EDD" w:rsidRDefault="005E2445" w:rsidP="002F59D1">
      <w:pPr>
        <w:pStyle w:val="Citas"/>
        <w:spacing w:before="0" w:after="0"/>
        <w:rPr>
          <w:b/>
          <w:lang w:val="es-ES" w:eastAsia="es-MX"/>
        </w:rPr>
      </w:pPr>
      <w:r w:rsidRPr="00F86EDD">
        <w:rPr>
          <w:b/>
          <w:lang w:val="es-ES" w:eastAsia="es-MX"/>
        </w:rPr>
        <w:t>“CONTROL CONSTITUCIONAL CONCENTRADO O DIFUSO. LAS AUTORIDADES ADMINISTRATIVAS NO ESTÁN FACULTADAS PARA REALIZARLO.</w:t>
      </w:r>
    </w:p>
    <w:p w14:paraId="3FFAB05B" w14:textId="77777777" w:rsidR="005E2445" w:rsidRPr="00F86EDD" w:rsidRDefault="005E2445" w:rsidP="002F59D1">
      <w:pPr>
        <w:pStyle w:val="Citas"/>
        <w:spacing w:before="0" w:after="0"/>
        <w:rPr>
          <w:lang w:val="es-ES" w:eastAsia="es-MX"/>
        </w:rPr>
      </w:pPr>
    </w:p>
    <w:p w14:paraId="0F4C7A17" w14:textId="4C645045" w:rsidR="005E2445" w:rsidRPr="00F86EDD" w:rsidRDefault="005E2445" w:rsidP="002F59D1">
      <w:pPr>
        <w:pStyle w:val="Citas"/>
        <w:spacing w:before="0" w:after="0"/>
        <w:rPr>
          <w:rFonts w:ascii="Times New Roman" w:hAnsi="Times New Roman" w:cs="Times New Roman"/>
          <w:sz w:val="24"/>
          <w:szCs w:val="24"/>
          <w:lang w:val="es-ES" w:eastAsia="es-MX"/>
        </w:rPr>
      </w:pPr>
      <w:r w:rsidRPr="00F86EDD">
        <w:rPr>
          <w:lang w:val="es-ES" w:eastAsia="es-MX"/>
        </w:rPr>
        <w:t>El artículo</w:t>
      </w:r>
      <w:r w:rsidR="008B7FA8">
        <w:rPr>
          <w:lang w:val="es-ES" w:eastAsia="es-MX"/>
        </w:rPr>
        <w:t xml:space="preserve"> </w:t>
      </w:r>
      <w:r w:rsidRPr="008B7FA8">
        <w:rPr>
          <w:lang w:val="es-ES" w:eastAsia="es-MX"/>
        </w:rPr>
        <w:t>1o. de la Constitución Política de los Estados Unidos Mexicanos</w:t>
      </w:r>
      <w:r w:rsidRPr="00F86EDD">
        <w:rPr>
          <w:lang w:val="es-ES" w:eastAsia="es-MX"/>
        </w:rPr>
        <w:t> establece que todas las autoridades, en el ámbito de sus competencias, deben cumplir con una serie de obligaciones en materia de derechos humanos. Sin embargo, en términos de la tesis </w:t>
      </w:r>
      <w:r w:rsidRPr="008B7FA8">
        <w:rPr>
          <w:lang w:val="es-ES" w:eastAsia="es-MX"/>
        </w:rPr>
        <w:t>P. LXIX/2011 (9a.)</w:t>
      </w:r>
      <w:r w:rsidR="008B7FA8">
        <w:rPr>
          <w:lang w:val="es-ES" w:eastAsia="es-MX"/>
        </w:rPr>
        <w:t xml:space="preserve"> </w:t>
      </w:r>
      <w:r w:rsidRPr="00F86EDD">
        <w:rPr>
          <w:lang w:val="es-ES" w:eastAsia="es-MX"/>
        </w:rPr>
        <w:t xml:space="preserve">(*), del Tribunal Pleno de la Suprema Corte de Justicia de la Nación, </w:t>
      </w:r>
      <w:r w:rsidRPr="00F86EDD">
        <w:rPr>
          <w:b/>
          <w:u w:val="single"/>
          <w:lang w:val="es-ES" w:eastAsia="es-MX"/>
        </w:rPr>
        <w:t>las autoridades administrativas no están facultadas para realizar algún tipo de control constitucional, sea concentrado o difuso; es decir, no pueden declarar la invalidez de un determinado precepto e inaplicarlo, ni siquiera bajo el argumento de una reparación de derechos humanos,</w:t>
      </w:r>
      <w:r w:rsidRPr="00F86EDD">
        <w:rPr>
          <w:lang w:val="es-ES" w:eastAsia="es-MX"/>
        </w:rPr>
        <w:t xml:space="preserve"> ya que ello implicaría desatender los requisitos de procedencia señalados por las leyes para interponer un medio de defensa, y que deben cumplirse de manera previa a un pronunciamiento de fondo del asunto. En todo caso, han de interpretar las disposiciones jurídicas en el sentido más favorable a las personas, pero sin que ello llegue a descuidar las facultades y funciones que deben desempeñar en atención a sus ámbitos competenciales. Aceptar lo contrario, generaría incertidumbre jurídica en franca contravención a otros </w:t>
      </w:r>
      <w:r w:rsidRPr="00F86EDD">
        <w:rPr>
          <w:lang w:val="es-ES" w:eastAsia="es-MX"/>
        </w:rPr>
        <w:lastRenderedPageBreak/>
        <w:t>derechos humanos como los de legalidad, debido proceso y seguridad jurídica, previstos en los artículos</w:t>
      </w:r>
      <w:r w:rsidR="008B7FA8">
        <w:rPr>
          <w:lang w:val="es-ES" w:eastAsia="es-MX"/>
        </w:rPr>
        <w:t xml:space="preserve"> </w:t>
      </w:r>
      <w:r w:rsidRPr="008B7FA8">
        <w:rPr>
          <w:lang w:val="es-ES" w:eastAsia="es-MX"/>
        </w:rPr>
        <w:t>14 y 16 constitucionales</w:t>
      </w:r>
      <w:r w:rsidRPr="00F86EDD">
        <w:rPr>
          <w:lang w:val="es-ES" w:eastAsia="es-MX"/>
        </w:rPr>
        <w:t>.</w:t>
      </w:r>
    </w:p>
    <w:p w14:paraId="03F46E78" w14:textId="77777777" w:rsidR="005E2445" w:rsidRPr="00F86EDD" w:rsidRDefault="005E2445" w:rsidP="002F59D1">
      <w:pPr>
        <w:pStyle w:val="Citas"/>
        <w:spacing w:before="0" w:after="0"/>
        <w:rPr>
          <w:lang w:val="es-ES" w:eastAsia="es-MX"/>
        </w:rPr>
      </w:pPr>
    </w:p>
    <w:p w14:paraId="533EA837" w14:textId="77777777" w:rsidR="005E2445" w:rsidRPr="00F86EDD" w:rsidRDefault="005E2445" w:rsidP="002F59D1">
      <w:pPr>
        <w:pStyle w:val="Citas"/>
        <w:spacing w:before="0" w:after="0"/>
        <w:rPr>
          <w:b/>
          <w:lang w:val="es-ES" w:eastAsia="es-MX"/>
        </w:rPr>
      </w:pPr>
      <w:r w:rsidRPr="00F86EDD">
        <w:rPr>
          <w:lang w:val="es-ES" w:eastAsia="es-MX"/>
        </w:rPr>
        <w:t xml:space="preserve">Amparo directo en revisión 1640/2014. Ramón Enrique Luque Félix. 13 de agosto de 2014. Unanimidad de cuatro votos de los Ministros Alberto Pérez Dayán, José Fernando Franco González Salas, Margarita Beatriz Luna Ramos y Luis María Aguilar Morales. Ausente: Sergio A. Valls Hernández. Ponente: José Fernando Franco González Salas. Secretarios: Maura Angélica Sanabria Martínez y Everardo Maya Arias.” </w:t>
      </w:r>
      <w:r w:rsidRPr="00F86EDD">
        <w:rPr>
          <w:b/>
          <w:lang w:val="es-ES" w:eastAsia="es-MX"/>
        </w:rPr>
        <w:t xml:space="preserve">[Sic] </w:t>
      </w:r>
    </w:p>
    <w:p w14:paraId="451A0D19" w14:textId="77777777" w:rsidR="00BC4DEE" w:rsidRDefault="00BC4DEE" w:rsidP="002F59D1">
      <w:pPr>
        <w:pStyle w:val="Citas"/>
        <w:spacing w:before="0" w:after="0"/>
        <w:ind w:left="0" w:right="-3"/>
        <w:rPr>
          <w:i w:val="0"/>
          <w:sz w:val="24"/>
          <w:lang w:val="es-ES"/>
        </w:rPr>
      </w:pPr>
    </w:p>
    <w:p w14:paraId="0BDDD16B" w14:textId="491578FC" w:rsidR="005E2445" w:rsidRPr="008B7FA8" w:rsidRDefault="005E2445" w:rsidP="002F59D1">
      <w:pPr>
        <w:pStyle w:val="Citas"/>
        <w:spacing w:before="0" w:after="0"/>
        <w:ind w:left="0" w:right="-3"/>
        <w:rPr>
          <w:i w:val="0"/>
          <w:sz w:val="24"/>
          <w:lang w:val="es-ES"/>
        </w:rPr>
      </w:pPr>
      <w:r w:rsidRPr="00F86EDD">
        <w:rPr>
          <w:i w:val="0"/>
          <w:sz w:val="24"/>
          <w:lang w:val="es-ES"/>
        </w:rPr>
        <w:t xml:space="preserve">Con base en lo anteriormente expuesto, a consideración de quien suscribe, en la resolución emitida se debió haber considerado que, </w:t>
      </w:r>
      <w:r w:rsidR="000D26DF">
        <w:rPr>
          <w:i w:val="0"/>
          <w:sz w:val="24"/>
          <w:lang w:val="es-ES"/>
        </w:rPr>
        <w:t>no existe</w:t>
      </w:r>
      <w:r w:rsidR="00D040F5">
        <w:rPr>
          <w:i w:val="0"/>
          <w:sz w:val="24"/>
          <w:lang w:val="es-ES"/>
        </w:rPr>
        <w:t xml:space="preserve"> motivo suficiente para exceptuarle del pago correspondiente a la expedición de las copias certificadas </w:t>
      </w:r>
      <w:r w:rsidRPr="00F86EDD">
        <w:rPr>
          <w:i w:val="0"/>
          <w:sz w:val="24"/>
          <w:lang w:val="es-ES"/>
        </w:rPr>
        <w:t xml:space="preserve">solicitadas, toda vez que este mismo así lo pidió en su solicitud de información, además de que es una obligación establecida por el Código Financiero, la Ley de Transparencia local y demás normatividad aplicable; lo cual, de no cumplirse, genera un perjuicio al </w:t>
      </w:r>
      <w:r w:rsidR="000D26DF">
        <w:rPr>
          <w:i w:val="0"/>
          <w:sz w:val="24"/>
          <w:lang w:val="es-ES"/>
        </w:rPr>
        <w:t>ente público</w:t>
      </w:r>
      <w:r w:rsidRPr="00F86EDD">
        <w:rPr>
          <w:i w:val="0"/>
          <w:sz w:val="24"/>
          <w:lang w:val="es-ES"/>
        </w:rPr>
        <w:t>, pues representa una fuente de ingreso con la que se pretende cubrir su gasto público y demás obligaciones.</w:t>
      </w:r>
    </w:p>
    <w:p w14:paraId="57B7AD77" w14:textId="77777777" w:rsidR="005E2445" w:rsidRPr="008B7FA8" w:rsidRDefault="005E2445" w:rsidP="008B7FA8">
      <w:pPr>
        <w:pStyle w:val="Citas"/>
        <w:spacing w:before="0" w:after="0"/>
        <w:ind w:left="0" w:right="-3"/>
        <w:rPr>
          <w:i w:val="0"/>
          <w:sz w:val="24"/>
          <w:lang w:val="es-ES"/>
        </w:rPr>
      </w:pPr>
    </w:p>
    <w:p w14:paraId="2EB6DDAA" w14:textId="1BDFA620" w:rsidR="008B7FA8" w:rsidRPr="000E5D43" w:rsidRDefault="001D4490" w:rsidP="008B7FA8">
      <w:pPr>
        <w:pStyle w:val="Citas"/>
        <w:spacing w:before="0" w:after="0"/>
        <w:ind w:left="0" w:right="-3"/>
        <w:rPr>
          <w:i w:val="0"/>
          <w:sz w:val="24"/>
          <w:lang w:val="es-ES"/>
        </w:rPr>
      </w:pPr>
      <w:r w:rsidRPr="000E5D43">
        <w:rPr>
          <w:b/>
          <w:i w:val="0"/>
          <w:sz w:val="24"/>
          <w:lang w:val="es-ES"/>
        </w:rPr>
        <w:t>II.</w:t>
      </w:r>
      <w:r w:rsidRPr="000E5D43">
        <w:rPr>
          <w:i w:val="0"/>
          <w:sz w:val="24"/>
          <w:lang w:val="es-ES"/>
        </w:rPr>
        <w:t xml:space="preserve"> </w:t>
      </w:r>
      <w:r w:rsidR="008B7FA8" w:rsidRPr="000E5D43">
        <w:rPr>
          <w:i w:val="0"/>
          <w:sz w:val="24"/>
          <w:lang w:val="es-ES"/>
        </w:rPr>
        <w:t>Ahora bien</w:t>
      </w:r>
      <w:r w:rsidRPr="000E5D43">
        <w:rPr>
          <w:i w:val="0"/>
          <w:sz w:val="24"/>
          <w:lang w:val="es-ES"/>
        </w:rPr>
        <w:t>,</w:t>
      </w:r>
      <w:r w:rsidR="008B7FA8" w:rsidRPr="000E5D43">
        <w:rPr>
          <w:i w:val="0"/>
          <w:sz w:val="24"/>
          <w:lang w:val="es-ES"/>
        </w:rPr>
        <w:t xml:space="preserve"> el artículo 174 de la Ley de Transparencia y Acceso a la Información Pública del Estado de México y Municipios,</w:t>
      </w:r>
      <w:r w:rsidRPr="000E5D43">
        <w:rPr>
          <w:i w:val="0"/>
          <w:sz w:val="24"/>
          <w:lang w:val="es-ES"/>
        </w:rPr>
        <w:t xml:space="preserve"> en su último párrafo </w:t>
      </w:r>
      <w:r w:rsidR="008B7FA8" w:rsidRPr="000E5D43">
        <w:rPr>
          <w:i w:val="0"/>
          <w:sz w:val="24"/>
          <w:lang w:val="es-ES"/>
        </w:rPr>
        <w:t>establece lo siguiente:</w:t>
      </w:r>
    </w:p>
    <w:p w14:paraId="544FB0A4" w14:textId="77777777" w:rsidR="008B7FA8" w:rsidRPr="000E5D43" w:rsidRDefault="008B7FA8" w:rsidP="008B7FA8">
      <w:pPr>
        <w:pStyle w:val="Citas"/>
        <w:spacing w:before="0" w:after="0"/>
        <w:ind w:left="0" w:right="-3"/>
        <w:rPr>
          <w:i w:val="0"/>
          <w:sz w:val="24"/>
          <w:lang w:val="es-ES"/>
        </w:rPr>
      </w:pPr>
    </w:p>
    <w:p w14:paraId="5EB3F2C5" w14:textId="77777777" w:rsidR="008B7FA8" w:rsidRPr="000E5D43" w:rsidRDefault="008B7FA8" w:rsidP="008B7FA8">
      <w:pPr>
        <w:pStyle w:val="Citas"/>
        <w:spacing w:before="0" w:after="0"/>
        <w:rPr>
          <w:lang w:val="es-ES" w:eastAsia="es-MX"/>
        </w:rPr>
      </w:pPr>
      <w:r w:rsidRPr="000E5D43">
        <w:rPr>
          <w:b/>
          <w:lang w:val="es-ES" w:eastAsia="es-MX"/>
        </w:rPr>
        <w:t>Artículo 174.</w:t>
      </w:r>
      <w:r w:rsidRPr="000E5D43">
        <w:rPr>
          <w:lang w:val="es-ES" w:eastAsia="es-MX"/>
        </w:rPr>
        <w:t xml:space="preserve"> En caso de existir costos para obtener la información deberán cubrirse de manera previa a la entrega y no podrán ser superiores a la suma de:</w:t>
      </w:r>
    </w:p>
    <w:p w14:paraId="7946D6C5" w14:textId="23078729" w:rsidR="001D4490" w:rsidRPr="000E5D43" w:rsidRDefault="001D4490" w:rsidP="008B7FA8">
      <w:pPr>
        <w:pStyle w:val="Citas"/>
        <w:spacing w:before="0" w:after="0"/>
        <w:rPr>
          <w:lang w:val="es-ES" w:eastAsia="es-MX"/>
        </w:rPr>
      </w:pPr>
      <w:r w:rsidRPr="000E5D43">
        <w:rPr>
          <w:b/>
          <w:lang w:val="es-ES" w:eastAsia="es-MX"/>
        </w:rPr>
        <w:t>…</w:t>
      </w:r>
    </w:p>
    <w:p w14:paraId="58637644" w14:textId="43929BFA" w:rsidR="001D4490" w:rsidRPr="000E5D43" w:rsidRDefault="001D4490" w:rsidP="001D4490">
      <w:pPr>
        <w:pStyle w:val="Citas"/>
        <w:spacing w:before="0" w:after="0"/>
        <w:rPr>
          <w:lang w:val="es-ES" w:eastAsia="es-MX"/>
        </w:rPr>
      </w:pPr>
      <w:r w:rsidRPr="000E5D43">
        <w:rPr>
          <w:lang w:val="es-ES" w:eastAsia="es-MX"/>
        </w:rPr>
        <w:t xml:space="preserve">La información deberá ser entregada sin costo, cuando implique la entrega de no más de veinte </w:t>
      </w:r>
      <w:r w:rsidRPr="000E5D43">
        <w:rPr>
          <w:b/>
          <w:u w:val="single"/>
          <w:lang w:val="es-ES" w:eastAsia="es-MX"/>
        </w:rPr>
        <w:t>hojas simples</w:t>
      </w:r>
      <w:r w:rsidRPr="000E5D43">
        <w:rPr>
          <w:lang w:val="es-ES" w:eastAsia="es-MX"/>
        </w:rPr>
        <w:t>. Las unidades de transparencia podrán exceptuar el pago de reproducción y envío atendiendo a las circunstancias socioeconómicas del solicitante, en términos de los lineamientos que expida el Instituto.” (énfasis añadido)</w:t>
      </w:r>
    </w:p>
    <w:p w14:paraId="60E57B31" w14:textId="77777777" w:rsidR="008B7FA8" w:rsidRPr="000E5D43" w:rsidRDefault="008B7FA8" w:rsidP="008B7FA8">
      <w:pPr>
        <w:pStyle w:val="Citas"/>
        <w:spacing w:before="0" w:after="0"/>
        <w:ind w:left="0" w:right="-3"/>
        <w:rPr>
          <w:i w:val="0"/>
          <w:sz w:val="24"/>
          <w:lang w:val="es-ES"/>
        </w:rPr>
      </w:pPr>
    </w:p>
    <w:p w14:paraId="38628658" w14:textId="72BED6DD" w:rsidR="008B7FA8" w:rsidRPr="008B7FA8" w:rsidRDefault="001D4490" w:rsidP="008B7FA8">
      <w:pPr>
        <w:pStyle w:val="Citas"/>
        <w:spacing w:before="0" w:after="0"/>
        <w:ind w:left="0" w:right="-3"/>
        <w:rPr>
          <w:i w:val="0"/>
          <w:sz w:val="24"/>
          <w:lang w:val="es-ES"/>
        </w:rPr>
      </w:pPr>
      <w:r w:rsidRPr="000E5D43">
        <w:rPr>
          <w:i w:val="0"/>
          <w:sz w:val="24"/>
          <w:lang w:val="es-ES"/>
        </w:rPr>
        <w:t>Como podemos apreciar el texto legal es muy claro, hace referencia a la gratui</w:t>
      </w:r>
      <w:r w:rsidR="00D05F61" w:rsidRPr="000E5D43">
        <w:rPr>
          <w:i w:val="0"/>
          <w:sz w:val="24"/>
          <w:lang w:val="es-ES"/>
        </w:rPr>
        <w:t xml:space="preserve">dad </w:t>
      </w:r>
      <w:r w:rsidR="00990D95" w:rsidRPr="000E5D43">
        <w:rPr>
          <w:i w:val="0"/>
          <w:sz w:val="24"/>
          <w:lang w:val="es-ES"/>
        </w:rPr>
        <w:t>de no más de veinte hojas simples, y no es que del proceso legislativo se hayan olvidado de incluir la palabra “</w:t>
      </w:r>
      <w:r w:rsidR="00990D95" w:rsidRPr="000E5D43">
        <w:rPr>
          <w:sz w:val="24"/>
          <w:lang w:val="es-ES"/>
        </w:rPr>
        <w:t>y certificadas</w:t>
      </w:r>
      <w:r w:rsidR="00990D95" w:rsidRPr="000E5D43">
        <w:rPr>
          <w:i w:val="0"/>
          <w:sz w:val="24"/>
          <w:lang w:val="es-ES"/>
        </w:rPr>
        <w:t>” por error y que debería seguir después de la palabra “</w:t>
      </w:r>
      <w:r w:rsidR="00990D95" w:rsidRPr="000E5D43">
        <w:rPr>
          <w:sz w:val="24"/>
          <w:lang w:val="es-ES"/>
        </w:rPr>
        <w:t>simples</w:t>
      </w:r>
      <w:r w:rsidR="00990D95" w:rsidRPr="000E5D43">
        <w:rPr>
          <w:i w:val="0"/>
          <w:sz w:val="24"/>
          <w:lang w:val="es-ES"/>
        </w:rPr>
        <w:t>”, fue voluntad del legislador omitir la palabra “</w:t>
      </w:r>
      <w:r w:rsidR="00990D95" w:rsidRPr="000E5D43">
        <w:rPr>
          <w:sz w:val="24"/>
          <w:lang w:val="es-ES"/>
        </w:rPr>
        <w:t>y certificadas</w:t>
      </w:r>
      <w:r w:rsidR="00990D95" w:rsidRPr="000E5D43">
        <w:rPr>
          <w:i w:val="0"/>
          <w:sz w:val="24"/>
          <w:lang w:val="es-ES"/>
        </w:rPr>
        <w:t>”, porque por ellas si se debe pagar, el principio general del derecho que reza: “</w:t>
      </w:r>
      <w:r w:rsidR="00990D95" w:rsidRPr="000E5D43">
        <w:rPr>
          <w:sz w:val="24"/>
          <w:lang w:val="es-ES"/>
        </w:rPr>
        <w:t>donde la ley no distingue no cabe distinguir</w:t>
      </w:r>
      <w:r w:rsidR="00990D95" w:rsidRPr="000E5D43">
        <w:rPr>
          <w:i w:val="0"/>
          <w:sz w:val="24"/>
          <w:lang w:val="es-ES"/>
        </w:rPr>
        <w:t>” aplica en el presente caso a contrario sensu, la ley textualmente si hace la distinción</w:t>
      </w:r>
      <w:r w:rsidR="00046DC2" w:rsidRPr="000E5D43">
        <w:rPr>
          <w:i w:val="0"/>
          <w:sz w:val="24"/>
          <w:lang w:val="es-ES"/>
        </w:rPr>
        <w:t>,</w:t>
      </w:r>
      <w:r w:rsidR="00990D95" w:rsidRPr="000E5D43">
        <w:rPr>
          <w:i w:val="0"/>
          <w:sz w:val="24"/>
          <w:lang w:val="es-ES"/>
        </w:rPr>
        <w:t xml:space="preserve"> sólo</w:t>
      </w:r>
      <w:r w:rsidR="00046DC2" w:rsidRPr="000E5D43">
        <w:rPr>
          <w:i w:val="0"/>
          <w:sz w:val="24"/>
          <w:lang w:val="es-ES"/>
        </w:rPr>
        <w:t xml:space="preserve"> se</w:t>
      </w:r>
      <w:r w:rsidR="00990D95" w:rsidRPr="000E5D43">
        <w:rPr>
          <w:i w:val="0"/>
          <w:sz w:val="24"/>
          <w:lang w:val="es-ES"/>
        </w:rPr>
        <w:t xml:space="preserve"> refiere a las hojas simples, de forma categórica está establecido en el texto legal</w:t>
      </w:r>
      <w:r w:rsidR="00046DC2" w:rsidRPr="000E5D43">
        <w:rPr>
          <w:i w:val="0"/>
          <w:sz w:val="24"/>
          <w:lang w:val="es-ES"/>
        </w:rPr>
        <w:t>;</w:t>
      </w:r>
      <w:r w:rsidR="00990D95" w:rsidRPr="000E5D43">
        <w:rPr>
          <w:i w:val="0"/>
          <w:sz w:val="24"/>
          <w:lang w:val="es-ES"/>
        </w:rPr>
        <w:t xml:space="preserve"> </w:t>
      </w:r>
      <w:r w:rsidR="00046DC2" w:rsidRPr="000E5D43">
        <w:rPr>
          <w:i w:val="0"/>
          <w:sz w:val="24"/>
          <w:lang w:val="es-ES"/>
        </w:rPr>
        <w:t>interpretar que por homologación también deben ser gratis las primeras veinte hojas certificadas, es aseverar que la intención del legislador si era colocar la palabra “</w:t>
      </w:r>
      <w:r w:rsidR="00046DC2" w:rsidRPr="000E5D43">
        <w:rPr>
          <w:sz w:val="24"/>
          <w:lang w:val="es-ES"/>
        </w:rPr>
        <w:t>y certificadas</w:t>
      </w:r>
      <w:r w:rsidR="00046DC2" w:rsidRPr="000E5D43">
        <w:rPr>
          <w:i w:val="0"/>
          <w:sz w:val="24"/>
          <w:lang w:val="es-ES"/>
        </w:rPr>
        <w:t xml:space="preserve">” pero se les olvido ponerlo, el criterio del INAI no es de observancia obligatoria, </w:t>
      </w:r>
      <w:r w:rsidR="00DC77E6" w:rsidRPr="000E5D43">
        <w:rPr>
          <w:i w:val="0"/>
          <w:sz w:val="24"/>
          <w:lang w:val="es-ES"/>
        </w:rPr>
        <w:t>pero si la observancia de la Ley, y esta sólo contempla las hojas simples.</w:t>
      </w:r>
    </w:p>
    <w:p w14:paraId="4C549C7A" w14:textId="77777777" w:rsidR="008B7FA8" w:rsidRPr="008B7FA8" w:rsidRDefault="008B7FA8" w:rsidP="008B7FA8">
      <w:pPr>
        <w:pStyle w:val="Citas"/>
        <w:spacing w:before="0" w:after="0"/>
        <w:ind w:left="0" w:right="-3"/>
        <w:rPr>
          <w:i w:val="0"/>
          <w:sz w:val="24"/>
          <w:lang w:val="es-ES"/>
        </w:rPr>
      </w:pPr>
    </w:p>
    <w:p w14:paraId="5489F67D" w14:textId="21CF551D" w:rsidR="006342FD" w:rsidRPr="008B7FA8" w:rsidRDefault="005E2445" w:rsidP="008B7FA8">
      <w:pPr>
        <w:pStyle w:val="Citas"/>
        <w:spacing w:before="0" w:after="0"/>
        <w:ind w:left="0" w:right="-3"/>
        <w:rPr>
          <w:i w:val="0"/>
          <w:sz w:val="24"/>
          <w:lang w:val="es-ES"/>
        </w:rPr>
      </w:pPr>
      <w:r w:rsidRPr="008B7FA8">
        <w:rPr>
          <w:i w:val="0"/>
          <w:sz w:val="24"/>
          <w:lang w:val="es-ES"/>
        </w:rPr>
        <w:t>En conclusión, este voto particular se emite con la intención de que se tome en cuenta que exceptuar a los particulares del pago de los derechos en favor de los sujetos obligados establecidos en la normatividad aplicable, tiene como consecuencia un menoscabo en el ingreso de éstos últimos, pues no solo se produce un perjuicio a los sujetos obligados, sino que se les obliga a cubrir con sus propios recursos los costos generados por los servicios que se le solicitó, en el caso en concreto, la expedición de copias certificadas, generando en consecuencia, un detrimento al erario público</w:t>
      </w:r>
      <w:r w:rsidR="00BC4DEE" w:rsidRPr="008B7FA8">
        <w:rPr>
          <w:i w:val="0"/>
          <w:sz w:val="24"/>
          <w:lang w:val="es-ES"/>
        </w:rPr>
        <w:t>.</w:t>
      </w:r>
    </w:p>
    <w:p w14:paraId="08E003E4" w14:textId="77777777" w:rsidR="00DC77E6" w:rsidRDefault="00DC77E6" w:rsidP="002F59D1">
      <w:pPr>
        <w:spacing w:after="0" w:line="360" w:lineRule="auto"/>
        <w:contextualSpacing/>
        <w:jc w:val="both"/>
        <w:rPr>
          <w:rFonts w:ascii="Palatino Linotype" w:hAnsi="Palatino Linotype"/>
          <w:sz w:val="24"/>
          <w:lang w:val="es-ES"/>
        </w:rPr>
      </w:pPr>
    </w:p>
    <w:p w14:paraId="3C86A5E4" w14:textId="0336E781" w:rsidR="005E2445" w:rsidRPr="006342FD" w:rsidRDefault="002F59D1" w:rsidP="002F59D1">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w:t>
      </w:r>
      <w:r w:rsidR="00D040F5">
        <w:rPr>
          <w:rFonts w:ascii="Palatino Linotype" w:hAnsi="Palatino Linotype"/>
          <w:sz w:val="16"/>
          <w:szCs w:val="14"/>
          <w:lang w:val="es-ES"/>
        </w:rPr>
        <w:t>CCR/</w:t>
      </w:r>
      <w:r>
        <w:rPr>
          <w:rFonts w:ascii="Palatino Linotype" w:hAnsi="Palatino Linotype"/>
          <w:sz w:val="16"/>
          <w:szCs w:val="14"/>
          <w:lang w:val="es-ES"/>
        </w:rPr>
        <w:t>ROA</w:t>
      </w:r>
    </w:p>
    <w:p w14:paraId="1496F8BE" w14:textId="3DB61C2D" w:rsidR="005E2445" w:rsidRDefault="005E2445" w:rsidP="002F59D1">
      <w:pPr>
        <w:spacing w:after="0" w:line="360" w:lineRule="auto"/>
        <w:contextualSpacing/>
        <w:jc w:val="both"/>
        <w:rPr>
          <w:rFonts w:ascii="Palatino Linotype" w:hAnsi="Palatino Linotype"/>
          <w:sz w:val="24"/>
          <w:szCs w:val="24"/>
          <w:lang w:val="es-ES"/>
        </w:rPr>
      </w:pPr>
    </w:p>
    <w:p w14:paraId="00D41C05" w14:textId="77777777" w:rsidR="006342FD" w:rsidRDefault="006342FD" w:rsidP="002F59D1">
      <w:pPr>
        <w:spacing w:after="0" w:line="360" w:lineRule="auto"/>
        <w:contextualSpacing/>
        <w:jc w:val="both"/>
        <w:rPr>
          <w:rFonts w:ascii="Palatino Linotype" w:hAnsi="Palatino Linotype"/>
          <w:sz w:val="24"/>
          <w:szCs w:val="24"/>
          <w:lang w:val="es-ES"/>
        </w:rPr>
      </w:pPr>
    </w:p>
    <w:p w14:paraId="58485A4D" w14:textId="77777777" w:rsidR="00D040F5" w:rsidRDefault="00D040F5" w:rsidP="002F59D1">
      <w:pPr>
        <w:spacing w:after="0" w:line="360" w:lineRule="auto"/>
        <w:contextualSpacing/>
        <w:jc w:val="both"/>
        <w:rPr>
          <w:rFonts w:ascii="Palatino Linotype" w:hAnsi="Palatino Linotype"/>
          <w:sz w:val="24"/>
          <w:szCs w:val="24"/>
          <w:lang w:val="es-ES"/>
        </w:rPr>
      </w:pPr>
    </w:p>
    <w:p w14:paraId="6ABD1523" w14:textId="77777777" w:rsidR="00D040F5" w:rsidRDefault="00D040F5" w:rsidP="002F59D1">
      <w:pPr>
        <w:spacing w:after="0" w:line="360" w:lineRule="auto"/>
        <w:contextualSpacing/>
        <w:jc w:val="both"/>
        <w:rPr>
          <w:rFonts w:ascii="Palatino Linotype" w:hAnsi="Palatino Linotype"/>
          <w:sz w:val="24"/>
          <w:szCs w:val="24"/>
          <w:lang w:val="es-ES"/>
        </w:rPr>
      </w:pPr>
    </w:p>
    <w:p w14:paraId="72E0BF65" w14:textId="77777777" w:rsidR="00D040F5" w:rsidRDefault="00D040F5" w:rsidP="002F59D1">
      <w:pPr>
        <w:spacing w:after="0" w:line="360" w:lineRule="auto"/>
        <w:contextualSpacing/>
        <w:jc w:val="both"/>
        <w:rPr>
          <w:rFonts w:ascii="Palatino Linotype" w:hAnsi="Palatino Linotype"/>
          <w:sz w:val="24"/>
          <w:szCs w:val="24"/>
          <w:lang w:val="es-ES"/>
        </w:rPr>
      </w:pPr>
    </w:p>
    <w:p w14:paraId="331B842C" w14:textId="77777777" w:rsidR="00D040F5" w:rsidRDefault="00D040F5" w:rsidP="002F59D1">
      <w:pPr>
        <w:spacing w:after="0" w:line="360" w:lineRule="auto"/>
        <w:contextualSpacing/>
        <w:jc w:val="both"/>
        <w:rPr>
          <w:rFonts w:ascii="Palatino Linotype" w:hAnsi="Palatino Linotype"/>
          <w:sz w:val="24"/>
          <w:szCs w:val="24"/>
          <w:lang w:val="es-ES"/>
        </w:rPr>
      </w:pPr>
    </w:p>
    <w:p w14:paraId="41AA56D7" w14:textId="77777777" w:rsidR="00D040F5" w:rsidRDefault="00D040F5" w:rsidP="002F59D1">
      <w:pPr>
        <w:spacing w:after="0" w:line="360" w:lineRule="auto"/>
        <w:contextualSpacing/>
        <w:jc w:val="both"/>
        <w:rPr>
          <w:rFonts w:ascii="Palatino Linotype" w:hAnsi="Palatino Linotype"/>
          <w:sz w:val="24"/>
          <w:szCs w:val="24"/>
          <w:lang w:val="es-ES"/>
        </w:rPr>
      </w:pPr>
    </w:p>
    <w:p w14:paraId="3ED23B31" w14:textId="77777777" w:rsidR="00D040F5" w:rsidRDefault="00D040F5" w:rsidP="002F59D1">
      <w:pPr>
        <w:spacing w:after="0" w:line="360" w:lineRule="auto"/>
        <w:contextualSpacing/>
        <w:jc w:val="both"/>
        <w:rPr>
          <w:rFonts w:ascii="Palatino Linotype" w:hAnsi="Palatino Linotype"/>
          <w:sz w:val="24"/>
          <w:szCs w:val="24"/>
          <w:lang w:val="es-ES"/>
        </w:rPr>
      </w:pPr>
    </w:p>
    <w:p w14:paraId="22358C69" w14:textId="77777777" w:rsidR="00D040F5" w:rsidRDefault="00D040F5" w:rsidP="002F59D1">
      <w:pPr>
        <w:spacing w:after="0" w:line="360" w:lineRule="auto"/>
        <w:contextualSpacing/>
        <w:jc w:val="both"/>
        <w:rPr>
          <w:rFonts w:ascii="Palatino Linotype" w:hAnsi="Palatino Linotype"/>
          <w:sz w:val="24"/>
          <w:szCs w:val="24"/>
          <w:lang w:val="es-ES"/>
        </w:rPr>
      </w:pPr>
    </w:p>
    <w:p w14:paraId="7B58682A" w14:textId="77777777" w:rsidR="00D040F5" w:rsidRDefault="00D040F5" w:rsidP="002F59D1">
      <w:pPr>
        <w:spacing w:after="0" w:line="360" w:lineRule="auto"/>
        <w:contextualSpacing/>
        <w:jc w:val="both"/>
        <w:rPr>
          <w:rFonts w:ascii="Palatino Linotype" w:hAnsi="Palatino Linotype"/>
          <w:sz w:val="24"/>
          <w:szCs w:val="24"/>
          <w:lang w:val="es-ES"/>
        </w:rPr>
      </w:pPr>
    </w:p>
    <w:p w14:paraId="09A1132A" w14:textId="77777777" w:rsidR="00D040F5" w:rsidRDefault="00D040F5" w:rsidP="002F59D1">
      <w:pPr>
        <w:spacing w:after="0" w:line="360" w:lineRule="auto"/>
        <w:contextualSpacing/>
        <w:jc w:val="both"/>
        <w:rPr>
          <w:rFonts w:ascii="Palatino Linotype" w:hAnsi="Palatino Linotype"/>
          <w:sz w:val="24"/>
          <w:szCs w:val="24"/>
          <w:lang w:val="es-ES"/>
        </w:rPr>
      </w:pPr>
    </w:p>
    <w:p w14:paraId="0368E823" w14:textId="77777777" w:rsidR="00D040F5" w:rsidRDefault="00D040F5" w:rsidP="002F59D1">
      <w:pPr>
        <w:spacing w:after="0" w:line="360" w:lineRule="auto"/>
        <w:contextualSpacing/>
        <w:jc w:val="both"/>
        <w:rPr>
          <w:rFonts w:ascii="Palatino Linotype" w:hAnsi="Palatino Linotype"/>
          <w:sz w:val="24"/>
          <w:szCs w:val="24"/>
          <w:lang w:val="es-ES"/>
        </w:rPr>
      </w:pPr>
    </w:p>
    <w:p w14:paraId="6A9E2AD4" w14:textId="77777777" w:rsidR="00D040F5" w:rsidRDefault="00D040F5" w:rsidP="002F59D1">
      <w:pPr>
        <w:spacing w:after="0" w:line="360" w:lineRule="auto"/>
        <w:contextualSpacing/>
        <w:jc w:val="both"/>
        <w:rPr>
          <w:rFonts w:ascii="Palatino Linotype" w:hAnsi="Palatino Linotype"/>
          <w:sz w:val="24"/>
          <w:szCs w:val="24"/>
          <w:lang w:val="es-ES"/>
        </w:rPr>
      </w:pPr>
    </w:p>
    <w:p w14:paraId="50DDF5FC" w14:textId="77777777" w:rsidR="00D040F5" w:rsidRDefault="00D040F5" w:rsidP="002F59D1">
      <w:pPr>
        <w:spacing w:after="0" w:line="360" w:lineRule="auto"/>
        <w:contextualSpacing/>
        <w:jc w:val="both"/>
        <w:rPr>
          <w:rFonts w:ascii="Palatino Linotype" w:hAnsi="Palatino Linotype"/>
          <w:sz w:val="24"/>
          <w:szCs w:val="24"/>
          <w:lang w:val="es-ES"/>
        </w:rPr>
      </w:pPr>
    </w:p>
    <w:p w14:paraId="6E329EC2" w14:textId="77777777" w:rsidR="00D040F5" w:rsidRDefault="00D040F5" w:rsidP="002F59D1">
      <w:pPr>
        <w:spacing w:after="0" w:line="360" w:lineRule="auto"/>
        <w:contextualSpacing/>
        <w:jc w:val="both"/>
        <w:rPr>
          <w:rFonts w:ascii="Palatino Linotype" w:hAnsi="Palatino Linotype"/>
          <w:sz w:val="24"/>
          <w:szCs w:val="24"/>
          <w:lang w:val="es-ES"/>
        </w:rPr>
      </w:pPr>
    </w:p>
    <w:p w14:paraId="27016CFE" w14:textId="77777777" w:rsidR="00D040F5" w:rsidRDefault="00D040F5" w:rsidP="002F59D1">
      <w:pPr>
        <w:spacing w:after="0" w:line="360" w:lineRule="auto"/>
        <w:contextualSpacing/>
        <w:jc w:val="both"/>
        <w:rPr>
          <w:rFonts w:ascii="Palatino Linotype" w:hAnsi="Palatino Linotype"/>
          <w:sz w:val="24"/>
          <w:szCs w:val="24"/>
          <w:lang w:val="es-ES"/>
        </w:rPr>
      </w:pPr>
    </w:p>
    <w:p w14:paraId="7CBF1121" w14:textId="77777777" w:rsidR="00D040F5" w:rsidRDefault="00D040F5" w:rsidP="002F59D1">
      <w:pPr>
        <w:spacing w:after="0" w:line="360" w:lineRule="auto"/>
        <w:contextualSpacing/>
        <w:jc w:val="both"/>
        <w:rPr>
          <w:rFonts w:ascii="Palatino Linotype" w:hAnsi="Palatino Linotype"/>
          <w:sz w:val="24"/>
          <w:szCs w:val="24"/>
          <w:lang w:val="es-ES"/>
        </w:rPr>
      </w:pPr>
    </w:p>
    <w:p w14:paraId="49011C6B" w14:textId="77777777" w:rsidR="00D040F5" w:rsidRDefault="00D040F5" w:rsidP="002F59D1">
      <w:pPr>
        <w:spacing w:after="0" w:line="360" w:lineRule="auto"/>
        <w:contextualSpacing/>
        <w:jc w:val="both"/>
        <w:rPr>
          <w:rFonts w:ascii="Palatino Linotype" w:hAnsi="Palatino Linotype"/>
          <w:sz w:val="24"/>
          <w:szCs w:val="24"/>
          <w:lang w:val="es-ES"/>
        </w:rPr>
      </w:pPr>
    </w:p>
    <w:p w14:paraId="4AAC1168" w14:textId="77777777" w:rsidR="00D040F5" w:rsidRDefault="00D040F5" w:rsidP="002F59D1">
      <w:pPr>
        <w:spacing w:after="0" w:line="360" w:lineRule="auto"/>
        <w:contextualSpacing/>
        <w:jc w:val="both"/>
        <w:rPr>
          <w:rFonts w:ascii="Palatino Linotype" w:hAnsi="Palatino Linotype"/>
          <w:sz w:val="24"/>
          <w:szCs w:val="24"/>
          <w:lang w:val="es-ES"/>
        </w:rPr>
      </w:pPr>
    </w:p>
    <w:p w14:paraId="4624A922" w14:textId="77777777" w:rsidR="00D040F5" w:rsidRDefault="00D040F5" w:rsidP="002F59D1">
      <w:pPr>
        <w:spacing w:after="0" w:line="360" w:lineRule="auto"/>
        <w:contextualSpacing/>
        <w:jc w:val="both"/>
        <w:rPr>
          <w:rFonts w:ascii="Palatino Linotype" w:hAnsi="Palatino Linotype"/>
          <w:sz w:val="24"/>
          <w:szCs w:val="24"/>
          <w:lang w:val="es-ES"/>
        </w:rPr>
      </w:pPr>
    </w:p>
    <w:p w14:paraId="07795BD7" w14:textId="77777777" w:rsidR="00D040F5" w:rsidRDefault="00D040F5" w:rsidP="002F59D1">
      <w:pPr>
        <w:spacing w:after="0" w:line="360" w:lineRule="auto"/>
        <w:contextualSpacing/>
        <w:jc w:val="both"/>
        <w:rPr>
          <w:rFonts w:ascii="Palatino Linotype" w:hAnsi="Palatino Linotype"/>
          <w:sz w:val="24"/>
          <w:szCs w:val="24"/>
          <w:lang w:val="es-ES"/>
        </w:rPr>
      </w:pPr>
    </w:p>
    <w:p w14:paraId="55C4FC74" w14:textId="77777777" w:rsidR="00D040F5" w:rsidRDefault="00D040F5" w:rsidP="002F59D1">
      <w:pPr>
        <w:spacing w:after="0" w:line="360" w:lineRule="auto"/>
        <w:contextualSpacing/>
        <w:jc w:val="both"/>
        <w:rPr>
          <w:rFonts w:ascii="Palatino Linotype" w:hAnsi="Palatino Linotype"/>
          <w:sz w:val="24"/>
          <w:szCs w:val="24"/>
          <w:lang w:val="es-ES"/>
        </w:rPr>
      </w:pPr>
    </w:p>
    <w:p w14:paraId="0115D492" w14:textId="77777777" w:rsidR="00D040F5" w:rsidRDefault="00D040F5" w:rsidP="002F59D1">
      <w:pPr>
        <w:spacing w:after="0" w:line="360" w:lineRule="auto"/>
        <w:contextualSpacing/>
        <w:jc w:val="both"/>
        <w:rPr>
          <w:rFonts w:ascii="Palatino Linotype" w:hAnsi="Palatino Linotype"/>
          <w:sz w:val="24"/>
          <w:szCs w:val="24"/>
          <w:lang w:val="es-ES"/>
        </w:rPr>
      </w:pPr>
    </w:p>
    <w:p w14:paraId="3D88A421" w14:textId="77777777" w:rsidR="00D040F5" w:rsidRPr="00F86EDD" w:rsidRDefault="00D040F5" w:rsidP="002F59D1">
      <w:pPr>
        <w:spacing w:after="0" w:line="360" w:lineRule="auto"/>
        <w:contextualSpacing/>
        <w:jc w:val="both"/>
        <w:rPr>
          <w:rFonts w:ascii="Palatino Linotype" w:hAnsi="Palatino Linotype"/>
          <w:sz w:val="24"/>
          <w:szCs w:val="24"/>
          <w:lang w:val="es-ES"/>
        </w:rPr>
      </w:pPr>
    </w:p>
    <w:sectPr w:rsidR="00D040F5" w:rsidRPr="00F86EDD" w:rsidSect="00DD7AD0">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8EC64" w14:textId="77777777" w:rsidR="00494EB2" w:rsidRDefault="00494EB2" w:rsidP="004C1443">
      <w:pPr>
        <w:spacing w:after="0" w:line="240" w:lineRule="auto"/>
      </w:pPr>
      <w:r>
        <w:separator/>
      </w:r>
    </w:p>
  </w:endnote>
  <w:endnote w:type="continuationSeparator" w:id="0">
    <w:p w14:paraId="5D5EADD0" w14:textId="77777777" w:rsidR="00494EB2" w:rsidRDefault="00494EB2"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845704"/>
      <w:docPartObj>
        <w:docPartGallery w:val="Page Numbers (Bottom of Page)"/>
        <w:docPartUnique/>
      </w:docPartObj>
    </w:sdtPr>
    <w:sdtEndPr/>
    <w:sdtContent>
      <w:sdt>
        <w:sdtPr>
          <w:id w:val="-1769616900"/>
          <w:docPartObj>
            <w:docPartGallery w:val="Page Numbers (Top of Page)"/>
            <w:docPartUnique/>
          </w:docPartObj>
        </w:sdtPr>
        <w:sdtEndPr/>
        <w:sdtContent>
          <w:p w14:paraId="4DD16E3F" w14:textId="77777777" w:rsidR="0071133A" w:rsidRDefault="0071133A">
            <w:pPr>
              <w:pStyle w:val="Piedepgina"/>
              <w:jc w:val="right"/>
            </w:pPr>
            <w:r>
              <w:t xml:space="preserve">Página </w:t>
            </w:r>
            <w:r>
              <w:rPr>
                <w:b/>
                <w:bCs/>
              </w:rPr>
              <w:fldChar w:fldCharType="begin"/>
            </w:r>
            <w:r>
              <w:rPr>
                <w:b/>
                <w:bCs/>
              </w:rPr>
              <w:instrText>PAGE</w:instrText>
            </w:r>
            <w:r>
              <w:rPr>
                <w:b/>
                <w:bCs/>
              </w:rPr>
              <w:fldChar w:fldCharType="separate"/>
            </w:r>
            <w:r w:rsidR="00534845">
              <w:rPr>
                <w:b/>
                <w:bCs/>
                <w:noProof/>
              </w:rPr>
              <w:t>2</w:t>
            </w:r>
            <w:r>
              <w:rPr>
                <w:b/>
                <w:bCs/>
              </w:rPr>
              <w:fldChar w:fldCharType="end"/>
            </w:r>
            <w:r>
              <w:t xml:space="preserve"> de </w:t>
            </w:r>
            <w:r>
              <w:rPr>
                <w:b/>
                <w:bCs/>
              </w:rPr>
              <w:fldChar w:fldCharType="begin"/>
            </w:r>
            <w:r>
              <w:rPr>
                <w:b/>
                <w:bCs/>
              </w:rPr>
              <w:instrText>NUMPAGES</w:instrText>
            </w:r>
            <w:r>
              <w:rPr>
                <w:b/>
                <w:bCs/>
              </w:rPr>
              <w:fldChar w:fldCharType="separate"/>
            </w:r>
            <w:r w:rsidR="00534845">
              <w:rPr>
                <w:b/>
                <w:bCs/>
                <w:noProof/>
              </w:rPr>
              <w:t>18</w:t>
            </w:r>
            <w:r>
              <w:rPr>
                <w:b/>
                <w:bCs/>
              </w:rPr>
              <w:fldChar w:fldCharType="end"/>
            </w:r>
          </w:p>
        </w:sdtContent>
      </w:sdt>
    </w:sdtContent>
  </w:sdt>
  <w:p w14:paraId="767F3B2E" w14:textId="77777777" w:rsidR="00DD7AD0" w:rsidRDefault="00494EB2" w:rsidP="00DD7AD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2F5C0" w14:textId="77777777" w:rsidR="00494EB2" w:rsidRDefault="00494EB2" w:rsidP="004C1443">
      <w:pPr>
        <w:spacing w:after="0" w:line="240" w:lineRule="auto"/>
      </w:pPr>
      <w:r>
        <w:separator/>
      </w:r>
    </w:p>
  </w:footnote>
  <w:footnote w:type="continuationSeparator" w:id="0">
    <w:p w14:paraId="1D6CC336" w14:textId="77777777" w:rsidR="00494EB2" w:rsidRDefault="00494EB2" w:rsidP="004C1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E2612" w14:textId="77777777" w:rsidR="006342FD" w:rsidRDefault="006342FD" w:rsidP="00DD7AD0">
    <w:pPr>
      <w:pStyle w:val="Encabezado"/>
      <w:jc w:val="right"/>
      <w:rPr>
        <w:rFonts w:ascii="Arial" w:hAnsi="Arial" w:cs="Arial"/>
        <w:sz w:val="20"/>
        <w:szCs w:val="20"/>
      </w:rPr>
    </w:pPr>
  </w:p>
  <w:p w14:paraId="32DC21EA" w14:textId="4BD6B290" w:rsidR="00DD7AD0" w:rsidRDefault="00494EB2" w:rsidP="00DD7AD0">
    <w:pPr>
      <w:pStyle w:val="Encabezado"/>
      <w:jc w:val="right"/>
      <w:rPr>
        <w:rFonts w:ascii="Arial" w:hAnsi="Arial" w:cs="Arial"/>
        <w:sz w:val="20"/>
        <w:szCs w:val="20"/>
      </w:rPr>
    </w:pPr>
    <w:sdt>
      <w:sdtPr>
        <w:rPr>
          <w:rFonts w:ascii="Arial" w:hAnsi="Arial" w:cs="Arial"/>
          <w:sz w:val="20"/>
          <w:szCs w:val="20"/>
        </w:rPr>
        <w:id w:val="-1325277044"/>
        <w:docPartObj>
          <w:docPartGallery w:val="Watermarks"/>
          <w:docPartUnique/>
        </w:docPartObj>
      </w:sdtPr>
      <w:sdtEndPr/>
      <w:sdtContent>
        <w:r>
          <w:rPr>
            <w:rFonts w:ascii="Arial" w:hAnsi="Arial" w:cs="Arial"/>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2049"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Pr>
        <w:noProof/>
        <w:lang w:val="es-MX" w:eastAsia="es-MX"/>
      </w:rPr>
      <w:drawing>
        <wp:anchor distT="0" distB="0" distL="114300" distR="114300" simplePos="0" relativeHeight="251657728" behindDoc="1" locked="0" layoutInCell="1" allowOverlap="1" wp14:anchorId="62E95AD4" wp14:editId="14FA1F7C">
          <wp:simplePos x="0" y="0"/>
          <wp:positionH relativeFrom="page">
            <wp:align>center</wp:align>
          </wp:positionH>
          <wp:positionV relativeFrom="page">
            <wp:posOffset>0</wp:posOffset>
          </wp:positionV>
          <wp:extent cx="7510145"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20DD843" w14:textId="77777777" w:rsidR="00DD7AD0" w:rsidRDefault="00494EB2" w:rsidP="00DD7AD0">
    <w:pPr>
      <w:pStyle w:val="Encabezado"/>
      <w:jc w:val="right"/>
      <w:rPr>
        <w:rFonts w:ascii="Arial" w:hAnsi="Arial" w:cs="Arial"/>
        <w:sz w:val="20"/>
        <w:szCs w:val="20"/>
      </w:rPr>
    </w:pPr>
  </w:p>
  <w:p w14:paraId="282E5C68" w14:textId="77777777" w:rsidR="00DD7AD0" w:rsidRDefault="00494EB2" w:rsidP="00DD7AD0">
    <w:pPr>
      <w:pStyle w:val="Encabezado"/>
      <w:jc w:val="right"/>
      <w:rPr>
        <w:rFonts w:ascii="Arial" w:hAnsi="Arial" w:cs="Arial"/>
        <w:sz w:val="20"/>
        <w:szCs w:val="20"/>
      </w:rPr>
    </w:pPr>
  </w:p>
  <w:p w14:paraId="159BC1FF" w14:textId="77777777" w:rsidR="00DD7AD0" w:rsidRPr="004F50E3" w:rsidRDefault="00613A04" w:rsidP="00DD7AD0">
    <w:pPr>
      <w:pStyle w:val="Encabezado"/>
      <w:jc w:val="right"/>
      <w:rPr>
        <w:rFonts w:ascii="Palatino Linotype" w:hAnsi="Palatino Linotype" w:cs="Arial"/>
        <w:b/>
        <w:sz w:val="22"/>
        <w:szCs w:val="22"/>
      </w:rPr>
    </w:pPr>
    <w:r w:rsidRPr="004F50E3">
      <w:rPr>
        <w:rFonts w:ascii="Palatino Linotype" w:hAnsi="Palatino Linotype" w:cs="Arial"/>
        <w:b/>
        <w:sz w:val="22"/>
        <w:szCs w:val="22"/>
      </w:rPr>
      <w:t xml:space="preserve">VOTO </w:t>
    </w:r>
    <w:r w:rsidR="007B733E" w:rsidRPr="004F50E3">
      <w:rPr>
        <w:rFonts w:ascii="Palatino Linotype" w:hAnsi="Palatino Linotype" w:cs="Arial"/>
        <w:b/>
        <w:sz w:val="22"/>
        <w:szCs w:val="22"/>
      </w:rPr>
      <w:t>PARTICULAR</w:t>
    </w:r>
    <w:r w:rsidRPr="004F50E3">
      <w:rPr>
        <w:rFonts w:ascii="Palatino Linotype" w:hAnsi="Palatino Linotype" w:cs="Arial"/>
        <w:b/>
        <w:sz w:val="22"/>
        <w:szCs w:val="22"/>
      </w:rPr>
      <w:t xml:space="preserve"> </w:t>
    </w:r>
  </w:p>
  <w:p w14:paraId="136E20AB" w14:textId="5E0B9631" w:rsidR="00DD7AD0" w:rsidRPr="004F50E3" w:rsidRDefault="00613A04" w:rsidP="00DD7AD0">
    <w:pPr>
      <w:pStyle w:val="Encabezado"/>
      <w:jc w:val="right"/>
      <w:rPr>
        <w:rFonts w:ascii="Palatino Linotype" w:hAnsi="Palatino Linotype" w:cs="Arial"/>
        <w:b/>
        <w:bCs/>
        <w:sz w:val="22"/>
        <w:szCs w:val="22"/>
        <w:lang w:eastAsia="es-MX"/>
      </w:rPr>
    </w:pPr>
    <w:r w:rsidRPr="004F50E3">
      <w:rPr>
        <w:rFonts w:ascii="Palatino Linotype" w:hAnsi="Palatino Linotype" w:cs="Arial"/>
        <w:b/>
        <w:sz w:val="22"/>
        <w:szCs w:val="22"/>
      </w:rPr>
      <w:t xml:space="preserve">RECURSO DE REVISIÓN </w:t>
    </w:r>
    <w:r w:rsidR="007B733E" w:rsidRPr="004F50E3">
      <w:rPr>
        <w:rFonts w:ascii="Palatino Linotype" w:hAnsi="Palatino Linotype" w:cs="Arial"/>
        <w:b/>
        <w:bCs/>
        <w:sz w:val="22"/>
        <w:szCs w:val="22"/>
        <w:lang w:eastAsia="es-MX"/>
      </w:rPr>
      <w:t>0</w:t>
    </w:r>
    <w:r w:rsidR="005534B4">
      <w:rPr>
        <w:rFonts w:ascii="Palatino Linotype" w:hAnsi="Palatino Linotype" w:cs="Arial"/>
        <w:b/>
        <w:bCs/>
        <w:sz w:val="22"/>
        <w:szCs w:val="22"/>
        <w:lang w:eastAsia="es-MX"/>
      </w:rPr>
      <w:t>3</w:t>
    </w:r>
    <w:r w:rsidR="00D21B84">
      <w:rPr>
        <w:rFonts w:ascii="Palatino Linotype" w:hAnsi="Palatino Linotype" w:cs="Arial"/>
        <w:b/>
        <w:bCs/>
        <w:sz w:val="22"/>
        <w:szCs w:val="22"/>
        <w:lang w:eastAsia="es-MX"/>
      </w:rPr>
      <w:t>914</w:t>
    </w:r>
    <w:r w:rsidR="00043B20" w:rsidRPr="004F50E3">
      <w:rPr>
        <w:rFonts w:ascii="Palatino Linotype" w:hAnsi="Palatino Linotype" w:cs="Arial"/>
        <w:b/>
        <w:bCs/>
        <w:sz w:val="22"/>
        <w:szCs w:val="22"/>
        <w:lang w:eastAsia="es-MX"/>
      </w:rPr>
      <w:t>/INFOEM/IP/RR/20</w:t>
    </w:r>
    <w:r w:rsidR="009E6EF2" w:rsidRPr="004F50E3">
      <w:rPr>
        <w:rFonts w:ascii="Palatino Linotype" w:hAnsi="Palatino Linotype" w:cs="Arial"/>
        <w:b/>
        <w:bCs/>
        <w:sz w:val="22"/>
        <w:szCs w:val="22"/>
        <w:lang w:eastAsia="es-MX"/>
      </w:rPr>
      <w:t>21</w:t>
    </w:r>
    <w:r w:rsidR="00384C8B" w:rsidRPr="004F50E3">
      <w:rPr>
        <w:rFonts w:ascii="Palatino Linotype" w:hAnsi="Palatino Linotype" w:cs="Arial"/>
        <w:b/>
        <w:bCs/>
        <w:sz w:val="22"/>
        <w:szCs w:val="22"/>
        <w:lang w:eastAsia="es-MX"/>
      </w:rPr>
      <w:t xml:space="preserve"> </w:t>
    </w:r>
  </w:p>
  <w:p w14:paraId="02E7E91C" w14:textId="77777777" w:rsidR="000D21E7" w:rsidRPr="0003247D" w:rsidRDefault="000D21E7" w:rsidP="00DD7AD0">
    <w:pPr>
      <w:pStyle w:val="Encabezado"/>
      <w:jc w:val="right"/>
      <w:rPr>
        <w:rFonts w:ascii="Palatino Linotype" w:hAnsi="Palatino Linotype"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C3171D"/>
    <w:multiLevelType w:val="multilevel"/>
    <w:tmpl w:val="E02EDE0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0"/>
  </w:num>
  <w:num w:numId="3">
    <w:abstractNumId w:val="10"/>
  </w:num>
  <w:num w:numId="4">
    <w:abstractNumId w:val="8"/>
  </w:num>
  <w:num w:numId="5">
    <w:abstractNumId w:val="9"/>
  </w:num>
  <w:num w:numId="6">
    <w:abstractNumId w:val="11"/>
  </w:num>
  <w:num w:numId="7">
    <w:abstractNumId w:val="4"/>
  </w:num>
  <w:num w:numId="8">
    <w:abstractNumId w:val="2"/>
  </w:num>
  <w:num w:numId="9">
    <w:abstractNumId w:val="5"/>
  </w:num>
  <w:num w:numId="10">
    <w:abstractNumId w:val="3"/>
  </w:num>
  <w:num w:numId="11">
    <w:abstractNumId w:val="1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43B20"/>
    <w:rsid w:val="00046DC2"/>
    <w:rsid w:val="0009787F"/>
    <w:rsid w:val="000B4FD2"/>
    <w:rsid w:val="000D21E7"/>
    <w:rsid w:val="000D26DF"/>
    <w:rsid w:val="000E1ABA"/>
    <w:rsid w:val="000E517C"/>
    <w:rsid w:val="000E5D43"/>
    <w:rsid w:val="000F14DA"/>
    <w:rsid w:val="000F1B77"/>
    <w:rsid w:val="000F49C4"/>
    <w:rsid w:val="000F68A8"/>
    <w:rsid w:val="00105765"/>
    <w:rsid w:val="00137BCF"/>
    <w:rsid w:val="00145FED"/>
    <w:rsid w:val="00186357"/>
    <w:rsid w:val="0019696B"/>
    <w:rsid w:val="001A2B7D"/>
    <w:rsid w:val="001A68CD"/>
    <w:rsid w:val="001B3D19"/>
    <w:rsid w:val="001D4490"/>
    <w:rsid w:val="002351CE"/>
    <w:rsid w:val="002374B9"/>
    <w:rsid w:val="00240D8D"/>
    <w:rsid w:val="00252976"/>
    <w:rsid w:val="00256512"/>
    <w:rsid w:val="002660DA"/>
    <w:rsid w:val="002C14F9"/>
    <w:rsid w:val="002D4136"/>
    <w:rsid w:val="002F59D1"/>
    <w:rsid w:val="00307916"/>
    <w:rsid w:val="0031079C"/>
    <w:rsid w:val="00327211"/>
    <w:rsid w:val="00330955"/>
    <w:rsid w:val="00336332"/>
    <w:rsid w:val="00341093"/>
    <w:rsid w:val="003847F7"/>
    <w:rsid w:val="00384C8B"/>
    <w:rsid w:val="00396F4A"/>
    <w:rsid w:val="003D76A7"/>
    <w:rsid w:val="003F52D7"/>
    <w:rsid w:val="00403FFD"/>
    <w:rsid w:val="004269DC"/>
    <w:rsid w:val="004402F7"/>
    <w:rsid w:val="00463A29"/>
    <w:rsid w:val="00491A04"/>
    <w:rsid w:val="00492535"/>
    <w:rsid w:val="00494EB2"/>
    <w:rsid w:val="00494F48"/>
    <w:rsid w:val="004C1443"/>
    <w:rsid w:val="004C5122"/>
    <w:rsid w:val="004D3A6E"/>
    <w:rsid w:val="004D5C09"/>
    <w:rsid w:val="004F50E3"/>
    <w:rsid w:val="004F5AE8"/>
    <w:rsid w:val="005251CB"/>
    <w:rsid w:val="00526C8E"/>
    <w:rsid w:val="00534845"/>
    <w:rsid w:val="00546280"/>
    <w:rsid w:val="005534B4"/>
    <w:rsid w:val="005733EB"/>
    <w:rsid w:val="00592E63"/>
    <w:rsid w:val="00592FD2"/>
    <w:rsid w:val="005D0EB7"/>
    <w:rsid w:val="005E2445"/>
    <w:rsid w:val="005E313C"/>
    <w:rsid w:val="005E760F"/>
    <w:rsid w:val="006023F6"/>
    <w:rsid w:val="006069F7"/>
    <w:rsid w:val="00613A04"/>
    <w:rsid w:val="006342FD"/>
    <w:rsid w:val="00667D1F"/>
    <w:rsid w:val="006869BD"/>
    <w:rsid w:val="006A51FD"/>
    <w:rsid w:val="006D3740"/>
    <w:rsid w:val="006D627E"/>
    <w:rsid w:val="006E459A"/>
    <w:rsid w:val="006F544E"/>
    <w:rsid w:val="006F7F79"/>
    <w:rsid w:val="00707558"/>
    <w:rsid w:val="0071133A"/>
    <w:rsid w:val="0071304D"/>
    <w:rsid w:val="007518F5"/>
    <w:rsid w:val="00787CFE"/>
    <w:rsid w:val="007B5209"/>
    <w:rsid w:val="007B733E"/>
    <w:rsid w:val="007C0DCC"/>
    <w:rsid w:val="007C4507"/>
    <w:rsid w:val="008037AF"/>
    <w:rsid w:val="00847B09"/>
    <w:rsid w:val="00851B95"/>
    <w:rsid w:val="00852785"/>
    <w:rsid w:val="00860B45"/>
    <w:rsid w:val="00875FA7"/>
    <w:rsid w:val="0088608D"/>
    <w:rsid w:val="008B7FA8"/>
    <w:rsid w:val="008D6140"/>
    <w:rsid w:val="008E47B8"/>
    <w:rsid w:val="008F6B22"/>
    <w:rsid w:val="00900682"/>
    <w:rsid w:val="00911F00"/>
    <w:rsid w:val="00915E74"/>
    <w:rsid w:val="0093512E"/>
    <w:rsid w:val="00990D95"/>
    <w:rsid w:val="0099768F"/>
    <w:rsid w:val="009B46D0"/>
    <w:rsid w:val="009C651B"/>
    <w:rsid w:val="009E6EF2"/>
    <w:rsid w:val="00A10C19"/>
    <w:rsid w:val="00A16488"/>
    <w:rsid w:val="00A430F5"/>
    <w:rsid w:val="00A85CFE"/>
    <w:rsid w:val="00A9353F"/>
    <w:rsid w:val="00AD0F39"/>
    <w:rsid w:val="00AE48F7"/>
    <w:rsid w:val="00AF71C1"/>
    <w:rsid w:val="00B40E2E"/>
    <w:rsid w:val="00B6198B"/>
    <w:rsid w:val="00B71EFC"/>
    <w:rsid w:val="00B77C19"/>
    <w:rsid w:val="00BC4DEE"/>
    <w:rsid w:val="00BF31D4"/>
    <w:rsid w:val="00C42420"/>
    <w:rsid w:val="00C61583"/>
    <w:rsid w:val="00C84DBA"/>
    <w:rsid w:val="00C96E88"/>
    <w:rsid w:val="00CF11A8"/>
    <w:rsid w:val="00D014A2"/>
    <w:rsid w:val="00D040F5"/>
    <w:rsid w:val="00D05F61"/>
    <w:rsid w:val="00D21B84"/>
    <w:rsid w:val="00D26D4E"/>
    <w:rsid w:val="00D675E4"/>
    <w:rsid w:val="00D74772"/>
    <w:rsid w:val="00D875B1"/>
    <w:rsid w:val="00D953EF"/>
    <w:rsid w:val="00DB0A5B"/>
    <w:rsid w:val="00DB6F26"/>
    <w:rsid w:val="00DC5F78"/>
    <w:rsid w:val="00DC77E6"/>
    <w:rsid w:val="00DD13E2"/>
    <w:rsid w:val="00E34CA6"/>
    <w:rsid w:val="00E447C2"/>
    <w:rsid w:val="00E554DC"/>
    <w:rsid w:val="00E6367E"/>
    <w:rsid w:val="00E92686"/>
    <w:rsid w:val="00EC70B3"/>
    <w:rsid w:val="00EE051D"/>
    <w:rsid w:val="00EF59FC"/>
    <w:rsid w:val="00F07361"/>
    <w:rsid w:val="00F2106C"/>
    <w:rsid w:val="00F57C84"/>
    <w:rsid w:val="00F63CF4"/>
    <w:rsid w:val="00F865EE"/>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table" w:styleId="Tablaconcuadrcula">
    <w:name w:val="Table Grid"/>
    <w:basedOn w:val="Tablanormal"/>
    <w:uiPriority w:val="39"/>
    <w:rsid w:val="00C84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325865">
      <w:bodyDiv w:val="1"/>
      <w:marLeft w:val="0"/>
      <w:marRight w:val="0"/>
      <w:marTop w:val="0"/>
      <w:marBottom w:val="0"/>
      <w:divBdr>
        <w:top w:val="none" w:sz="0" w:space="0" w:color="auto"/>
        <w:left w:val="none" w:sz="0" w:space="0" w:color="auto"/>
        <w:bottom w:val="none" w:sz="0" w:space="0" w:color="auto"/>
        <w:right w:val="none" w:sz="0" w:space="0" w:color="auto"/>
      </w:divBdr>
    </w:div>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9ED33-2F59-4014-BE73-3BC09F36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3362</Words>
  <Characters>18495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4</cp:revision>
  <cp:lastPrinted>2021-12-13T19:09:00Z</cp:lastPrinted>
  <dcterms:created xsi:type="dcterms:W3CDTF">2021-12-13T19:09:00Z</dcterms:created>
  <dcterms:modified xsi:type="dcterms:W3CDTF">2021-12-13T19:17:00Z</dcterms:modified>
</cp:coreProperties>
</file>