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4F01" w14:textId="77777777" w:rsidR="00232F02" w:rsidRDefault="00232F02" w:rsidP="00005D2F">
      <w:pPr>
        <w:pStyle w:val="Encabezado"/>
        <w:spacing w:line="360" w:lineRule="auto"/>
        <w:ind w:right="49"/>
        <w:contextualSpacing/>
        <w:jc w:val="both"/>
        <w:rPr>
          <w:rFonts w:ascii="Palatino Linotype" w:hAnsi="Palatino Linotype" w:cs="Tahoma"/>
          <w:b/>
        </w:rPr>
      </w:pPr>
    </w:p>
    <w:p w14:paraId="6FE0F825" w14:textId="14682348" w:rsidR="00500949" w:rsidRPr="00A77118" w:rsidRDefault="009E0861" w:rsidP="00005D2F">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684869" w:rsidRPr="00684869">
        <w:rPr>
          <w:rFonts w:ascii="Palatino Linotype" w:hAnsi="Palatino Linotype"/>
          <w:b/>
          <w:lang w:val="es-ES_tradnl"/>
        </w:rPr>
        <w:t>03692/INFOEM/IP/RR/2021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684869" w:rsidRPr="00684869">
        <w:rPr>
          <w:rFonts w:ascii="Palatino Linotype" w:hAnsi="Palatino Linotype" w:cs="Tahoma"/>
          <w:b/>
        </w:rPr>
        <w:t>ORGANISMO PÚBLICO DESCENTRALIZADO MUNICIPAL PARA LA PRESTACIÓN DE LOS SERVICIOS DE AGUA POTABLE ALCANTARILLADO Y SANEAMIENTO DE CUAUTITLÁN IZCALLI DENOMINADO OPERAGUA, O.P.D.M.</w:t>
      </w:r>
    </w:p>
    <w:p w14:paraId="249C88F9" w14:textId="77777777" w:rsidR="006E1E37" w:rsidRPr="00C62611" w:rsidRDefault="006E1E37" w:rsidP="00005D2F">
      <w:pPr>
        <w:spacing w:after="0" w:line="360" w:lineRule="auto"/>
        <w:contextualSpacing/>
        <w:jc w:val="both"/>
        <w:rPr>
          <w:rFonts w:ascii="Palatino Linotype" w:hAnsi="Palatino Linotype" w:cs="Tahoma"/>
          <w:sz w:val="18"/>
        </w:rPr>
      </w:pPr>
    </w:p>
    <w:p w14:paraId="243F70BB" w14:textId="40F6307D" w:rsidR="009E0861" w:rsidRPr="00A77118" w:rsidRDefault="009E0861" w:rsidP="00005D2F">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w:t>
      </w:r>
      <w:bookmarkStart w:id="0" w:name="_Hlk81552674"/>
      <w:r w:rsidRPr="00A77118">
        <w:rPr>
          <w:rFonts w:ascii="Palatino Linotype" w:hAnsi="Palatino Linotype" w:cs="Tahoma"/>
        </w:rPr>
        <w:t>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bookmarkEnd w:id="0"/>
      <w:r w:rsidR="00684869" w:rsidRPr="00684869">
        <w:rPr>
          <w:rFonts w:ascii="Palatino Linotype" w:hAnsi="Palatino Linotype"/>
          <w:b/>
          <w:lang w:val="es-ES_tradnl"/>
        </w:rPr>
        <w:t>03692/INFOEM/IP/RR/2021</w:t>
      </w:r>
      <w:r w:rsidR="00103FFF" w:rsidRPr="00A77118">
        <w:rPr>
          <w:rFonts w:ascii="Palatino Linotype" w:hAnsi="Palatino Linotype"/>
          <w:b/>
          <w:lang w:val="es-ES_tradnl"/>
        </w:rPr>
        <w:t>.</w:t>
      </w:r>
    </w:p>
    <w:p w14:paraId="30D47938" w14:textId="77777777" w:rsidR="009E0861" w:rsidRPr="00C62611" w:rsidRDefault="009E0861" w:rsidP="00005D2F">
      <w:pPr>
        <w:spacing w:after="0" w:line="360" w:lineRule="auto"/>
        <w:contextualSpacing/>
        <w:jc w:val="both"/>
        <w:rPr>
          <w:rFonts w:ascii="Palatino Linotype" w:hAnsi="Palatino Linotype" w:cs="Tahoma"/>
          <w:sz w:val="18"/>
        </w:rPr>
      </w:pPr>
    </w:p>
    <w:p w14:paraId="623B3787" w14:textId="230F720E" w:rsidR="0039411A" w:rsidRPr="0039411A" w:rsidRDefault="00EA7E26" w:rsidP="00005D2F">
      <w:pPr>
        <w:spacing w:after="0" w:line="360" w:lineRule="auto"/>
        <w:contextualSpacing/>
        <w:jc w:val="both"/>
        <w:rPr>
          <w:rFonts w:ascii="Palatino Linotype" w:hAnsi="Palatino Linotype" w:cs="Tahoma"/>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684869" w:rsidRPr="00684869">
        <w:rPr>
          <w:rFonts w:ascii="Palatino Linotype" w:eastAsia="Calibri" w:hAnsi="Palatino Linotype" w:cs="Tahoma"/>
          <w:iCs/>
          <w:lang w:eastAsia="es-ES_tradnl"/>
        </w:rPr>
        <w:t xml:space="preserve">una </w:t>
      </w:r>
      <w:r w:rsidR="00684869" w:rsidRPr="00E72959">
        <w:rPr>
          <w:rFonts w:ascii="Palatino Linotype" w:eastAsia="Calibri" w:hAnsi="Palatino Linotype" w:cs="Tahoma"/>
          <w:b/>
          <w:bCs/>
          <w:iCs/>
          <w:lang w:eastAsia="es-ES_tradnl"/>
        </w:rPr>
        <w:t>lista de cada una de las obras hidráulicas en las que fueron utilizados los fondos provenientes del Programa de Devolución de Derechos (PRODDER) de la CONAGUA</w:t>
      </w:r>
      <w:r w:rsidR="00684869" w:rsidRPr="00684869">
        <w:rPr>
          <w:rFonts w:ascii="Palatino Linotype" w:eastAsia="Calibri" w:hAnsi="Palatino Linotype" w:cs="Tahoma"/>
          <w:iCs/>
          <w:lang w:eastAsia="es-ES_tradnl"/>
        </w:rPr>
        <w:t xml:space="preserve">, </w:t>
      </w:r>
      <w:bookmarkStart w:id="1" w:name="_Hlk81492783"/>
      <w:r w:rsidR="00684869" w:rsidRPr="00684869">
        <w:rPr>
          <w:rFonts w:ascii="Palatino Linotype" w:eastAsia="Calibri" w:hAnsi="Palatino Linotype" w:cs="Tahoma"/>
          <w:iCs/>
          <w:lang w:eastAsia="es-ES_tradnl"/>
        </w:rPr>
        <w:t xml:space="preserve">especificando los </w:t>
      </w:r>
      <w:r w:rsidR="00684869" w:rsidRPr="00E72959">
        <w:rPr>
          <w:rFonts w:ascii="Palatino Linotype" w:eastAsia="Calibri" w:hAnsi="Palatino Linotype" w:cs="Tahoma"/>
          <w:b/>
          <w:bCs/>
          <w:iCs/>
          <w:lang w:eastAsia="es-ES_tradnl"/>
        </w:rPr>
        <w:t>montos de dinero utilizados en cada una de ellas</w:t>
      </w:r>
      <w:bookmarkEnd w:id="1"/>
      <w:r w:rsidR="00684869" w:rsidRPr="00684869">
        <w:rPr>
          <w:rFonts w:ascii="Palatino Linotype" w:eastAsia="Calibri" w:hAnsi="Palatino Linotype" w:cs="Tahoma"/>
          <w:iCs/>
          <w:lang w:eastAsia="es-ES_tradnl"/>
        </w:rPr>
        <w:t xml:space="preserve">; fondos que en el ejercicio fiscal de </w:t>
      </w:r>
      <w:r w:rsidR="00D45842">
        <w:rPr>
          <w:rFonts w:ascii="Palatino Linotype" w:eastAsia="Calibri" w:hAnsi="Palatino Linotype" w:cs="Tahoma"/>
          <w:iCs/>
          <w:lang w:eastAsia="es-ES_tradnl"/>
        </w:rPr>
        <w:t>dos mil veinte</w:t>
      </w:r>
      <w:r w:rsidR="00684869" w:rsidRPr="00684869">
        <w:rPr>
          <w:rFonts w:ascii="Palatino Linotype" w:eastAsia="Calibri" w:hAnsi="Palatino Linotype" w:cs="Tahoma"/>
          <w:iCs/>
          <w:lang w:eastAsia="es-ES_tradnl"/>
        </w:rPr>
        <w:t xml:space="preserve"> ascendieron a la cantidad de </w:t>
      </w:r>
      <w:r w:rsidR="00D45842">
        <w:rPr>
          <w:rFonts w:ascii="Palatino Linotype" w:eastAsia="Calibri" w:hAnsi="Palatino Linotype" w:cs="Tahoma"/>
          <w:iCs/>
          <w:lang w:eastAsia="es-ES_tradnl"/>
        </w:rPr>
        <w:t>v</w:t>
      </w:r>
      <w:r w:rsidR="00684869" w:rsidRPr="00684869">
        <w:rPr>
          <w:rFonts w:ascii="Palatino Linotype" w:eastAsia="Calibri" w:hAnsi="Palatino Linotype" w:cs="Tahoma"/>
          <w:iCs/>
          <w:lang w:eastAsia="es-ES_tradnl"/>
        </w:rPr>
        <w:t>eintitrés millones, setecientos cuarenta mil, ciento once pesos</w:t>
      </w:r>
      <w:r w:rsidR="00D45842">
        <w:rPr>
          <w:rFonts w:ascii="Palatino Linotype" w:eastAsia="Calibri" w:hAnsi="Palatino Linotype" w:cs="Tahoma"/>
          <w:iCs/>
          <w:lang w:eastAsia="es-ES_tradnl"/>
        </w:rPr>
        <w:t>, moneda nacional.</w:t>
      </w:r>
    </w:p>
    <w:p w14:paraId="3BB6C6D7" w14:textId="77777777" w:rsidR="008D7232" w:rsidRDefault="008D7232" w:rsidP="00005D2F">
      <w:pPr>
        <w:spacing w:after="0" w:line="360" w:lineRule="auto"/>
        <w:contextualSpacing/>
        <w:jc w:val="both"/>
        <w:rPr>
          <w:rFonts w:ascii="Palatino Linotype" w:hAnsi="Palatino Linotype" w:cs="Tahoma"/>
        </w:rPr>
      </w:pPr>
    </w:p>
    <w:p w14:paraId="141713BC" w14:textId="77777777" w:rsidR="00232F02" w:rsidRDefault="00232F02" w:rsidP="00005D2F">
      <w:pPr>
        <w:spacing w:after="0" w:line="360" w:lineRule="auto"/>
        <w:contextualSpacing/>
        <w:jc w:val="both"/>
        <w:rPr>
          <w:rFonts w:ascii="Palatino Linotype" w:hAnsi="Palatino Linotype" w:cs="Tahoma"/>
        </w:rPr>
      </w:pPr>
    </w:p>
    <w:p w14:paraId="5A25F37C" w14:textId="3BB9D91E" w:rsidR="00367139" w:rsidRDefault="0039411A" w:rsidP="00005D2F">
      <w:pPr>
        <w:spacing w:after="0" w:line="360" w:lineRule="auto"/>
        <w:contextualSpacing/>
        <w:jc w:val="both"/>
        <w:rPr>
          <w:rFonts w:ascii="Palatino Linotype" w:hAnsi="Palatino Linotype" w:cs="Tahoma"/>
        </w:rPr>
      </w:pPr>
      <w:r w:rsidRPr="0039411A">
        <w:rPr>
          <w:rFonts w:ascii="Palatino Linotype" w:hAnsi="Palatino Linotype" w:cs="Tahoma"/>
        </w:rPr>
        <w:t xml:space="preserve">En respuesta, el </w:t>
      </w:r>
      <w:r w:rsidR="006502AE">
        <w:rPr>
          <w:rFonts w:ascii="Palatino Linotype" w:hAnsi="Palatino Linotype" w:cs="Tahoma"/>
        </w:rPr>
        <w:t>Sujeto Obligado</w:t>
      </w:r>
      <w:r w:rsidRPr="0039411A">
        <w:rPr>
          <w:rFonts w:ascii="Palatino Linotype" w:hAnsi="Palatino Linotype" w:cs="Tahoma"/>
        </w:rPr>
        <w:t xml:space="preserve"> a través de </w:t>
      </w:r>
      <w:r w:rsidR="0083001A">
        <w:rPr>
          <w:rFonts w:ascii="Palatino Linotype" w:hAnsi="Palatino Linotype" w:cs="Tahoma"/>
        </w:rPr>
        <w:t>la Dirección de Construcción y Operación Hidráulica en conjunto con la coordinación de Ejecución de Proyectos,</w:t>
      </w:r>
      <w:r w:rsidRPr="0039411A">
        <w:rPr>
          <w:rFonts w:ascii="Palatino Linotype" w:hAnsi="Palatino Linotype" w:cs="Tahoma"/>
        </w:rPr>
        <w:t xml:space="preserve"> </w:t>
      </w:r>
      <w:r w:rsidR="0083001A">
        <w:rPr>
          <w:rFonts w:ascii="Palatino Linotype" w:hAnsi="Palatino Linotype" w:cs="Tahoma"/>
        </w:rPr>
        <w:t>remitió un listado de dos Obras Hidráulicas provenientes del Programa de Devolución de Derechos (PRODDER) correspondientes</w:t>
      </w:r>
      <w:r w:rsidR="00E72959">
        <w:rPr>
          <w:rFonts w:ascii="Palatino Linotype" w:hAnsi="Palatino Linotype" w:cs="Tahoma"/>
        </w:rPr>
        <w:t>, según su dicho</w:t>
      </w:r>
      <w:r w:rsidR="0083001A">
        <w:rPr>
          <w:rFonts w:ascii="Palatino Linotype" w:hAnsi="Palatino Linotype" w:cs="Tahoma"/>
        </w:rPr>
        <w:t xml:space="preserve"> al ejercicio fiscal dos mil veintiuno</w:t>
      </w:r>
      <w:r w:rsidR="00E72959">
        <w:rPr>
          <w:rFonts w:ascii="Palatino Linotype" w:hAnsi="Palatino Linotype" w:cs="Tahoma"/>
        </w:rPr>
        <w:t xml:space="preserve"> y</w:t>
      </w:r>
      <w:r w:rsidR="0083001A" w:rsidRPr="0083001A">
        <w:t xml:space="preserve"> </w:t>
      </w:r>
      <w:r w:rsidR="00E72959" w:rsidRPr="0083001A">
        <w:rPr>
          <w:rFonts w:ascii="Palatino Linotype" w:hAnsi="Palatino Linotype" w:cs="Tahoma"/>
        </w:rPr>
        <w:t>especific</w:t>
      </w:r>
      <w:r w:rsidR="00E72959">
        <w:rPr>
          <w:rFonts w:ascii="Palatino Linotype" w:hAnsi="Palatino Linotype" w:cs="Tahoma"/>
        </w:rPr>
        <w:t>ó</w:t>
      </w:r>
      <w:r w:rsidR="00E72959" w:rsidRPr="0083001A">
        <w:rPr>
          <w:rFonts w:ascii="Palatino Linotype" w:hAnsi="Palatino Linotype" w:cs="Tahoma"/>
        </w:rPr>
        <w:t xml:space="preserve"> </w:t>
      </w:r>
      <w:r w:rsidR="0083001A" w:rsidRPr="0083001A">
        <w:rPr>
          <w:rFonts w:ascii="Palatino Linotype" w:hAnsi="Palatino Linotype" w:cs="Tahoma"/>
        </w:rPr>
        <w:t xml:space="preserve">los montos de dinero utilizados en cada una de </w:t>
      </w:r>
      <w:r w:rsidR="0083001A" w:rsidRPr="00367139">
        <w:rPr>
          <w:rFonts w:ascii="Palatino Linotype" w:hAnsi="Palatino Linotype" w:cs="Tahoma"/>
        </w:rPr>
        <w:t>ellas</w:t>
      </w:r>
      <w:r w:rsidR="00E72959">
        <w:rPr>
          <w:rFonts w:ascii="Palatino Linotype" w:hAnsi="Palatino Linotype" w:cs="Tahoma"/>
        </w:rPr>
        <w:t>, de acuerdo con lo solicitado.</w:t>
      </w:r>
    </w:p>
    <w:p w14:paraId="527D4E37" w14:textId="2C2E82F3" w:rsidR="00367139" w:rsidRDefault="00367139" w:rsidP="00005D2F">
      <w:pPr>
        <w:spacing w:after="0" w:line="360" w:lineRule="auto"/>
        <w:contextualSpacing/>
        <w:jc w:val="both"/>
        <w:rPr>
          <w:rFonts w:ascii="Palatino Linotype" w:hAnsi="Palatino Linotype" w:cs="Tahoma"/>
        </w:rPr>
      </w:pPr>
    </w:p>
    <w:p w14:paraId="0F627E7F" w14:textId="2317A992" w:rsidR="00367139" w:rsidRDefault="00367139" w:rsidP="00005D2F">
      <w:pPr>
        <w:spacing w:after="0" w:line="360" w:lineRule="auto"/>
        <w:contextualSpacing/>
        <w:jc w:val="both"/>
        <w:rPr>
          <w:rFonts w:ascii="Palatino Linotype" w:hAnsi="Palatino Linotype" w:cs="Tahoma"/>
        </w:rPr>
      </w:pPr>
      <w:r>
        <w:rPr>
          <w:rFonts w:ascii="Palatino Linotype" w:hAnsi="Palatino Linotype" w:cs="Tahoma"/>
        </w:rPr>
        <w:t xml:space="preserve">Ante la respuesta del </w:t>
      </w:r>
      <w:r w:rsidR="00D57FDF">
        <w:rPr>
          <w:rFonts w:ascii="Palatino Linotype" w:hAnsi="Palatino Linotype" w:cs="Tahoma"/>
        </w:rPr>
        <w:t>S</w:t>
      </w:r>
      <w:r>
        <w:rPr>
          <w:rFonts w:ascii="Palatino Linotype" w:hAnsi="Palatino Linotype" w:cs="Tahoma"/>
        </w:rPr>
        <w:t xml:space="preserve">ujeto Obligado, el Particular se inconformó </w:t>
      </w:r>
      <w:r w:rsidR="00503FE6">
        <w:rPr>
          <w:rFonts w:ascii="Palatino Linotype" w:hAnsi="Palatino Linotype" w:cs="Tahoma"/>
        </w:rPr>
        <w:t>bajo el argumento de que</w:t>
      </w:r>
      <w:r w:rsidR="00D57FDF">
        <w:rPr>
          <w:rFonts w:ascii="Palatino Linotype" w:hAnsi="Palatino Linotype" w:cs="Tahoma"/>
        </w:rPr>
        <w:t xml:space="preserve"> en </w:t>
      </w:r>
      <w:r w:rsidR="00503FE6">
        <w:rPr>
          <w:rFonts w:ascii="Palatino Linotype" w:hAnsi="Palatino Linotype" w:cs="Tahoma"/>
        </w:rPr>
        <w:t>la información entregada</w:t>
      </w:r>
      <w:r w:rsidR="00D57FDF">
        <w:rPr>
          <w:rFonts w:ascii="Palatino Linotype" w:hAnsi="Palatino Linotype" w:cs="Tahoma"/>
        </w:rPr>
        <w:t xml:space="preserve"> </w:t>
      </w:r>
      <w:r w:rsidR="00503FE6">
        <w:rPr>
          <w:rFonts w:ascii="Palatino Linotype" w:hAnsi="Palatino Linotype" w:cs="Tahoma"/>
        </w:rPr>
        <w:t xml:space="preserve">correspondía </w:t>
      </w:r>
      <w:r w:rsidR="00D57FDF">
        <w:rPr>
          <w:rFonts w:ascii="Palatino Linotype" w:hAnsi="Palatino Linotype" w:cs="Tahoma"/>
        </w:rPr>
        <w:t xml:space="preserve">al ejercicio fiscal de dos mil </w:t>
      </w:r>
      <w:r w:rsidR="00503FE6">
        <w:rPr>
          <w:rFonts w:ascii="Palatino Linotype" w:hAnsi="Palatino Linotype" w:cs="Tahoma"/>
        </w:rPr>
        <w:t xml:space="preserve">veintiuno y él requirió la información del monto correspondiente al año dos mil veinte, aunado a que </w:t>
      </w:r>
      <w:r w:rsidR="00D57FDF">
        <w:rPr>
          <w:rFonts w:ascii="Palatino Linotype" w:hAnsi="Palatino Linotype" w:cs="Tahoma"/>
        </w:rPr>
        <w:t xml:space="preserve">existe </w:t>
      </w:r>
      <w:r w:rsidR="00D57FDF" w:rsidRPr="00D57FDF">
        <w:rPr>
          <w:rFonts w:ascii="Palatino Linotype" w:hAnsi="Palatino Linotype" w:cs="Tahoma"/>
        </w:rPr>
        <w:t xml:space="preserve">una diferencia presupuestal entre lo recibido para ejercer en obras hidráulicas y lo justificado con la realización de dos obras por una cantidad de once punto dos millones de pesos de los que </w:t>
      </w:r>
      <w:r w:rsidR="00D57FDF">
        <w:rPr>
          <w:rFonts w:ascii="Palatino Linotype" w:hAnsi="Palatino Linotype" w:cs="Tahoma"/>
        </w:rPr>
        <w:t xml:space="preserve">el Sujeto Obligado </w:t>
      </w:r>
      <w:r w:rsidR="00D57FDF" w:rsidRPr="00D57FDF">
        <w:rPr>
          <w:rFonts w:ascii="Palatino Linotype" w:hAnsi="Palatino Linotype" w:cs="Tahoma"/>
        </w:rPr>
        <w:t>no menciona en que obras fueron utilizados.</w:t>
      </w:r>
    </w:p>
    <w:p w14:paraId="17F8863F" w14:textId="3442E47F" w:rsidR="00D57FDF" w:rsidRDefault="00D57FDF" w:rsidP="00005D2F">
      <w:pPr>
        <w:spacing w:after="0" w:line="360" w:lineRule="auto"/>
        <w:contextualSpacing/>
        <w:jc w:val="both"/>
        <w:rPr>
          <w:rFonts w:ascii="Palatino Linotype" w:hAnsi="Palatino Linotype" w:cs="Tahoma"/>
        </w:rPr>
      </w:pPr>
    </w:p>
    <w:p w14:paraId="0544AC2A" w14:textId="73D0A212" w:rsidR="00D57FDF" w:rsidRDefault="00D57FDF" w:rsidP="00005D2F">
      <w:pPr>
        <w:spacing w:after="0" w:line="360" w:lineRule="auto"/>
        <w:contextualSpacing/>
        <w:jc w:val="both"/>
        <w:rPr>
          <w:rFonts w:ascii="Palatino Linotype" w:hAnsi="Palatino Linotype" w:cs="Tahoma"/>
        </w:rPr>
      </w:pPr>
      <w:r>
        <w:rPr>
          <w:rFonts w:ascii="Palatino Linotype" w:hAnsi="Palatino Linotype" w:cs="Tahoma"/>
        </w:rPr>
        <w:t>Al respecto, el Sujeto Obligado subsanó y modificó su respuesta inicial en el informe justificado</w:t>
      </w:r>
      <w:r w:rsidR="005728C8">
        <w:rPr>
          <w:rFonts w:ascii="Palatino Linotype" w:hAnsi="Palatino Linotype" w:cs="Tahoma"/>
        </w:rPr>
        <w:t xml:space="preserve">, mediante el cual refirió que </w:t>
      </w:r>
      <w:r w:rsidR="005728C8" w:rsidRPr="005728C8">
        <w:rPr>
          <w:rFonts w:ascii="Palatino Linotype" w:hAnsi="Palatino Linotype" w:cs="Tahoma"/>
        </w:rPr>
        <w:t>por un error meramente humano se indicó que las obras listadas correspondían a la presente anualidad; sin embargo, indicó que las obras hidráulicas listadas corresponden al ejercicio solicitado, es decir, al año</w:t>
      </w:r>
      <w:r w:rsidR="005728C8">
        <w:rPr>
          <w:rFonts w:ascii="Palatino Linotype" w:hAnsi="Palatino Linotype" w:cs="Tahoma"/>
        </w:rPr>
        <w:t xml:space="preserve"> dos mil veinte, </w:t>
      </w:r>
      <w:r w:rsidR="00503FE6">
        <w:rPr>
          <w:rFonts w:ascii="Palatino Linotype" w:hAnsi="Palatino Linotype" w:cs="Tahoma"/>
        </w:rPr>
        <w:t xml:space="preserve">agregó también </w:t>
      </w:r>
      <w:r w:rsidR="005728C8">
        <w:rPr>
          <w:rFonts w:ascii="Palatino Linotype" w:hAnsi="Palatino Linotype" w:cs="Tahoma"/>
        </w:rPr>
        <w:t xml:space="preserve">que la diferencia </w:t>
      </w:r>
      <w:r w:rsidR="00671FC9">
        <w:rPr>
          <w:rFonts w:ascii="Palatino Linotype" w:hAnsi="Palatino Linotype" w:cs="Tahoma"/>
        </w:rPr>
        <w:t xml:space="preserve">presupuestal referida por el Particular </w:t>
      </w:r>
      <w:r w:rsidR="00671FC9" w:rsidRPr="00B264A0">
        <w:rPr>
          <w:rFonts w:ascii="Palatino Linotype" w:hAnsi="Palatino Linotype" w:cs="Tahoma"/>
          <w:b/>
          <w:bCs/>
        </w:rPr>
        <w:t>no fue originalmente solicitado</w:t>
      </w:r>
      <w:r w:rsidR="00503FE6">
        <w:rPr>
          <w:rFonts w:ascii="Palatino Linotype" w:hAnsi="Palatino Linotype" w:cs="Tahoma"/>
          <w:b/>
          <w:bCs/>
        </w:rPr>
        <w:t>;</w:t>
      </w:r>
      <w:r w:rsidR="00503FE6">
        <w:rPr>
          <w:rFonts w:ascii="Palatino Linotype" w:hAnsi="Palatino Linotype" w:cs="Tahoma"/>
        </w:rPr>
        <w:t xml:space="preserve"> </w:t>
      </w:r>
      <w:r w:rsidR="00671FC9">
        <w:rPr>
          <w:rFonts w:ascii="Palatino Linotype" w:hAnsi="Palatino Linotype" w:cs="Tahoma"/>
        </w:rPr>
        <w:t xml:space="preserve">sin embargo, refirió </w:t>
      </w:r>
      <w:r w:rsidR="00671FC9" w:rsidRPr="00671FC9">
        <w:rPr>
          <w:rFonts w:ascii="Palatino Linotype" w:hAnsi="Palatino Linotype" w:cs="Tahoma"/>
        </w:rPr>
        <w:t xml:space="preserve">que </w:t>
      </w:r>
      <w:r w:rsidR="00005D2F">
        <w:rPr>
          <w:rFonts w:ascii="Palatino Linotype" w:hAnsi="Palatino Linotype" w:cs="Tahoma"/>
        </w:rPr>
        <w:t>la diferencia de dinero d</w:t>
      </w:r>
      <w:r w:rsidR="00671FC9" w:rsidRPr="00671FC9">
        <w:rPr>
          <w:rFonts w:ascii="Palatino Linotype" w:hAnsi="Palatino Linotype" w:cs="Tahoma"/>
        </w:rPr>
        <w:t>el monto no ejercido en obras hidráulicas se basó en los Lineamientos marcados por el Programa de Devolución de Derechos (PRODDER)</w:t>
      </w:r>
      <w:r w:rsidR="00325D64">
        <w:rPr>
          <w:rFonts w:ascii="Palatino Linotype" w:hAnsi="Palatino Linotype" w:cs="Tahoma"/>
        </w:rPr>
        <w:t>; por lo que derivado del estudio</w:t>
      </w:r>
      <w:r w:rsidR="00503FE6">
        <w:rPr>
          <w:rFonts w:ascii="Palatino Linotype" w:hAnsi="Palatino Linotype" w:cs="Tahoma"/>
        </w:rPr>
        <w:t>, la Ponencia Resolutora</w:t>
      </w:r>
      <w:r w:rsidR="00325D64">
        <w:rPr>
          <w:rFonts w:ascii="Palatino Linotype" w:hAnsi="Palatino Linotype" w:cs="Tahoma"/>
        </w:rPr>
        <w:t xml:space="preserve"> determinó ordenar al Sujeto Obligado el documento en donde conste el reintegro </w:t>
      </w:r>
      <w:r w:rsidR="00325D64">
        <w:rPr>
          <w:rFonts w:ascii="Palatino Linotype" w:hAnsi="Palatino Linotype" w:cs="Tahoma"/>
        </w:rPr>
        <w:lastRenderedPageBreak/>
        <w:t xml:space="preserve">del presupuesto no ejercido </w:t>
      </w:r>
      <w:r w:rsidR="00325D64" w:rsidRPr="00325D64">
        <w:rPr>
          <w:rFonts w:ascii="Palatino Linotype" w:hAnsi="Palatino Linotype" w:cs="Tahoma"/>
        </w:rPr>
        <w:t xml:space="preserve">a la Tesorería de la Federación, del Programa de Devolución de Derechos (PRODDER) en el ejercicio fiscal de </w:t>
      </w:r>
      <w:r w:rsidR="00325D64">
        <w:rPr>
          <w:rFonts w:ascii="Palatino Linotype" w:hAnsi="Palatino Linotype" w:cs="Tahoma"/>
        </w:rPr>
        <w:t>dos mil veinte.</w:t>
      </w:r>
    </w:p>
    <w:p w14:paraId="6622FD4D" w14:textId="77777777" w:rsidR="00503FE6" w:rsidRDefault="00503FE6" w:rsidP="00005D2F">
      <w:pPr>
        <w:spacing w:after="0" w:line="360" w:lineRule="auto"/>
        <w:contextualSpacing/>
        <w:jc w:val="both"/>
        <w:rPr>
          <w:rFonts w:ascii="Palatino Linotype" w:hAnsi="Palatino Linotype" w:cs="Tahoma"/>
        </w:rPr>
      </w:pPr>
    </w:p>
    <w:p w14:paraId="3BB486C8" w14:textId="1989BD26" w:rsidR="00503FE6" w:rsidRDefault="00D45842" w:rsidP="00005D2F">
      <w:pPr>
        <w:spacing w:after="0" w:line="360" w:lineRule="auto"/>
        <w:contextualSpacing/>
        <w:jc w:val="both"/>
        <w:rPr>
          <w:rFonts w:ascii="Palatino Linotype" w:eastAsia="Calibri" w:hAnsi="Palatino Linotype" w:cs="Tahoma"/>
          <w:bCs/>
          <w:lang w:val="es-ES_tradnl"/>
        </w:rPr>
      </w:pPr>
      <w:r>
        <w:rPr>
          <w:rFonts w:ascii="Palatino Linotype" w:eastAsia="Calibri" w:hAnsi="Palatino Linotype" w:cs="Tahoma"/>
          <w:bCs/>
          <w:lang w:val="es-ES_tradnl"/>
        </w:rPr>
        <w:t>En ese sentido</w:t>
      </w:r>
      <w:r w:rsidR="00625A4E">
        <w:rPr>
          <w:rFonts w:ascii="Palatino Linotype" w:eastAsia="Calibri" w:hAnsi="Palatino Linotype" w:cs="Tahoma"/>
          <w:bCs/>
          <w:lang w:val="es-ES_tradnl"/>
        </w:rPr>
        <w:t xml:space="preserve">, es preciso mencionar que no se comparte que se ordena </w:t>
      </w:r>
      <w:r w:rsidR="00A137EA">
        <w:rPr>
          <w:rFonts w:ascii="Palatino Linotype" w:eastAsia="Calibri" w:hAnsi="Palatino Linotype" w:cs="Tahoma"/>
          <w:bCs/>
          <w:lang w:val="es-ES_tradnl"/>
        </w:rPr>
        <w:t xml:space="preserve">la entrega de </w:t>
      </w:r>
      <w:r w:rsidR="00E834EC">
        <w:rPr>
          <w:rFonts w:ascii="Palatino Linotype" w:eastAsia="Calibri" w:hAnsi="Palatino Linotype" w:cs="Tahoma"/>
          <w:bCs/>
          <w:lang w:val="es-ES_tradnl"/>
        </w:rPr>
        <w:t>información que en un principio no pidió el Particular</w:t>
      </w:r>
      <w:r w:rsidR="00747EFA">
        <w:rPr>
          <w:rFonts w:ascii="Palatino Linotype" w:eastAsia="Calibri" w:hAnsi="Palatino Linotype" w:cs="Tahoma"/>
          <w:bCs/>
          <w:lang w:val="es-ES_tradnl"/>
        </w:rPr>
        <w:t xml:space="preserve"> en su solicitud de </w:t>
      </w:r>
      <w:proofErr w:type="gramStart"/>
      <w:r w:rsidR="00747EFA">
        <w:rPr>
          <w:rFonts w:ascii="Palatino Linotype" w:eastAsia="Calibri" w:hAnsi="Palatino Linotype" w:cs="Tahoma"/>
          <w:bCs/>
          <w:lang w:val="es-ES_tradnl"/>
        </w:rPr>
        <w:t xml:space="preserve">información </w:t>
      </w:r>
      <w:r w:rsidR="00E834EC">
        <w:rPr>
          <w:rFonts w:ascii="Palatino Linotype" w:eastAsia="Calibri" w:hAnsi="Palatino Linotype" w:cs="Tahoma"/>
          <w:bCs/>
          <w:lang w:val="es-ES_tradnl"/>
        </w:rPr>
        <w:t>,</w:t>
      </w:r>
      <w:proofErr w:type="gramEnd"/>
      <w:r w:rsidR="00E834EC">
        <w:rPr>
          <w:rFonts w:ascii="Palatino Linotype" w:eastAsia="Calibri" w:hAnsi="Palatino Linotype" w:cs="Tahoma"/>
          <w:bCs/>
          <w:lang w:val="es-ES_tradnl"/>
        </w:rPr>
        <w:t xml:space="preserve"> </w:t>
      </w:r>
      <w:r w:rsidR="00503FE6">
        <w:rPr>
          <w:rFonts w:ascii="Palatino Linotype" w:eastAsia="Calibri" w:hAnsi="Palatino Linotype" w:cs="Tahoma"/>
          <w:bCs/>
          <w:lang w:val="es-ES_tradnl"/>
        </w:rPr>
        <w:t>pues este no requirió los documentos que acrediten el ejercicio del monto referido, s</w:t>
      </w:r>
      <w:r w:rsidR="00E834EC">
        <w:rPr>
          <w:rFonts w:ascii="Palatino Linotype" w:eastAsia="Calibri" w:hAnsi="Palatino Linotype" w:cs="Tahoma"/>
          <w:bCs/>
          <w:lang w:val="es-ES_tradnl"/>
        </w:rPr>
        <w:t>ino</w:t>
      </w:r>
      <w:r w:rsidR="00503FE6">
        <w:rPr>
          <w:rFonts w:ascii="Palatino Linotype" w:eastAsia="Calibri" w:hAnsi="Palatino Linotype" w:cs="Tahoma"/>
          <w:bCs/>
          <w:lang w:val="es-ES_tradnl"/>
        </w:rPr>
        <w:t xml:space="preserve"> el listado de obras que se construyeron con el monto disponible. Aún más, se advierte que el Recurrente pretender dudar de la veracidad de la información; sin embargo, era procedente entrar al estudio de fondo, en virtud de que sí existía un error en el año, pero no así en el listado de obras y monto ejercido, además de que precisó que no erogó la totalidad del Recurso, con lo que se da certeza de la respuesta al Particular.</w:t>
      </w:r>
    </w:p>
    <w:p w14:paraId="783A4626" w14:textId="77777777" w:rsidR="00503FE6" w:rsidRDefault="00503FE6" w:rsidP="00005D2F">
      <w:pPr>
        <w:spacing w:after="0" w:line="360" w:lineRule="auto"/>
        <w:contextualSpacing/>
        <w:jc w:val="both"/>
        <w:rPr>
          <w:rFonts w:ascii="Palatino Linotype" w:eastAsia="Calibri" w:hAnsi="Palatino Linotype" w:cs="Tahoma"/>
          <w:bCs/>
          <w:lang w:val="es-ES_tradnl"/>
        </w:rPr>
      </w:pPr>
    </w:p>
    <w:p w14:paraId="17C91424" w14:textId="6E24BE4C" w:rsidR="00625A4E" w:rsidRDefault="00503FE6" w:rsidP="00005D2F">
      <w:pPr>
        <w:spacing w:after="0" w:line="360" w:lineRule="auto"/>
        <w:contextualSpacing/>
        <w:jc w:val="both"/>
        <w:rPr>
          <w:rFonts w:ascii="Palatino Linotype" w:eastAsia="Calibri" w:hAnsi="Palatino Linotype" w:cs="Tahoma"/>
          <w:bCs/>
          <w:lang w:val="es-ES_tradnl"/>
        </w:rPr>
      </w:pPr>
      <w:r>
        <w:rPr>
          <w:rFonts w:ascii="Palatino Linotype" w:eastAsia="Calibri" w:hAnsi="Palatino Linotype" w:cs="Tahoma"/>
          <w:bCs/>
          <w:lang w:val="es-ES_tradnl"/>
        </w:rPr>
        <w:t>En tal sentido, ordenar la entrega de documentos que no forman parte de la solicitud constituye ordenar la entrega de información que corresponde a una ampliación de la solicitud, no así a garantizar la solicitud original.</w:t>
      </w:r>
      <w:r w:rsidR="00375A93">
        <w:rPr>
          <w:rFonts w:ascii="Palatino Linotype" w:eastAsia="Calibri" w:hAnsi="Palatino Linotype" w:cs="Tahoma"/>
          <w:bCs/>
          <w:lang w:val="es-ES_tradnl"/>
        </w:rPr>
        <w:t xml:space="preserve"> Porque de lo contario, se advierte que,</w:t>
      </w:r>
      <w:r w:rsidR="00E834EC">
        <w:rPr>
          <w:rFonts w:ascii="Palatino Linotype" w:eastAsia="Calibri" w:hAnsi="Palatino Linotype" w:cs="Tahoma"/>
          <w:bCs/>
          <w:lang w:val="es-ES_tradnl"/>
        </w:rPr>
        <w:t xml:space="preserve"> a través de</w:t>
      </w:r>
      <w:r w:rsidR="00375A93">
        <w:rPr>
          <w:rFonts w:ascii="Palatino Linotype" w:eastAsia="Calibri" w:hAnsi="Palatino Linotype" w:cs="Tahoma"/>
          <w:bCs/>
          <w:lang w:val="es-ES_tradnl"/>
        </w:rPr>
        <w:t>l</w:t>
      </w:r>
      <w:r w:rsidR="00E834EC">
        <w:rPr>
          <w:rFonts w:ascii="Palatino Linotype" w:eastAsia="Calibri" w:hAnsi="Palatino Linotype" w:cs="Tahoma"/>
          <w:bCs/>
          <w:lang w:val="es-ES_tradnl"/>
        </w:rPr>
        <w:t xml:space="preserve"> escrito recursa</w:t>
      </w:r>
      <w:r w:rsidR="00747EFA">
        <w:rPr>
          <w:rFonts w:ascii="Palatino Linotype" w:eastAsia="Calibri" w:hAnsi="Palatino Linotype" w:cs="Tahoma"/>
          <w:bCs/>
          <w:lang w:val="es-ES_tradnl"/>
        </w:rPr>
        <w:t>l</w:t>
      </w:r>
      <w:r w:rsidR="00375A93">
        <w:rPr>
          <w:rFonts w:ascii="Palatino Linotype" w:eastAsia="Calibri" w:hAnsi="Palatino Linotype" w:cs="Tahoma"/>
          <w:bCs/>
          <w:lang w:val="es-ES_tradnl"/>
        </w:rPr>
        <w:t xml:space="preserve"> se</w:t>
      </w:r>
      <w:r w:rsidR="00747EFA">
        <w:rPr>
          <w:rFonts w:ascii="Palatino Linotype" w:eastAsia="Calibri" w:hAnsi="Palatino Linotype" w:cs="Tahoma"/>
          <w:bCs/>
          <w:lang w:val="es-ES_tradnl"/>
        </w:rPr>
        <w:t xml:space="preserve"> pretendió obtener información diversa a la inicialmente requerida, al </w:t>
      </w:r>
      <w:proofErr w:type="gramStart"/>
      <w:r w:rsidR="00747EFA">
        <w:rPr>
          <w:rFonts w:ascii="Palatino Linotype" w:eastAsia="Calibri" w:hAnsi="Palatino Linotype" w:cs="Tahoma"/>
          <w:bCs/>
          <w:lang w:val="es-ES_tradnl"/>
        </w:rPr>
        <w:t>solicitar  un</w:t>
      </w:r>
      <w:proofErr w:type="gramEnd"/>
      <w:r w:rsidR="00747EFA">
        <w:rPr>
          <w:rFonts w:ascii="Palatino Linotype" w:eastAsia="Calibri" w:hAnsi="Palatino Linotype" w:cs="Tahoma"/>
          <w:bCs/>
          <w:lang w:val="es-ES_tradnl"/>
        </w:rPr>
        <w:t xml:space="preserve"> documento donde conste la justificación de la </w:t>
      </w:r>
      <w:r w:rsidR="00747EFA" w:rsidRPr="00747EFA">
        <w:rPr>
          <w:rFonts w:ascii="Palatino Linotype" w:eastAsia="Calibri" w:hAnsi="Palatino Linotype" w:cs="Tahoma"/>
          <w:bCs/>
          <w:lang w:val="es-ES_tradnl"/>
        </w:rPr>
        <w:t xml:space="preserve">diferencia presupuestal entre lo recibido para ejercer en obras hidráulicas y lo justificado con la realización de </w:t>
      </w:r>
      <w:r w:rsidR="00747EFA">
        <w:rPr>
          <w:rFonts w:ascii="Palatino Linotype" w:eastAsia="Calibri" w:hAnsi="Palatino Linotype" w:cs="Tahoma"/>
          <w:bCs/>
          <w:lang w:val="es-ES_tradnl"/>
        </w:rPr>
        <w:t xml:space="preserve">las </w:t>
      </w:r>
      <w:r w:rsidR="00747EFA" w:rsidRPr="00747EFA">
        <w:rPr>
          <w:rFonts w:ascii="Palatino Linotype" w:eastAsia="Calibri" w:hAnsi="Palatino Linotype" w:cs="Tahoma"/>
          <w:bCs/>
          <w:lang w:val="es-ES_tradnl"/>
        </w:rPr>
        <w:t>dos obra</w:t>
      </w:r>
      <w:r w:rsidR="00747EFA">
        <w:rPr>
          <w:rFonts w:ascii="Palatino Linotype" w:eastAsia="Calibri" w:hAnsi="Palatino Linotype" w:cs="Tahoma"/>
          <w:bCs/>
          <w:lang w:val="es-ES_tradnl"/>
        </w:rPr>
        <w:t>s que manifestó el Sujeto Obligado.</w:t>
      </w:r>
    </w:p>
    <w:p w14:paraId="67DE0416" w14:textId="31F02371" w:rsidR="001C46EB" w:rsidRDefault="001C46EB" w:rsidP="00005D2F">
      <w:pPr>
        <w:spacing w:after="0" w:line="360" w:lineRule="auto"/>
        <w:contextualSpacing/>
        <w:jc w:val="both"/>
        <w:rPr>
          <w:rFonts w:ascii="Palatino Linotype" w:eastAsia="Calibri" w:hAnsi="Palatino Linotype" w:cs="Tahoma"/>
          <w:bCs/>
          <w:lang w:val="es-ES_tradnl"/>
        </w:rPr>
      </w:pPr>
    </w:p>
    <w:p w14:paraId="5C2EE697" w14:textId="6E129C6E" w:rsidR="00B8268E" w:rsidRPr="00B8268E" w:rsidRDefault="008016EC" w:rsidP="00005D2F">
      <w:pPr>
        <w:spacing w:after="0" w:line="360" w:lineRule="auto"/>
        <w:jc w:val="both"/>
        <w:rPr>
          <w:rFonts w:ascii="Palatino Linotype" w:hAnsi="Palatino Linotype" w:cs="Arial"/>
          <w:bCs/>
          <w:color w:val="000000" w:themeColor="text1"/>
        </w:rPr>
      </w:pPr>
      <w:r>
        <w:rPr>
          <w:rFonts w:ascii="Palatino Linotype" w:eastAsia="Calibri" w:hAnsi="Palatino Linotype" w:cs="Tahoma"/>
          <w:bCs/>
          <w:lang w:val="es-ES_tradnl"/>
        </w:rPr>
        <w:t>A</w:t>
      </w:r>
      <w:r w:rsidR="00D45842">
        <w:rPr>
          <w:rFonts w:ascii="Palatino Linotype" w:eastAsia="Calibri" w:hAnsi="Palatino Linotype" w:cs="Tahoma"/>
          <w:bCs/>
          <w:lang w:val="es-ES_tradnl"/>
        </w:rPr>
        <w:t>sí con base a la normatividad aplicable</w:t>
      </w:r>
      <w:r w:rsidR="00B8268E">
        <w:rPr>
          <w:rFonts w:ascii="Palatino Linotype" w:eastAsia="Calibri" w:hAnsi="Palatino Linotype" w:cs="Tahoma"/>
          <w:bCs/>
          <w:lang w:val="es-ES_tradnl"/>
        </w:rPr>
        <w:t xml:space="preserve">, resulta necesario traer a </w:t>
      </w:r>
      <w:r w:rsidR="00B8268E" w:rsidRPr="00B8268E">
        <w:rPr>
          <w:rFonts w:ascii="Palatino Linotype" w:eastAsia="Times New Roman" w:hAnsi="Palatino Linotype" w:cs="Arial"/>
          <w:bCs/>
          <w:color w:val="000000" w:themeColor="text1"/>
          <w:lang w:val="es-MX" w:eastAsia="es-ES"/>
        </w:rPr>
        <w:t>colación</w:t>
      </w:r>
      <w:r w:rsidR="00B8268E" w:rsidRPr="00B8268E">
        <w:rPr>
          <w:rFonts w:ascii="Palatino Linotype" w:hAnsi="Palatino Linotype" w:cs="Arial"/>
          <w:bCs/>
          <w:color w:val="000000" w:themeColor="text1"/>
        </w:rPr>
        <w:t xml:space="preserve"> el artículo 191, fracción VII, de la Ley de Transparencia y Acceso a la Información Pública del Estado de México y Municipios, el cual establece que el Recurso de Revisión será desechado por </w:t>
      </w:r>
      <w:r w:rsidR="00B8268E" w:rsidRPr="00B8268E">
        <w:rPr>
          <w:rFonts w:ascii="Palatino Linotype" w:hAnsi="Palatino Linotype" w:cs="Arial"/>
          <w:bCs/>
          <w:color w:val="000000" w:themeColor="text1"/>
        </w:rPr>
        <w:lastRenderedPageBreak/>
        <w:t xml:space="preserve">improcedente, cuando la parte Recurrente </w:t>
      </w:r>
      <w:r w:rsidR="00B8268E" w:rsidRPr="00B8268E">
        <w:rPr>
          <w:rFonts w:ascii="Palatino Linotype" w:hAnsi="Palatino Linotype" w:cs="Arial"/>
          <w:b/>
          <w:color w:val="000000" w:themeColor="text1"/>
          <w:u w:val="single"/>
        </w:rPr>
        <w:t>amplíe su solicitud en el medio de impugnación</w:t>
      </w:r>
      <w:r w:rsidR="00B8268E" w:rsidRPr="00B8268E">
        <w:rPr>
          <w:rFonts w:ascii="Palatino Linotype" w:hAnsi="Palatino Linotype" w:cs="Arial"/>
          <w:bCs/>
          <w:color w:val="000000" w:themeColor="text1"/>
        </w:rPr>
        <w:t>, tal como se observa a continuación:</w:t>
      </w:r>
    </w:p>
    <w:p w14:paraId="0E511B48" w14:textId="77777777" w:rsidR="00B8268E" w:rsidRPr="00B8268E" w:rsidRDefault="00B8268E" w:rsidP="00005D2F">
      <w:pPr>
        <w:spacing w:after="0" w:line="360" w:lineRule="auto"/>
        <w:jc w:val="both"/>
        <w:rPr>
          <w:rFonts w:ascii="Palatino Linotype" w:hAnsi="Palatino Linotype" w:cs="Arial"/>
          <w:bCs/>
          <w:color w:val="000000" w:themeColor="text1"/>
        </w:rPr>
      </w:pPr>
    </w:p>
    <w:p w14:paraId="58904643" w14:textId="77777777" w:rsidR="00B8268E" w:rsidRPr="00B8268E" w:rsidRDefault="00B8268E" w:rsidP="00005D2F">
      <w:pPr>
        <w:spacing w:after="0" w:line="360" w:lineRule="auto"/>
        <w:ind w:left="567" w:right="567"/>
        <w:jc w:val="both"/>
        <w:rPr>
          <w:rFonts w:ascii="Palatino Linotype" w:hAnsi="Palatino Linotype" w:cs="Arial"/>
          <w:bCs/>
          <w:i/>
          <w:color w:val="000000" w:themeColor="text1"/>
          <w:sz w:val="20"/>
          <w:szCs w:val="20"/>
        </w:rPr>
      </w:pPr>
      <w:r w:rsidRPr="00B8268E">
        <w:rPr>
          <w:rFonts w:ascii="Palatino Linotype" w:hAnsi="Palatino Linotype" w:cs="Arial"/>
          <w:b/>
          <w:bCs/>
          <w:i/>
          <w:color w:val="000000" w:themeColor="text1"/>
          <w:sz w:val="20"/>
          <w:szCs w:val="20"/>
        </w:rPr>
        <w:t xml:space="preserve">“Artículo 191. </w:t>
      </w:r>
      <w:r w:rsidRPr="00B8268E">
        <w:rPr>
          <w:rFonts w:ascii="Palatino Linotype" w:hAnsi="Palatino Linotype" w:cs="Arial"/>
          <w:bCs/>
          <w:i/>
          <w:color w:val="000000" w:themeColor="text1"/>
          <w:sz w:val="20"/>
          <w:szCs w:val="20"/>
        </w:rPr>
        <w:t>El recurso será desechado por improcedente cuando:</w:t>
      </w:r>
    </w:p>
    <w:p w14:paraId="31E45F84" w14:textId="77777777" w:rsidR="00B8268E" w:rsidRPr="00B8268E" w:rsidRDefault="00B8268E" w:rsidP="00005D2F">
      <w:pPr>
        <w:spacing w:after="0" w:line="360" w:lineRule="auto"/>
        <w:ind w:left="567" w:right="567"/>
        <w:jc w:val="both"/>
        <w:rPr>
          <w:rFonts w:ascii="Palatino Linotype" w:hAnsi="Palatino Linotype" w:cs="Arial"/>
          <w:bCs/>
          <w:i/>
          <w:color w:val="000000" w:themeColor="text1"/>
          <w:sz w:val="20"/>
          <w:szCs w:val="20"/>
        </w:rPr>
      </w:pPr>
      <w:r w:rsidRPr="00B8268E">
        <w:rPr>
          <w:rFonts w:ascii="Palatino Linotype" w:hAnsi="Palatino Linotype" w:cs="Arial"/>
          <w:bCs/>
          <w:i/>
          <w:color w:val="000000" w:themeColor="text1"/>
          <w:sz w:val="20"/>
          <w:szCs w:val="20"/>
        </w:rPr>
        <w:t>…</w:t>
      </w:r>
    </w:p>
    <w:p w14:paraId="2131295D" w14:textId="77777777" w:rsidR="00B8268E" w:rsidRPr="00E76B79" w:rsidRDefault="00B8268E" w:rsidP="00005D2F">
      <w:pPr>
        <w:spacing w:after="0" w:line="360" w:lineRule="auto"/>
        <w:ind w:left="567" w:right="567"/>
        <w:jc w:val="both"/>
        <w:rPr>
          <w:rFonts w:ascii="Palatino Linotype" w:hAnsi="Palatino Linotype" w:cs="Arial"/>
          <w:bCs/>
          <w:i/>
          <w:color w:val="000000" w:themeColor="text1"/>
          <w:sz w:val="20"/>
          <w:szCs w:val="20"/>
        </w:rPr>
      </w:pPr>
      <w:r w:rsidRPr="00B8268E">
        <w:rPr>
          <w:rFonts w:ascii="Palatino Linotype" w:hAnsi="Palatino Linotype" w:cs="Arial"/>
          <w:bCs/>
          <w:i/>
          <w:color w:val="000000" w:themeColor="text1"/>
          <w:sz w:val="20"/>
          <w:szCs w:val="20"/>
        </w:rPr>
        <w:t>VII. El recurrente amplíe su solicitud en el recurso de revisión, únicamente respecto de los nuevos contenidos.”</w:t>
      </w:r>
    </w:p>
    <w:p w14:paraId="760CA987" w14:textId="77777777" w:rsidR="00B8268E" w:rsidRDefault="00B8268E" w:rsidP="00005D2F">
      <w:pPr>
        <w:spacing w:after="0" w:line="360" w:lineRule="auto"/>
        <w:jc w:val="both"/>
        <w:rPr>
          <w:rFonts w:ascii="Palatino Linotype" w:eastAsia="Times New Roman" w:hAnsi="Palatino Linotype" w:cs="Arial"/>
          <w:bCs/>
          <w:color w:val="000000" w:themeColor="text1"/>
          <w:lang w:val="es-MX" w:eastAsia="es-ES"/>
        </w:rPr>
      </w:pPr>
    </w:p>
    <w:p w14:paraId="5C89E9AA" w14:textId="6712D088" w:rsidR="004B5D76" w:rsidRDefault="00B8268E" w:rsidP="00005D2F">
      <w:pPr>
        <w:spacing w:after="0" w:line="360" w:lineRule="auto"/>
        <w:jc w:val="both"/>
        <w:rPr>
          <w:rFonts w:ascii="Palatino Linotype" w:eastAsia="Times New Roman" w:hAnsi="Palatino Linotype" w:cs="Arial"/>
          <w:bCs/>
          <w:color w:val="000000" w:themeColor="text1"/>
          <w:lang w:val="es-MX" w:eastAsia="es-ES"/>
        </w:rPr>
      </w:pPr>
      <w:r w:rsidRPr="00B8268E">
        <w:rPr>
          <w:rFonts w:ascii="Palatino Linotype" w:eastAsia="Times New Roman" w:hAnsi="Palatino Linotype" w:cs="Arial"/>
          <w:bCs/>
          <w:color w:val="000000" w:themeColor="text1"/>
          <w:lang w:val="es-MX" w:eastAsia="es-ES"/>
        </w:rPr>
        <w:t xml:space="preserve">En ese contexto, </w:t>
      </w:r>
      <w:r w:rsidR="0060151C" w:rsidRPr="0060151C">
        <w:rPr>
          <w:rFonts w:ascii="Palatino Linotype" w:eastAsia="Times New Roman" w:hAnsi="Palatino Linotype" w:cs="Arial"/>
          <w:bCs/>
          <w:color w:val="000000" w:themeColor="text1"/>
          <w:lang w:val="es-MX" w:eastAsia="es-ES"/>
        </w:rPr>
        <w:t>del contraste entre el planteamiento formulado en la solicitud de información y de las manifestaciones vertidas por el ahora Recurrente</w:t>
      </w:r>
      <w:r w:rsidRPr="00B8268E">
        <w:rPr>
          <w:rFonts w:ascii="Palatino Linotype" w:eastAsia="Times New Roman" w:hAnsi="Palatino Linotype" w:cs="Arial"/>
          <w:bCs/>
          <w:color w:val="000000" w:themeColor="text1"/>
          <w:lang w:val="es-MX" w:eastAsia="es-ES"/>
        </w:rPr>
        <w:t xml:space="preserve">, se desprende que el </w:t>
      </w:r>
      <w:r w:rsidR="00375A93">
        <w:rPr>
          <w:rFonts w:ascii="Palatino Linotype" w:eastAsia="Times New Roman" w:hAnsi="Palatino Linotype" w:cs="Arial"/>
          <w:bCs/>
          <w:color w:val="000000" w:themeColor="text1"/>
          <w:lang w:val="es-MX" w:eastAsia="es-ES"/>
        </w:rPr>
        <w:t>ordenar la entrega de un documento distinto a lo solicitado corresponde a la ampliación de la solicitud, cuya atención de debe ser atendida en un recurso de revisión.</w:t>
      </w:r>
      <w:r w:rsidR="00B264A0">
        <w:rPr>
          <w:rFonts w:ascii="Palatino Linotype" w:eastAsia="Times New Roman" w:hAnsi="Palatino Linotype" w:cs="Arial"/>
          <w:bCs/>
          <w:color w:val="000000" w:themeColor="text1"/>
          <w:lang w:val="es-MX" w:eastAsia="es-ES"/>
        </w:rPr>
        <w:t xml:space="preserve"> </w:t>
      </w:r>
      <w:r w:rsidR="004B5D76" w:rsidRPr="004B5D76">
        <w:rPr>
          <w:rFonts w:ascii="Palatino Linotype" w:eastAsia="Times New Roman" w:hAnsi="Palatino Linotype" w:cs="Arial"/>
          <w:bCs/>
          <w:color w:val="000000" w:themeColor="text1"/>
          <w:lang w:val="es-MX" w:eastAsia="es-ES"/>
        </w:rPr>
        <w:t>En ese orden de ideas, la ampliación a la solicitud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w:t>
      </w:r>
    </w:p>
    <w:p w14:paraId="1BA6B622" w14:textId="77777777" w:rsidR="001C46EB" w:rsidRPr="005D6947" w:rsidRDefault="001C46EB" w:rsidP="00005D2F">
      <w:pPr>
        <w:spacing w:after="0" w:line="360" w:lineRule="auto"/>
        <w:jc w:val="both"/>
        <w:rPr>
          <w:rFonts w:ascii="Palatino Linotype" w:hAnsi="Palatino Linotype" w:cs="Tahoma"/>
        </w:rPr>
      </w:pPr>
    </w:p>
    <w:p w14:paraId="4FFE5430" w14:textId="04D01963" w:rsidR="004B5D76" w:rsidRPr="004B5D76" w:rsidRDefault="004B5D76" w:rsidP="00005D2F">
      <w:pPr>
        <w:shd w:val="clear" w:color="auto" w:fill="FFFFFF"/>
        <w:spacing w:after="0" w:line="360" w:lineRule="auto"/>
        <w:jc w:val="both"/>
        <w:rPr>
          <w:rFonts w:ascii="Palatino Linotype" w:eastAsia="Times New Roman" w:hAnsi="Palatino Linotype" w:cs="Times New Roman"/>
          <w:color w:val="222222"/>
          <w:lang w:val="es-MX" w:eastAsia="es-MX"/>
        </w:rPr>
      </w:pPr>
      <w:r>
        <w:rPr>
          <w:rFonts w:ascii="Palatino Linotype" w:hAnsi="Palatino Linotype" w:cs="Tahoma"/>
        </w:rPr>
        <w:t xml:space="preserve">Por lo anterior, resulta </w:t>
      </w:r>
      <w:r w:rsidRPr="004B5D76">
        <w:rPr>
          <w:rFonts w:ascii="Palatino Linotype" w:eastAsia="Times New Roman" w:hAnsi="Palatino Linotype" w:cs="Times New Roman"/>
          <w:color w:val="222222"/>
          <w:lang w:val="es-MX" w:eastAsia="es-MX"/>
        </w:rPr>
        <w:t>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6AF099C4" w14:textId="77777777" w:rsidR="004B5D76" w:rsidRPr="004B5D76" w:rsidRDefault="004B5D76" w:rsidP="00005D2F">
      <w:pPr>
        <w:shd w:val="clear" w:color="auto" w:fill="FFFFFF"/>
        <w:spacing w:after="0" w:line="360" w:lineRule="auto"/>
        <w:jc w:val="both"/>
        <w:rPr>
          <w:rFonts w:ascii="Palatino Linotype" w:eastAsia="Times New Roman" w:hAnsi="Palatino Linotype" w:cs="Times New Roman"/>
          <w:color w:val="222222"/>
          <w:lang w:val="es-MX" w:eastAsia="es-MX"/>
        </w:rPr>
      </w:pPr>
    </w:p>
    <w:p w14:paraId="2B47D65C" w14:textId="77777777" w:rsidR="004B5D76" w:rsidRPr="00B264A0" w:rsidRDefault="004B5D76" w:rsidP="00005D2F">
      <w:pPr>
        <w:shd w:val="clear" w:color="auto" w:fill="FFFFFF"/>
        <w:spacing w:after="0" w:line="360" w:lineRule="auto"/>
        <w:ind w:left="567" w:right="567"/>
        <w:jc w:val="both"/>
        <w:rPr>
          <w:rFonts w:ascii="Palatino Linotype" w:eastAsia="Times New Roman" w:hAnsi="Palatino Linotype" w:cs="Times New Roman"/>
          <w:i/>
          <w:iCs/>
          <w:color w:val="222222"/>
          <w:sz w:val="20"/>
          <w:szCs w:val="20"/>
          <w:lang w:val="es-MX" w:eastAsia="es-MX"/>
        </w:rPr>
      </w:pPr>
      <w:r w:rsidRPr="00B264A0">
        <w:rPr>
          <w:rFonts w:ascii="Palatino Linotype" w:eastAsia="Times New Roman" w:hAnsi="Palatino Linotype" w:cs="Times New Roman"/>
          <w:i/>
          <w:iCs/>
          <w:color w:val="222222"/>
          <w:sz w:val="20"/>
          <w:szCs w:val="20"/>
          <w:lang w:val="es-MX" w:eastAsia="es-MX"/>
        </w:rPr>
        <w:t>“</w:t>
      </w:r>
      <w:r w:rsidRPr="00B264A0">
        <w:rPr>
          <w:rFonts w:ascii="Palatino Linotype" w:eastAsia="Times New Roman" w:hAnsi="Palatino Linotype" w:cs="Times New Roman"/>
          <w:b/>
          <w:i/>
          <w:iCs/>
          <w:color w:val="222222"/>
          <w:sz w:val="20"/>
          <w:szCs w:val="20"/>
          <w:lang w:val="es-MX" w:eastAsia="es-MX"/>
        </w:rPr>
        <w:t>Es improcedente ampliar las solicitudes de acceso a información, a través de la interposición del recurso de revisión.</w:t>
      </w:r>
      <w:r w:rsidRPr="00B264A0">
        <w:rPr>
          <w:rFonts w:ascii="Palatino Linotype" w:eastAsia="Times New Roman" w:hAnsi="Palatino Linotype" w:cs="Times New Roman"/>
          <w:i/>
          <w:iCs/>
          <w:color w:val="222222"/>
          <w:sz w:val="20"/>
          <w:szCs w:val="20"/>
          <w:lang w:val="es-MX" w:eastAsia="es-MX"/>
        </w:rPr>
        <w:t xml:space="preserve"> En términos de los artículos 155, fracción VII de la Ley General de Transparencia y Acceso a la Información Pública, y 161, fracción VII de la Ley Federal </w:t>
      </w:r>
      <w:r w:rsidRPr="00B264A0">
        <w:rPr>
          <w:rFonts w:ascii="Palatino Linotype" w:eastAsia="Times New Roman" w:hAnsi="Palatino Linotype" w:cs="Times New Roman"/>
          <w:i/>
          <w:iCs/>
          <w:color w:val="222222"/>
          <w:sz w:val="20"/>
          <w:szCs w:val="20"/>
          <w:lang w:val="es-MX" w:eastAsia="es-MX"/>
        </w:rPr>
        <w:lastRenderedPageBreak/>
        <w:t>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DF75F76" w14:textId="77777777" w:rsidR="004B5D76" w:rsidRPr="004B5D76" w:rsidRDefault="004B5D76" w:rsidP="00005D2F">
      <w:pPr>
        <w:shd w:val="clear" w:color="auto" w:fill="FFFFFF"/>
        <w:spacing w:after="0" w:line="360" w:lineRule="auto"/>
        <w:ind w:left="567" w:right="567"/>
        <w:jc w:val="both"/>
        <w:rPr>
          <w:rFonts w:ascii="Palatino Linotype" w:eastAsia="Times New Roman" w:hAnsi="Palatino Linotype" w:cs="Times New Roman"/>
          <w:color w:val="222222"/>
          <w:sz w:val="20"/>
          <w:szCs w:val="20"/>
          <w:lang w:val="es-MX" w:eastAsia="es-MX"/>
        </w:rPr>
      </w:pPr>
    </w:p>
    <w:p w14:paraId="7D8FE599" w14:textId="09224A7F" w:rsidR="00232F02" w:rsidRDefault="004B5D76" w:rsidP="00232F02">
      <w:pPr>
        <w:shd w:val="clear" w:color="auto" w:fill="FFFFFF"/>
        <w:spacing w:after="0" w:line="360" w:lineRule="auto"/>
        <w:jc w:val="both"/>
        <w:rPr>
          <w:rFonts w:ascii="Palatino Linotype" w:eastAsia="Times New Roman" w:hAnsi="Palatino Linotype" w:cs="Times New Roman"/>
          <w:color w:val="222222"/>
          <w:lang w:val="es-MX" w:eastAsia="es-MX"/>
        </w:rPr>
      </w:pPr>
      <w:r w:rsidRPr="004B5D76">
        <w:rPr>
          <w:rFonts w:ascii="Palatino Linotype" w:eastAsia="Times New Roman" w:hAnsi="Palatino Linotype" w:cs="Times New Roman"/>
          <w:color w:val="222222"/>
          <w:lang w:val="es-MX" w:eastAsia="es-MX"/>
        </w:rPr>
        <w:t>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w:t>
      </w:r>
    </w:p>
    <w:p w14:paraId="0390B059" w14:textId="77777777" w:rsidR="00232F02" w:rsidRPr="00232F02" w:rsidRDefault="00232F02" w:rsidP="00232F02">
      <w:pPr>
        <w:shd w:val="clear" w:color="auto" w:fill="FFFFFF"/>
        <w:spacing w:after="0" w:line="360" w:lineRule="auto"/>
        <w:jc w:val="both"/>
        <w:rPr>
          <w:rFonts w:ascii="Palatino Linotype" w:eastAsia="Times New Roman" w:hAnsi="Palatino Linotype" w:cs="Times New Roman"/>
          <w:color w:val="222222"/>
          <w:lang w:val="es-MX" w:eastAsia="es-MX"/>
        </w:rPr>
      </w:pPr>
    </w:p>
    <w:p w14:paraId="40622874" w14:textId="2EA4A663" w:rsidR="00994C68" w:rsidRDefault="005273C7" w:rsidP="00005D2F">
      <w:pPr>
        <w:spacing w:after="0" w:line="360" w:lineRule="auto"/>
        <w:jc w:val="both"/>
        <w:rPr>
          <w:rFonts w:ascii="Palatino Linotype" w:hAnsi="Palatino Linotype"/>
        </w:rPr>
      </w:pPr>
      <w:r>
        <w:rPr>
          <w:rFonts w:ascii="Palatino Linotype" w:hAnsi="Palatino Linotype"/>
        </w:rPr>
        <w:t xml:space="preserve">Por lo anterior, ordenar que el Sujeto Obligado entregue un documento </w:t>
      </w:r>
      <w:r w:rsidR="008D7232">
        <w:rPr>
          <w:rFonts w:ascii="Palatino Linotype" w:hAnsi="Palatino Linotype"/>
        </w:rPr>
        <w:t>con</w:t>
      </w:r>
      <w:r>
        <w:rPr>
          <w:rFonts w:ascii="Palatino Linotype" w:hAnsi="Palatino Linotype"/>
        </w:rPr>
        <w:t xml:space="preserve"> el que acredite que se </w:t>
      </w:r>
      <w:r w:rsidR="00994C68">
        <w:rPr>
          <w:rFonts w:ascii="Palatino Linotype" w:hAnsi="Palatino Linotype"/>
        </w:rPr>
        <w:t>ejerció</w:t>
      </w:r>
      <w:r>
        <w:rPr>
          <w:rFonts w:ascii="Palatino Linotype" w:hAnsi="Palatino Linotype"/>
        </w:rPr>
        <w:t xml:space="preserve"> la totalidad de los recursos, como el particular manifiesta </w:t>
      </w:r>
      <w:r w:rsidR="00994C68">
        <w:rPr>
          <w:rFonts w:ascii="Palatino Linotype" w:hAnsi="Palatino Linotype"/>
        </w:rPr>
        <w:t xml:space="preserve">como </w:t>
      </w:r>
      <w:r>
        <w:rPr>
          <w:rFonts w:ascii="Palatino Linotype" w:hAnsi="Palatino Linotype"/>
        </w:rPr>
        <w:t>agravios</w:t>
      </w:r>
      <w:r w:rsidR="00994C68">
        <w:rPr>
          <w:rFonts w:ascii="Palatino Linotype" w:hAnsi="Palatino Linotype"/>
        </w:rPr>
        <w:t xml:space="preserve"> o motivos de inconformidad en el Recurso de Revisión</w:t>
      </w:r>
      <w:r>
        <w:rPr>
          <w:rFonts w:ascii="Palatino Linotype" w:hAnsi="Palatino Linotype"/>
        </w:rPr>
        <w:t xml:space="preserve">, es atender la ampliación de la solicitud, </w:t>
      </w:r>
      <w:r w:rsidR="00994C68">
        <w:rPr>
          <w:rFonts w:ascii="Palatino Linotype" w:hAnsi="Palatino Linotype"/>
        </w:rPr>
        <w:t xml:space="preserve">derivado de que, </w:t>
      </w:r>
      <w:r>
        <w:rPr>
          <w:rFonts w:ascii="Palatino Linotype" w:hAnsi="Palatino Linotype"/>
        </w:rPr>
        <w:t>con l</w:t>
      </w:r>
      <w:r w:rsidR="00994C68">
        <w:rPr>
          <w:rFonts w:ascii="Palatino Linotype" w:hAnsi="Palatino Linotype"/>
        </w:rPr>
        <w:t>a información</w:t>
      </w:r>
      <w:r>
        <w:rPr>
          <w:rFonts w:ascii="Palatino Linotype" w:hAnsi="Palatino Linotype"/>
        </w:rPr>
        <w:t xml:space="preserve"> que </w:t>
      </w:r>
      <w:r w:rsidR="00994C68">
        <w:rPr>
          <w:rFonts w:ascii="Palatino Linotype" w:hAnsi="Palatino Linotype"/>
        </w:rPr>
        <w:t xml:space="preserve">el Sujeto Obligado </w:t>
      </w:r>
      <w:r>
        <w:rPr>
          <w:rFonts w:ascii="Palatino Linotype" w:hAnsi="Palatino Linotype"/>
        </w:rPr>
        <w:t>entreg</w:t>
      </w:r>
      <w:r w:rsidR="00994C68">
        <w:rPr>
          <w:rFonts w:ascii="Palatino Linotype" w:hAnsi="Palatino Linotype"/>
        </w:rPr>
        <w:t>ó,</w:t>
      </w:r>
      <w:r>
        <w:rPr>
          <w:rFonts w:ascii="Palatino Linotype" w:hAnsi="Palatino Linotype"/>
        </w:rPr>
        <w:t xml:space="preserve"> da </w:t>
      </w:r>
      <w:r w:rsidR="00994C68">
        <w:rPr>
          <w:rFonts w:ascii="Palatino Linotype" w:hAnsi="Palatino Linotype"/>
        </w:rPr>
        <w:t>cuenta</w:t>
      </w:r>
      <w:r>
        <w:rPr>
          <w:rFonts w:ascii="Palatino Linotype" w:hAnsi="Palatino Linotype"/>
        </w:rPr>
        <w:t xml:space="preserve"> de lo solicitado por el </w:t>
      </w:r>
      <w:r w:rsidR="008D7232">
        <w:rPr>
          <w:rFonts w:ascii="Palatino Linotype" w:hAnsi="Palatino Linotype"/>
        </w:rPr>
        <w:t>P</w:t>
      </w:r>
      <w:r>
        <w:rPr>
          <w:rFonts w:ascii="Palatino Linotype" w:hAnsi="Palatino Linotype"/>
        </w:rPr>
        <w:t xml:space="preserve">articular. </w:t>
      </w:r>
    </w:p>
    <w:p w14:paraId="461A71E6" w14:textId="77777777" w:rsidR="008D7232" w:rsidRPr="005D6947" w:rsidRDefault="008D7232" w:rsidP="00005D2F">
      <w:pPr>
        <w:spacing w:after="0" w:line="360" w:lineRule="auto"/>
        <w:jc w:val="both"/>
        <w:rPr>
          <w:rFonts w:ascii="Palatino Linotype" w:hAnsi="Palatino Linotype"/>
        </w:rPr>
      </w:pPr>
    </w:p>
    <w:p w14:paraId="0F68ECC7" w14:textId="77777777" w:rsidR="001C46EB" w:rsidRDefault="001C46EB" w:rsidP="00005D2F">
      <w:pPr>
        <w:spacing w:after="0" w:line="360" w:lineRule="auto"/>
        <w:jc w:val="both"/>
        <w:rPr>
          <w:rFonts w:ascii="Palatino Linotype" w:hAnsi="Palatino Linotype" w:cs="Tahoma"/>
        </w:rPr>
      </w:pPr>
      <w:r w:rsidRPr="005D6947">
        <w:rPr>
          <w:rFonts w:ascii="Palatino Linotype" w:hAnsi="Palatino Linotype" w:cs="Tahoma"/>
        </w:rPr>
        <w:t xml:space="preserve">Así, con base en los razonamientos expuestos, se emite el Presente </w:t>
      </w:r>
      <w:r w:rsidRPr="005D6947">
        <w:rPr>
          <w:rFonts w:ascii="Palatino Linotype" w:hAnsi="Palatino Linotype" w:cs="Tahoma"/>
          <w:b/>
        </w:rPr>
        <w:t>Voto Particular.</w:t>
      </w:r>
      <w:r w:rsidRPr="005D6947">
        <w:rPr>
          <w:rFonts w:ascii="Palatino Linotype" w:hAnsi="Palatino Linotype" w:cs="Tahoma"/>
        </w:rPr>
        <w:t>-------------------------------------------</w:t>
      </w:r>
      <w:r>
        <w:rPr>
          <w:rFonts w:ascii="Palatino Linotype" w:hAnsi="Palatino Linotype" w:cs="Tahoma"/>
        </w:rPr>
        <w:t>-----</w:t>
      </w:r>
      <w:r w:rsidRPr="005D6947">
        <w:rPr>
          <w:rFonts w:ascii="Palatino Linotype" w:hAnsi="Palatino Linotype" w:cs="Tahoma"/>
        </w:rPr>
        <w:t>-----------------------------------------------------------------------------------</w:t>
      </w:r>
    </w:p>
    <w:p w14:paraId="20EDE9B5" w14:textId="17AB4240" w:rsidR="008D7232" w:rsidRDefault="008D7232" w:rsidP="001C46EB">
      <w:pPr>
        <w:spacing w:after="0" w:line="360" w:lineRule="auto"/>
        <w:jc w:val="both"/>
        <w:rPr>
          <w:rFonts w:ascii="Palatino Linotype" w:hAnsi="Palatino Linotype" w:cs="Tahoma"/>
        </w:rPr>
      </w:pPr>
    </w:p>
    <w:p w14:paraId="20194FF8" w14:textId="77777777" w:rsidR="008D7232" w:rsidRDefault="008D7232">
      <w:pPr>
        <w:rPr>
          <w:rFonts w:ascii="Palatino Linotype" w:hAnsi="Palatino Linotype" w:cs="Tahoma"/>
        </w:rPr>
      </w:pPr>
      <w:r>
        <w:rPr>
          <w:rFonts w:ascii="Palatino Linotype" w:hAnsi="Palatino Linotype" w:cs="Tahoma"/>
        </w:rPr>
        <w:br w:type="page"/>
      </w:r>
    </w:p>
    <w:p w14:paraId="12927550" w14:textId="77777777" w:rsidR="001C46EB" w:rsidRDefault="001C46EB" w:rsidP="001C46EB">
      <w:pPr>
        <w:spacing w:after="0" w:line="360" w:lineRule="auto"/>
        <w:jc w:val="both"/>
        <w:rPr>
          <w:rFonts w:ascii="Palatino Linotype" w:hAnsi="Palatino Linotype" w:cs="Tahoma"/>
        </w:rPr>
      </w:pPr>
    </w:p>
    <w:p w14:paraId="622B84D1" w14:textId="77777777" w:rsidR="001C46EB" w:rsidRDefault="001C46EB" w:rsidP="001C46EB">
      <w:pPr>
        <w:spacing w:after="0" w:line="360" w:lineRule="auto"/>
        <w:jc w:val="both"/>
        <w:rPr>
          <w:rFonts w:ascii="Palatino Linotype" w:hAnsi="Palatino Linotype" w:cs="Tahoma"/>
        </w:rPr>
      </w:pPr>
    </w:p>
    <w:p w14:paraId="3A932B61" w14:textId="77777777" w:rsidR="001C46EB" w:rsidRDefault="001C46EB" w:rsidP="001C46EB">
      <w:pPr>
        <w:spacing w:after="0" w:line="360" w:lineRule="auto"/>
        <w:jc w:val="both"/>
        <w:rPr>
          <w:rFonts w:ascii="Palatino Linotype" w:hAnsi="Palatino Linotype" w:cs="Tahoma"/>
        </w:rPr>
      </w:pPr>
    </w:p>
    <w:p w14:paraId="3AF3FFD5" w14:textId="77777777" w:rsidR="001C46EB" w:rsidRDefault="001C46EB" w:rsidP="001C46EB">
      <w:pPr>
        <w:spacing w:after="0" w:line="360" w:lineRule="auto"/>
        <w:jc w:val="both"/>
        <w:rPr>
          <w:rFonts w:ascii="Palatino Linotype" w:hAnsi="Palatino Linotype" w:cs="Tahoma"/>
        </w:rPr>
      </w:pPr>
    </w:p>
    <w:p w14:paraId="3DAA4ED1" w14:textId="77777777" w:rsidR="001C46EB" w:rsidRDefault="001C46EB" w:rsidP="001C46EB">
      <w:pPr>
        <w:spacing w:after="0" w:line="360" w:lineRule="auto"/>
        <w:jc w:val="both"/>
        <w:rPr>
          <w:rFonts w:ascii="Palatino Linotype" w:hAnsi="Palatino Linotype" w:cs="Tahoma"/>
        </w:rPr>
      </w:pPr>
    </w:p>
    <w:p w14:paraId="499E89DB" w14:textId="77777777" w:rsidR="001C46EB" w:rsidRDefault="001C46EB" w:rsidP="001C46EB">
      <w:pPr>
        <w:spacing w:after="0" w:line="360" w:lineRule="auto"/>
        <w:jc w:val="both"/>
        <w:rPr>
          <w:rFonts w:ascii="Palatino Linotype" w:hAnsi="Palatino Linotype" w:cs="Tahoma"/>
        </w:rPr>
      </w:pPr>
    </w:p>
    <w:p w14:paraId="621B7FE8" w14:textId="77777777" w:rsidR="001C46EB" w:rsidRPr="005D6947" w:rsidRDefault="001C46EB" w:rsidP="001C46EB">
      <w:pPr>
        <w:spacing w:after="0" w:line="360" w:lineRule="auto"/>
        <w:jc w:val="both"/>
        <w:rPr>
          <w:rFonts w:ascii="Palatino Linotype" w:hAnsi="Palatino Linotype" w:cs="Tahoma"/>
          <w:b/>
        </w:rPr>
      </w:pPr>
    </w:p>
    <w:p w14:paraId="5406CFF5" w14:textId="77777777" w:rsidR="001C46EB" w:rsidRPr="005D6947" w:rsidRDefault="001C46EB" w:rsidP="001C46EB">
      <w:pPr>
        <w:spacing w:after="0" w:line="360" w:lineRule="auto"/>
        <w:jc w:val="both"/>
        <w:rPr>
          <w:rFonts w:ascii="Palatino Linotype" w:hAnsi="Palatino Linotype" w:cs="Tahoma"/>
          <w:b/>
        </w:rPr>
      </w:pPr>
    </w:p>
    <w:p w14:paraId="2464BA54" w14:textId="77777777" w:rsidR="001C46EB" w:rsidRPr="005D6947" w:rsidRDefault="001C46EB" w:rsidP="001C46EB">
      <w:pPr>
        <w:spacing w:after="0" w:line="360" w:lineRule="auto"/>
        <w:jc w:val="both"/>
        <w:rPr>
          <w:rFonts w:ascii="Palatino Linotype" w:hAnsi="Palatino Linotype" w:cs="Tahoma"/>
          <w:b/>
        </w:rPr>
      </w:pPr>
    </w:p>
    <w:p w14:paraId="474CF791" w14:textId="77777777" w:rsidR="001C46EB" w:rsidRPr="005D6947" w:rsidRDefault="001C46EB" w:rsidP="001C46EB">
      <w:pPr>
        <w:spacing w:after="0" w:line="360" w:lineRule="auto"/>
        <w:jc w:val="both"/>
        <w:rPr>
          <w:rFonts w:ascii="Palatino Linotype" w:hAnsi="Palatino Linotype" w:cs="Tahoma"/>
          <w:b/>
        </w:rPr>
      </w:pPr>
    </w:p>
    <w:p w14:paraId="6EC2415A" w14:textId="77777777" w:rsidR="001C46EB" w:rsidRPr="005D6947" w:rsidRDefault="001C46EB" w:rsidP="001C46EB">
      <w:pPr>
        <w:spacing w:after="0" w:line="360" w:lineRule="auto"/>
        <w:jc w:val="both"/>
        <w:rPr>
          <w:rFonts w:ascii="Palatino Linotype" w:hAnsi="Palatino Linotype" w:cs="Tahoma"/>
          <w:b/>
        </w:rPr>
      </w:pPr>
    </w:p>
    <w:p w14:paraId="2D520512" w14:textId="77777777" w:rsidR="001C46EB" w:rsidRDefault="001C46EB" w:rsidP="0039411A">
      <w:pPr>
        <w:spacing w:after="0" w:line="360" w:lineRule="auto"/>
        <w:contextualSpacing/>
        <w:jc w:val="both"/>
        <w:rPr>
          <w:rFonts w:ascii="Palatino Linotype" w:eastAsia="Calibri" w:hAnsi="Palatino Linotype" w:cs="Tahoma"/>
          <w:bCs/>
          <w:lang w:val="es-ES_tradnl"/>
        </w:rPr>
      </w:pPr>
    </w:p>
    <w:p w14:paraId="3E994241" w14:textId="77777777" w:rsidR="00110A5F" w:rsidRDefault="00110A5F" w:rsidP="00110A5F">
      <w:pPr>
        <w:spacing w:after="0" w:line="360" w:lineRule="auto"/>
        <w:contextualSpacing/>
        <w:rPr>
          <w:rFonts w:ascii="Palatino Linotype" w:hAnsi="Palatino Linotype" w:cs="Tahoma"/>
          <w:b/>
        </w:rPr>
      </w:pPr>
    </w:p>
    <w:p w14:paraId="188F92BB" w14:textId="77777777" w:rsidR="00110A5F" w:rsidRDefault="00110A5F" w:rsidP="00110A5F">
      <w:pPr>
        <w:spacing w:after="0" w:line="360" w:lineRule="auto"/>
        <w:contextualSpacing/>
        <w:rPr>
          <w:rFonts w:ascii="Palatino Linotype" w:hAnsi="Palatino Linotype" w:cs="Tahoma"/>
          <w:b/>
        </w:rPr>
      </w:pPr>
    </w:p>
    <w:p w14:paraId="56FCBE9D" w14:textId="77777777" w:rsidR="00110A5F" w:rsidRDefault="00110A5F" w:rsidP="00110A5F">
      <w:pPr>
        <w:spacing w:after="0" w:line="360" w:lineRule="auto"/>
        <w:contextualSpacing/>
        <w:rPr>
          <w:rFonts w:ascii="Palatino Linotype" w:hAnsi="Palatino Linotype" w:cs="Tahoma"/>
          <w:b/>
        </w:rPr>
      </w:pPr>
    </w:p>
    <w:p w14:paraId="39296D18" w14:textId="77777777" w:rsidR="00110A5F" w:rsidRPr="004A5C04" w:rsidRDefault="00110A5F" w:rsidP="00110A5F">
      <w:pPr>
        <w:spacing w:after="0" w:line="360" w:lineRule="auto"/>
        <w:contextualSpacing/>
        <w:rPr>
          <w:rFonts w:ascii="Palatino Linotype" w:hAnsi="Palatino Linotype" w:cs="Tahoma"/>
          <w:b/>
        </w:rPr>
      </w:pPr>
    </w:p>
    <w:p w14:paraId="054B0651" w14:textId="77777777" w:rsidR="002B57D8" w:rsidRDefault="002B57D8" w:rsidP="00110A5F">
      <w:pPr>
        <w:spacing w:line="360" w:lineRule="auto"/>
        <w:ind w:right="-93"/>
        <w:contextualSpacing/>
        <w:jc w:val="both"/>
        <w:rPr>
          <w:rFonts w:ascii="Palatino Linotype" w:hAnsi="Palatino Linotype" w:cs="Tahoma"/>
        </w:rPr>
      </w:pPr>
    </w:p>
    <w:sectPr w:rsidR="002B57D8" w:rsidSect="00994C68">
      <w:headerReference w:type="default" r:id="rId8"/>
      <w:foot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F98D" w14:textId="77777777" w:rsidR="00193200" w:rsidRDefault="00193200" w:rsidP="00EE29F6">
      <w:pPr>
        <w:spacing w:after="0" w:line="240" w:lineRule="auto"/>
      </w:pPr>
      <w:r>
        <w:separator/>
      </w:r>
    </w:p>
  </w:endnote>
  <w:endnote w:type="continuationSeparator" w:id="0">
    <w:p w14:paraId="1CD543A0" w14:textId="77777777" w:rsidR="00193200" w:rsidRDefault="0019320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6AF6CD87" w14:textId="77777777" w:rsidR="00994C68" w:rsidRDefault="00994C68">
            <w:pPr>
              <w:pStyle w:val="Piedepgina"/>
              <w:jc w:val="center"/>
            </w:pPr>
          </w:p>
          <w:p w14:paraId="281156E0" w14:textId="4BB49CF9"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1C46EB">
              <w:rPr>
                <w:b/>
                <w:bCs/>
                <w:noProof/>
              </w:rPr>
              <w:t>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1C46EB">
              <w:rPr>
                <w:b/>
                <w:bCs/>
                <w:noProof/>
              </w:rPr>
              <w:t>6</w:t>
            </w:r>
            <w:r w:rsidR="0005256C">
              <w:rPr>
                <w:b/>
                <w:bCs/>
                <w:sz w:val="24"/>
                <w:szCs w:val="24"/>
              </w:rPr>
              <w:fldChar w:fldCharType="end"/>
            </w:r>
          </w:p>
        </w:sdtContent>
      </w:sdt>
    </w:sdtContent>
  </w:sdt>
  <w:p w14:paraId="3C3EA219"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9B8D" w14:textId="77777777" w:rsidR="00193200" w:rsidRDefault="00193200" w:rsidP="00EE29F6">
      <w:pPr>
        <w:spacing w:after="0" w:line="240" w:lineRule="auto"/>
      </w:pPr>
      <w:r>
        <w:separator/>
      </w:r>
    </w:p>
  </w:footnote>
  <w:footnote w:type="continuationSeparator" w:id="0">
    <w:p w14:paraId="6BEBAAB9" w14:textId="77777777" w:rsidR="00193200" w:rsidRDefault="00193200"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4"/>
      <w:gridCol w:w="6070"/>
    </w:tblGrid>
    <w:tr w:rsidR="0077694E" w:rsidRPr="001106EA" w14:paraId="0CD3614E" w14:textId="77777777" w:rsidTr="00232F02">
      <w:trPr>
        <w:trHeight w:val="1887"/>
      </w:trPr>
      <w:tc>
        <w:tcPr>
          <w:tcW w:w="2754" w:type="dxa"/>
          <w:vAlign w:val="bottom"/>
        </w:tcPr>
        <w:p w14:paraId="05F0B7F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4A9CBE69" wp14:editId="7A41A98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7ECE42D6" w14:textId="77777777" w:rsidR="0077694E" w:rsidRDefault="0077694E" w:rsidP="0077694E">
          <w:pPr>
            <w:pStyle w:val="Encabezado"/>
            <w:tabs>
              <w:tab w:val="clear" w:pos="4252"/>
              <w:tab w:val="center" w:pos="2614"/>
            </w:tabs>
          </w:pPr>
        </w:p>
      </w:tc>
      <w:tc>
        <w:tcPr>
          <w:tcW w:w="6070" w:type="dxa"/>
          <w:vAlign w:val="center"/>
        </w:tcPr>
        <w:p w14:paraId="49E71037" w14:textId="77777777" w:rsidR="001106EA" w:rsidRPr="00B9745A" w:rsidRDefault="001106EA" w:rsidP="001106EA">
          <w:pPr>
            <w:pStyle w:val="Encabezado"/>
            <w:ind w:left="-108" w:right="-250"/>
            <w:jc w:val="both"/>
            <w:rPr>
              <w:rFonts w:ascii="Palatino Linotype" w:hAnsi="Palatino Linotype" w:cs="Tahoma"/>
            </w:rPr>
          </w:pPr>
        </w:p>
        <w:p w14:paraId="4065ED3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14A2BA7" w14:textId="4EBCFA23" w:rsidR="0077694E" w:rsidRDefault="001106EA" w:rsidP="00962B86">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Recurso de Revisión: </w:t>
          </w:r>
          <w:r w:rsidR="00684869" w:rsidRPr="00D55EC0">
            <w:rPr>
              <w:rFonts w:ascii="Palatino Linotype" w:hAnsi="Palatino Linotype"/>
              <w:bCs/>
              <w:lang w:val="es-ES_tradnl"/>
            </w:rPr>
            <w:t>03692/INFOEM/IP/RR/2021</w:t>
          </w:r>
        </w:p>
        <w:p w14:paraId="42D4E05D" w14:textId="0297797E" w:rsidR="00232F02" w:rsidRPr="00B9745A" w:rsidRDefault="00232F02" w:rsidP="00232F02">
          <w:pPr>
            <w:pStyle w:val="Encabezado"/>
            <w:ind w:left="-108" w:right="-7"/>
            <w:jc w:val="both"/>
            <w:rPr>
              <w:rFonts w:ascii="Palatino Linotype" w:hAnsi="Palatino Linotype" w:cs="Tahoma"/>
              <w:b/>
            </w:rPr>
          </w:pPr>
          <w:r>
            <w:rPr>
              <w:rFonts w:ascii="Palatino Linotype" w:hAnsi="Palatino Linotype" w:cs="Tahoma"/>
              <w:b/>
            </w:rPr>
            <w:t xml:space="preserve">Sujeto Obligado: </w:t>
          </w:r>
          <w:r w:rsidRPr="00232F02">
            <w:rPr>
              <w:rFonts w:ascii="Palatino Linotype" w:hAnsi="Palatino Linotype" w:cs="Tahoma"/>
              <w:bCs/>
            </w:rPr>
            <w:t>Organismo Público Descentralizado Municipal para la Prestación de Los Servicios de Agua Potable Alcantarillado y Saneamiento de Cuautitlán Izcalli denominado OPERAGUA, O.P.D.M.</w:t>
          </w:r>
        </w:p>
        <w:p w14:paraId="4E8EC00B" w14:textId="77777777" w:rsidR="006F754E" w:rsidRDefault="006F754E" w:rsidP="008A56FC">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D55EC0" w:rsidRPr="00D55EC0">
            <w:rPr>
              <w:rFonts w:ascii="Palatino Linotype" w:hAnsi="Palatino Linotype"/>
              <w:bCs/>
              <w:lang w:val="es-ES_tradnl"/>
            </w:rPr>
            <w:t>Sharon Cristina</w:t>
          </w:r>
          <w:r w:rsidR="00D55EC0" w:rsidRPr="00D55EC0">
            <w:rPr>
              <w:bCs/>
            </w:rPr>
            <w:t xml:space="preserve"> </w:t>
          </w:r>
          <w:r w:rsidR="00D55EC0" w:rsidRPr="00D55EC0">
            <w:rPr>
              <w:rFonts w:ascii="Palatino Linotype" w:hAnsi="Palatino Linotype"/>
              <w:bCs/>
              <w:lang w:val="es-ES_tradnl"/>
            </w:rPr>
            <w:t>Morales Martínez</w:t>
          </w:r>
        </w:p>
        <w:p w14:paraId="357962E3" w14:textId="479C3449" w:rsidR="00503FE6" w:rsidRPr="001106EA" w:rsidRDefault="00503FE6" w:rsidP="008A56FC">
          <w:pPr>
            <w:pStyle w:val="Encabezado"/>
            <w:ind w:left="-108" w:right="-250"/>
            <w:jc w:val="both"/>
            <w:rPr>
              <w:rFonts w:ascii="Tahoma" w:hAnsi="Tahoma" w:cs="Tahoma"/>
            </w:rPr>
          </w:pPr>
        </w:p>
      </w:tc>
    </w:tr>
  </w:tbl>
  <w:p w14:paraId="2448A1B6"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83A27"/>
    <w:multiLevelType w:val="multilevel"/>
    <w:tmpl w:val="93C0A67E"/>
    <w:lvl w:ilvl="0">
      <w:start w:val="3"/>
      <w:numFmt w:val="lowerLetter"/>
      <w:lvlText w:val="%1."/>
      <w:lvlJc w:val="left"/>
      <w:pPr>
        <w:tabs>
          <w:tab w:val="num" w:pos="720"/>
        </w:tabs>
        <w:ind w:left="720" w:hanging="360"/>
      </w:pPr>
    </w:lvl>
    <w:lvl w:ilvl="1">
      <w:start w:val="1"/>
      <w:numFmt w:val="bullet"/>
      <w:lvlText w:val="-"/>
      <w:lvlJc w:val="left"/>
      <w:pPr>
        <w:ind w:left="1440" w:hanging="360"/>
      </w:pPr>
      <w:rPr>
        <w:rFonts w:ascii="Palatino Linotype" w:eastAsiaTheme="minorHAnsi" w:hAnsi="Palatino Linotype"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4107497">
    <w:abstractNumId w:val="3"/>
  </w:num>
  <w:num w:numId="2" w16cid:durableId="1998416982">
    <w:abstractNumId w:val="8"/>
  </w:num>
  <w:num w:numId="3" w16cid:durableId="505360715">
    <w:abstractNumId w:val="5"/>
  </w:num>
  <w:num w:numId="4" w16cid:durableId="1218006592">
    <w:abstractNumId w:val="0"/>
  </w:num>
  <w:num w:numId="5" w16cid:durableId="1824815941">
    <w:abstractNumId w:val="10"/>
  </w:num>
  <w:num w:numId="6" w16cid:durableId="598564036">
    <w:abstractNumId w:val="4"/>
  </w:num>
  <w:num w:numId="7" w16cid:durableId="1821266784">
    <w:abstractNumId w:val="7"/>
  </w:num>
  <w:num w:numId="8" w16cid:durableId="2131000976">
    <w:abstractNumId w:val="15"/>
  </w:num>
  <w:num w:numId="9" w16cid:durableId="220412485">
    <w:abstractNumId w:val="11"/>
  </w:num>
  <w:num w:numId="10" w16cid:durableId="1360744716">
    <w:abstractNumId w:val="12"/>
  </w:num>
  <w:num w:numId="11" w16cid:durableId="1347900932">
    <w:abstractNumId w:val="13"/>
  </w:num>
  <w:num w:numId="12" w16cid:durableId="894002699">
    <w:abstractNumId w:val="1"/>
  </w:num>
  <w:num w:numId="13" w16cid:durableId="1842114885">
    <w:abstractNumId w:val="6"/>
  </w:num>
  <w:num w:numId="14" w16cid:durableId="80101683">
    <w:abstractNumId w:val="16"/>
  </w:num>
  <w:num w:numId="15" w16cid:durableId="568344247">
    <w:abstractNumId w:val="14"/>
  </w:num>
  <w:num w:numId="16" w16cid:durableId="915288404">
    <w:abstractNumId w:val="2"/>
  </w:num>
  <w:num w:numId="17" w16cid:durableId="213374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5D2F"/>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200"/>
    <w:rsid w:val="00193AA8"/>
    <w:rsid w:val="00197A72"/>
    <w:rsid w:val="001A145C"/>
    <w:rsid w:val="001A6BD9"/>
    <w:rsid w:val="001C1C64"/>
    <w:rsid w:val="001C2D5C"/>
    <w:rsid w:val="001C46EB"/>
    <w:rsid w:val="001D0B7E"/>
    <w:rsid w:val="001E2FC8"/>
    <w:rsid w:val="001F667B"/>
    <w:rsid w:val="001F6A82"/>
    <w:rsid w:val="00216BC4"/>
    <w:rsid w:val="00223F64"/>
    <w:rsid w:val="00231B68"/>
    <w:rsid w:val="00232F02"/>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5A1A"/>
    <w:rsid w:val="002F4E95"/>
    <w:rsid w:val="00320769"/>
    <w:rsid w:val="00322675"/>
    <w:rsid w:val="00325D64"/>
    <w:rsid w:val="00326D16"/>
    <w:rsid w:val="00333B7A"/>
    <w:rsid w:val="003512C9"/>
    <w:rsid w:val="0036006F"/>
    <w:rsid w:val="00367139"/>
    <w:rsid w:val="00370D31"/>
    <w:rsid w:val="00375A93"/>
    <w:rsid w:val="003938CD"/>
    <w:rsid w:val="0039411A"/>
    <w:rsid w:val="003A6218"/>
    <w:rsid w:val="003B1F42"/>
    <w:rsid w:val="003B6547"/>
    <w:rsid w:val="003B7A5E"/>
    <w:rsid w:val="003C0474"/>
    <w:rsid w:val="003C15F3"/>
    <w:rsid w:val="003D23E5"/>
    <w:rsid w:val="003F2426"/>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8424A"/>
    <w:rsid w:val="00490F50"/>
    <w:rsid w:val="004970E4"/>
    <w:rsid w:val="004A4555"/>
    <w:rsid w:val="004A555E"/>
    <w:rsid w:val="004A5C04"/>
    <w:rsid w:val="004B08C4"/>
    <w:rsid w:val="004B1A9F"/>
    <w:rsid w:val="004B532B"/>
    <w:rsid w:val="004B541F"/>
    <w:rsid w:val="004B5D76"/>
    <w:rsid w:val="004C4912"/>
    <w:rsid w:val="004C5A6B"/>
    <w:rsid w:val="004C6E57"/>
    <w:rsid w:val="004E7007"/>
    <w:rsid w:val="00500949"/>
    <w:rsid w:val="00503CEE"/>
    <w:rsid w:val="00503FE6"/>
    <w:rsid w:val="005228CE"/>
    <w:rsid w:val="00524DA5"/>
    <w:rsid w:val="00526DBD"/>
    <w:rsid w:val="005273C7"/>
    <w:rsid w:val="00543DF4"/>
    <w:rsid w:val="00544812"/>
    <w:rsid w:val="00553ADE"/>
    <w:rsid w:val="005560E7"/>
    <w:rsid w:val="00560A41"/>
    <w:rsid w:val="0056120D"/>
    <w:rsid w:val="00562D91"/>
    <w:rsid w:val="0056308F"/>
    <w:rsid w:val="0056593F"/>
    <w:rsid w:val="005728C8"/>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151C"/>
    <w:rsid w:val="00605683"/>
    <w:rsid w:val="006248F2"/>
    <w:rsid w:val="00624DE5"/>
    <w:rsid w:val="00625A4E"/>
    <w:rsid w:val="00645087"/>
    <w:rsid w:val="00645497"/>
    <w:rsid w:val="006502AE"/>
    <w:rsid w:val="00654ACD"/>
    <w:rsid w:val="006567CA"/>
    <w:rsid w:val="00657396"/>
    <w:rsid w:val="00664D9C"/>
    <w:rsid w:val="00671FC9"/>
    <w:rsid w:val="00681338"/>
    <w:rsid w:val="00682003"/>
    <w:rsid w:val="00684869"/>
    <w:rsid w:val="00684B16"/>
    <w:rsid w:val="006C76CB"/>
    <w:rsid w:val="006E1E37"/>
    <w:rsid w:val="006E7483"/>
    <w:rsid w:val="006F5316"/>
    <w:rsid w:val="006F754E"/>
    <w:rsid w:val="00724F08"/>
    <w:rsid w:val="00730CD7"/>
    <w:rsid w:val="007378E2"/>
    <w:rsid w:val="00742A15"/>
    <w:rsid w:val="00744068"/>
    <w:rsid w:val="007468D5"/>
    <w:rsid w:val="00747EFA"/>
    <w:rsid w:val="00767DA9"/>
    <w:rsid w:val="0077694E"/>
    <w:rsid w:val="0078072F"/>
    <w:rsid w:val="00781653"/>
    <w:rsid w:val="00793961"/>
    <w:rsid w:val="00796A29"/>
    <w:rsid w:val="007A2D13"/>
    <w:rsid w:val="007A440E"/>
    <w:rsid w:val="007D3257"/>
    <w:rsid w:val="007D4EEC"/>
    <w:rsid w:val="007D5347"/>
    <w:rsid w:val="007D68AF"/>
    <w:rsid w:val="007F1C1D"/>
    <w:rsid w:val="007F7D80"/>
    <w:rsid w:val="008016EC"/>
    <w:rsid w:val="00807185"/>
    <w:rsid w:val="00810663"/>
    <w:rsid w:val="0083001A"/>
    <w:rsid w:val="0083166F"/>
    <w:rsid w:val="00836BC2"/>
    <w:rsid w:val="00845D0A"/>
    <w:rsid w:val="00852676"/>
    <w:rsid w:val="00856E29"/>
    <w:rsid w:val="00861757"/>
    <w:rsid w:val="008661A1"/>
    <w:rsid w:val="00891412"/>
    <w:rsid w:val="008A0447"/>
    <w:rsid w:val="008A1DE1"/>
    <w:rsid w:val="008A3DA9"/>
    <w:rsid w:val="008A56FC"/>
    <w:rsid w:val="008B08C9"/>
    <w:rsid w:val="008D7232"/>
    <w:rsid w:val="008E3C3E"/>
    <w:rsid w:val="008E54E2"/>
    <w:rsid w:val="008F3B5A"/>
    <w:rsid w:val="00902FD4"/>
    <w:rsid w:val="009035D6"/>
    <w:rsid w:val="009039FE"/>
    <w:rsid w:val="0091435C"/>
    <w:rsid w:val="00922B2E"/>
    <w:rsid w:val="00927BD1"/>
    <w:rsid w:val="0093480E"/>
    <w:rsid w:val="00940F42"/>
    <w:rsid w:val="00950355"/>
    <w:rsid w:val="00952B06"/>
    <w:rsid w:val="00954BF1"/>
    <w:rsid w:val="00962B86"/>
    <w:rsid w:val="00971F97"/>
    <w:rsid w:val="00974836"/>
    <w:rsid w:val="009943E1"/>
    <w:rsid w:val="00994C68"/>
    <w:rsid w:val="00997CC5"/>
    <w:rsid w:val="009B22ED"/>
    <w:rsid w:val="009B2C0B"/>
    <w:rsid w:val="009C0313"/>
    <w:rsid w:val="009C62F6"/>
    <w:rsid w:val="009D07E2"/>
    <w:rsid w:val="009D49BE"/>
    <w:rsid w:val="009E0861"/>
    <w:rsid w:val="009E30F4"/>
    <w:rsid w:val="009E41F7"/>
    <w:rsid w:val="009E704F"/>
    <w:rsid w:val="009F6E4A"/>
    <w:rsid w:val="00A137E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F3B6B"/>
    <w:rsid w:val="00B068A1"/>
    <w:rsid w:val="00B2616C"/>
    <w:rsid w:val="00B263C5"/>
    <w:rsid w:val="00B264A0"/>
    <w:rsid w:val="00B60D73"/>
    <w:rsid w:val="00B6538B"/>
    <w:rsid w:val="00B67355"/>
    <w:rsid w:val="00B7041D"/>
    <w:rsid w:val="00B71344"/>
    <w:rsid w:val="00B7393F"/>
    <w:rsid w:val="00B758C7"/>
    <w:rsid w:val="00B761B1"/>
    <w:rsid w:val="00B8268E"/>
    <w:rsid w:val="00B9745A"/>
    <w:rsid w:val="00B977B9"/>
    <w:rsid w:val="00BA212F"/>
    <w:rsid w:val="00BB3D5D"/>
    <w:rsid w:val="00BB6EE3"/>
    <w:rsid w:val="00BC4882"/>
    <w:rsid w:val="00BC55D2"/>
    <w:rsid w:val="00BD06FC"/>
    <w:rsid w:val="00BD4705"/>
    <w:rsid w:val="00BD5DBE"/>
    <w:rsid w:val="00BF1384"/>
    <w:rsid w:val="00C0131C"/>
    <w:rsid w:val="00C0425F"/>
    <w:rsid w:val="00C056BD"/>
    <w:rsid w:val="00C30FD6"/>
    <w:rsid w:val="00C31FEE"/>
    <w:rsid w:val="00C55FFC"/>
    <w:rsid w:val="00C62611"/>
    <w:rsid w:val="00C67608"/>
    <w:rsid w:val="00C75CE0"/>
    <w:rsid w:val="00C800C1"/>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4B31"/>
    <w:rsid w:val="00D357E1"/>
    <w:rsid w:val="00D368A8"/>
    <w:rsid w:val="00D37CDC"/>
    <w:rsid w:val="00D45842"/>
    <w:rsid w:val="00D45BDF"/>
    <w:rsid w:val="00D50D8F"/>
    <w:rsid w:val="00D51426"/>
    <w:rsid w:val="00D55429"/>
    <w:rsid w:val="00D55EC0"/>
    <w:rsid w:val="00D57FDF"/>
    <w:rsid w:val="00D65D0C"/>
    <w:rsid w:val="00D666D4"/>
    <w:rsid w:val="00D7239D"/>
    <w:rsid w:val="00D75FAE"/>
    <w:rsid w:val="00D77F63"/>
    <w:rsid w:val="00D9114A"/>
    <w:rsid w:val="00D96166"/>
    <w:rsid w:val="00DA11C0"/>
    <w:rsid w:val="00DC4A9C"/>
    <w:rsid w:val="00DF3893"/>
    <w:rsid w:val="00DF47E7"/>
    <w:rsid w:val="00DF6CA0"/>
    <w:rsid w:val="00E11DB1"/>
    <w:rsid w:val="00E145E1"/>
    <w:rsid w:val="00E26123"/>
    <w:rsid w:val="00E26DFC"/>
    <w:rsid w:val="00E34559"/>
    <w:rsid w:val="00E345D1"/>
    <w:rsid w:val="00E41481"/>
    <w:rsid w:val="00E416F8"/>
    <w:rsid w:val="00E45036"/>
    <w:rsid w:val="00E472AD"/>
    <w:rsid w:val="00E51DD8"/>
    <w:rsid w:val="00E54506"/>
    <w:rsid w:val="00E656C1"/>
    <w:rsid w:val="00E72959"/>
    <w:rsid w:val="00E7538D"/>
    <w:rsid w:val="00E80551"/>
    <w:rsid w:val="00E82F77"/>
    <w:rsid w:val="00E834EC"/>
    <w:rsid w:val="00E83683"/>
    <w:rsid w:val="00E8492D"/>
    <w:rsid w:val="00E84D31"/>
    <w:rsid w:val="00E93F81"/>
    <w:rsid w:val="00EA7E26"/>
    <w:rsid w:val="00EB6F97"/>
    <w:rsid w:val="00EB7128"/>
    <w:rsid w:val="00EC6DDF"/>
    <w:rsid w:val="00EE29F6"/>
    <w:rsid w:val="00EF482C"/>
    <w:rsid w:val="00F011F6"/>
    <w:rsid w:val="00F14384"/>
    <w:rsid w:val="00F16606"/>
    <w:rsid w:val="00F3298A"/>
    <w:rsid w:val="00F32B83"/>
    <w:rsid w:val="00F4155E"/>
    <w:rsid w:val="00F43ECC"/>
    <w:rsid w:val="00F60843"/>
    <w:rsid w:val="00F70B1D"/>
    <w:rsid w:val="00F84FDF"/>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F006"/>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46EB"/>
  </w:style>
  <w:style w:type="paragraph" w:styleId="Revisin">
    <w:name w:val="Revision"/>
    <w:hidden/>
    <w:uiPriority w:val="99"/>
    <w:semiHidden/>
    <w:rsid w:val="00B26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1501-D3FE-438A-8A48-A7A7260F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2021-07-05T15:15:00Z</cp:lastPrinted>
  <dcterms:created xsi:type="dcterms:W3CDTF">2022-08-04T16:35:00Z</dcterms:created>
  <dcterms:modified xsi:type="dcterms:W3CDTF">2022-08-04T16:35:00Z</dcterms:modified>
</cp:coreProperties>
</file>