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F825" w14:textId="4B6C2617" w:rsidR="00500949" w:rsidRPr="00A77118" w:rsidRDefault="009E0861" w:rsidP="00005D2F">
      <w:pPr>
        <w:pStyle w:val="Encabezado"/>
        <w:spacing w:line="360" w:lineRule="auto"/>
        <w:ind w:right="49"/>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BE420A">
        <w:rPr>
          <w:rFonts w:ascii="Palatino Linotype" w:hAnsi="Palatino Linotype"/>
          <w:b/>
          <w:lang w:val="es-ES_tradnl"/>
        </w:rPr>
        <w:t>03823</w:t>
      </w:r>
      <w:r w:rsidR="00684869" w:rsidRPr="00684869">
        <w:rPr>
          <w:rFonts w:ascii="Palatino Linotype" w:hAnsi="Palatino Linotype"/>
          <w:b/>
          <w:lang w:val="es-ES_tradnl"/>
        </w:rPr>
        <w:t>/INFOEM/IP/RR/2021</w:t>
      </w:r>
      <w:r w:rsidRPr="00A77118">
        <w:rPr>
          <w:rFonts w:ascii="Palatino Linotype" w:hAnsi="Palatino Linotype" w:cs="Tahoma"/>
          <w:b/>
        </w:rPr>
        <w:t xml:space="preserve">, PROMOVIDO EN CONTRA </w:t>
      </w:r>
      <w:r w:rsidR="002B57D8" w:rsidRPr="00A77118">
        <w:rPr>
          <w:rFonts w:ascii="Palatino Linotype" w:hAnsi="Palatino Linotype" w:cs="Tahoma"/>
          <w:b/>
        </w:rPr>
        <w:t>DE</w:t>
      </w:r>
      <w:r w:rsidR="00BE420A">
        <w:rPr>
          <w:rFonts w:ascii="Palatino Linotype" w:hAnsi="Palatino Linotype" w:cs="Tahoma"/>
          <w:b/>
        </w:rPr>
        <w:t xml:space="preserve"> LA</w:t>
      </w:r>
      <w:r w:rsidR="002B57D8" w:rsidRPr="00A77118">
        <w:rPr>
          <w:rFonts w:ascii="Palatino Linotype" w:hAnsi="Palatino Linotype" w:cs="Tahoma"/>
          <w:b/>
        </w:rPr>
        <w:t xml:space="preserve"> </w:t>
      </w:r>
      <w:r w:rsidR="00BE420A">
        <w:rPr>
          <w:rFonts w:ascii="Palatino Linotype" w:hAnsi="Palatino Linotype" w:cs="Tahoma"/>
          <w:b/>
        </w:rPr>
        <w:t>COMISIÓN DE CONCILIACIÓN Y ARBITRAJE MEDICO</w:t>
      </w:r>
    </w:p>
    <w:p w14:paraId="249C88F9" w14:textId="77777777" w:rsidR="006E1E37" w:rsidRPr="00C62611" w:rsidRDefault="006E1E37" w:rsidP="00005D2F">
      <w:pPr>
        <w:spacing w:after="0" w:line="360" w:lineRule="auto"/>
        <w:contextualSpacing/>
        <w:jc w:val="both"/>
        <w:rPr>
          <w:rFonts w:ascii="Palatino Linotype" w:hAnsi="Palatino Linotype" w:cs="Tahoma"/>
          <w:sz w:val="18"/>
        </w:rPr>
      </w:pPr>
    </w:p>
    <w:p w14:paraId="243F70BB" w14:textId="56CADFC2" w:rsidR="009E0861" w:rsidRPr="00A77118" w:rsidRDefault="009E0861" w:rsidP="00005D2F">
      <w:pPr>
        <w:spacing w:after="0" w:line="360" w:lineRule="auto"/>
        <w:ind w:right="49"/>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w:t>
      </w:r>
      <w:bookmarkStart w:id="0" w:name="_Hlk81552674"/>
      <w:r w:rsidRPr="00A77118">
        <w:rPr>
          <w:rFonts w:ascii="Palatino Linotype" w:hAnsi="Palatino Linotype" w:cs="Tahoma"/>
        </w:rPr>
        <w:t>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bookmarkEnd w:id="0"/>
      <w:r w:rsidR="00BE420A">
        <w:rPr>
          <w:rFonts w:ascii="Palatino Linotype" w:hAnsi="Palatino Linotype"/>
          <w:b/>
          <w:lang w:val="es-ES_tradnl"/>
        </w:rPr>
        <w:t>03823</w:t>
      </w:r>
      <w:r w:rsidR="00684869" w:rsidRPr="00684869">
        <w:rPr>
          <w:rFonts w:ascii="Palatino Linotype" w:hAnsi="Palatino Linotype"/>
          <w:b/>
          <w:lang w:val="es-ES_tradnl"/>
        </w:rPr>
        <w:t>/INFOEM/IP/RR/2021</w:t>
      </w:r>
      <w:r w:rsidR="00103FFF" w:rsidRPr="00A77118">
        <w:rPr>
          <w:rFonts w:ascii="Palatino Linotype" w:hAnsi="Palatino Linotype"/>
          <w:b/>
          <w:lang w:val="es-ES_tradnl"/>
        </w:rPr>
        <w:t>.</w:t>
      </w:r>
    </w:p>
    <w:p w14:paraId="30D47938" w14:textId="77777777" w:rsidR="009E0861" w:rsidRPr="00C62611" w:rsidRDefault="009E0861" w:rsidP="00005D2F">
      <w:pPr>
        <w:spacing w:after="0" w:line="360" w:lineRule="auto"/>
        <w:contextualSpacing/>
        <w:jc w:val="both"/>
        <w:rPr>
          <w:rFonts w:ascii="Palatino Linotype" w:hAnsi="Palatino Linotype" w:cs="Tahoma"/>
          <w:sz w:val="18"/>
        </w:rPr>
      </w:pPr>
    </w:p>
    <w:p w14:paraId="5A25F37C" w14:textId="47548D7D" w:rsidR="00367139" w:rsidRDefault="00EA7E26" w:rsidP="00005D2F">
      <w:pPr>
        <w:spacing w:after="0" w:line="360" w:lineRule="auto"/>
        <w:contextualSpacing/>
        <w:jc w:val="both"/>
        <w:rPr>
          <w:rFonts w:ascii="Palatino Linotype" w:hAnsi="Palatino Linotype" w:cs="Tahoma"/>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el solicitante</w:t>
      </w:r>
      <w:r w:rsidR="0056593F" w:rsidRPr="00A77118">
        <w:rPr>
          <w:rFonts w:ascii="Palatino Linotype" w:hAnsi="Palatino Linotype" w:cs="Tahoma"/>
        </w:rPr>
        <w:t xml:space="preserve"> requirió</w:t>
      </w:r>
      <w:r w:rsidR="009E0861" w:rsidRPr="00A77118">
        <w:rPr>
          <w:rFonts w:ascii="Palatino Linotype" w:hAnsi="Palatino Linotype" w:cs="Tahoma"/>
        </w:rPr>
        <w:t xml:space="preserve"> </w:t>
      </w:r>
      <w:r w:rsidR="002B3447" w:rsidRPr="00A77118">
        <w:rPr>
          <w:rFonts w:ascii="Palatino Linotype" w:hAnsi="Palatino Linotype" w:cs="Tahoma"/>
        </w:rPr>
        <w:t>al Sujeto Obligado</w:t>
      </w:r>
      <w:r w:rsidR="00BE420A">
        <w:rPr>
          <w:rFonts w:ascii="Palatino Linotype" w:hAnsi="Palatino Linotype" w:cs="Tahoma"/>
        </w:rPr>
        <w:t xml:space="preserve">; la cantidad de dinero destinada en 2021, para ejecutar mejoras en los inmuebles de la institución. </w:t>
      </w:r>
      <w:r w:rsidR="0039411A" w:rsidRPr="0039411A">
        <w:rPr>
          <w:rFonts w:ascii="Palatino Linotype" w:hAnsi="Palatino Linotype" w:cs="Tahoma"/>
        </w:rPr>
        <w:t xml:space="preserve">En respuesta, el </w:t>
      </w:r>
      <w:r w:rsidR="006502AE">
        <w:rPr>
          <w:rFonts w:ascii="Palatino Linotype" w:hAnsi="Palatino Linotype" w:cs="Tahoma"/>
        </w:rPr>
        <w:t>Sujeto Obligado</w:t>
      </w:r>
      <w:r w:rsidR="0039411A" w:rsidRPr="0039411A">
        <w:rPr>
          <w:rFonts w:ascii="Palatino Linotype" w:hAnsi="Palatino Linotype" w:cs="Tahoma"/>
        </w:rPr>
        <w:t xml:space="preserve"> </w:t>
      </w:r>
      <w:r w:rsidR="00BE420A">
        <w:rPr>
          <w:rFonts w:ascii="Palatino Linotype" w:hAnsi="Palatino Linotype" w:cs="Tahoma"/>
        </w:rPr>
        <w:t xml:space="preserve">hizo del conocimiento del Particular, que durante el ejercicio fiscal 2021, </w:t>
      </w:r>
      <w:r w:rsidR="00BE420A" w:rsidRPr="00BE420A">
        <w:rPr>
          <w:rFonts w:ascii="Palatino Linotype" w:hAnsi="Palatino Linotype" w:cs="Tahoma"/>
        </w:rPr>
        <w:t>no se cuenta con presupuesto autorizado para la partida número 3511 referente a la reparación y mantenimiento de inmuebles.</w:t>
      </w:r>
    </w:p>
    <w:p w14:paraId="527D4E37" w14:textId="2C2E82F3" w:rsidR="00367139" w:rsidRDefault="00367139" w:rsidP="00005D2F">
      <w:pPr>
        <w:spacing w:after="0" w:line="360" w:lineRule="auto"/>
        <w:contextualSpacing/>
        <w:jc w:val="both"/>
        <w:rPr>
          <w:rFonts w:ascii="Palatino Linotype" w:hAnsi="Palatino Linotype" w:cs="Tahoma"/>
        </w:rPr>
      </w:pPr>
    </w:p>
    <w:p w14:paraId="7C177AD6" w14:textId="674DDB82" w:rsidR="006C25FB" w:rsidRDefault="00367139" w:rsidP="00005D2F">
      <w:pPr>
        <w:spacing w:after="0" w:line="360" w:lineRule="auto"/>
        <w:contextualSpacing/>
        <w:jc w:val="both"/>
        <w:rPr>
          <w:rFonts w:ascii="Palatino Linotype" w:hAnsi="Palatino Linotype"/>
          <w:color w:val="000000" w:themeColor="text1"/>
        </w:rPr>
      </w:pPr>
      <w:r>
        <w:rPr>
          <w:rFonts w:ascii="Palatino Linotype" w:hAnsi="Palatino Linotype" w:cs="Tahoma"/>
        </w:rPr>
        <w:t xml:space="preserve">Ante la respuesta del </w:t>
      </w:r>
      <w:r w:rsidR="00D57FDF">
        <w:rPr>
          <w:rFonts w:ascii="Palatino Linotype" w:hAnsi="Palatino Linotype" w:cs="Tahoma"/>
        </w:rPr>
        <w:t>S</w:t>
      </w:r>
      <w:r>
        <w:rPr>
          <w:rFonts w:ascii="Palatino Linotype" w:hAnsi="Palatino Linotype" w:cs="Tahoma"/>
        </w:rPr>
        <w:t xml:space="preserve">ujeto Obligado, el Particular se inconformó </w:t>
      </w:r>
      <w:r w:rsidR="00503FE6">
        <w:rPr>
          <w:rFonts w:ascii="Palatino Linotype" w:hAnsi="Palatino Linotype" w:cs="Tahoma"/>
        </w:rPr>
        <w:t>bajo el argumento de que</w:t>
      </w:r>
      <w:r w:rsidR="00D57FDF">
        <w:rPr>
          <w:rFonts w:ascii="Palatino Linotype" w:hAnsi="Palatino Linotype" w:cs="Tahoma"/>
        </w:rPr>
        <w:t xml:space="preserve"> </w:t>
      </w:r>
      <w:r w:rsidR="00503FE6">
        <w:rPr>
          <w:rFonts w:ascii="Palatino Linotype" w:hAnsi="Palatino Linotype" w:cs="Tahoma"/>
        </w:rPr>
        <w:t>la información entregada</w:t>
      </w:r>
      <w:r w:rsidR="00D57FDF">
        <w:rPr>
          <w:rFonts w:ascii="Palatino Linotype" w:hAnsi="Palatino Linotype" w:cs="Tahoma"/>
        </w:rPr>
        <w:t xml:space="preserve"> </w:t>
      </w:r>
      <w:r w:rsidR="000E5F85">
        <w:rPr>
          <w:rFonts w:ascii="Palatino Linotype" w:hAnsi="Palatino Linotype" w:cs="Tahoma"/>
        </w:rPr>
        <w:t xml:space="preserve">no es clara, </w:t>
      </w:r>
      <w:r w:rsidR="006C25FB">
        <w:rPr>
          <w:rFonts w:ascii="Palatino Linotype" w:hAnsi="Palatino Linotype" w:cs="Tahoma"/>
        </w:rPr>
        <w:t>toda vez que</w:t>
      </w:r>
      <w:r w:rsidR="000E5F85">
        <w:rPr>
          <w:rFonts w:ascii="Palatino Linotype" w:hAnsi="Palatino Linotype" w:cs="Tahoma"/>
        </w:rPr>
        <w:t xml:space="preserve"> se niega </w:t>
      </w:r>
      <w:r w:rsidR="006C25FB">
        <w:rPr>
          <w:rFonts w:ascii="Palatino Linotype" w:hAnsi="Palatino Linotype" w:cs="Tahoma"/>
        </w:rPr>
        <w:t>la existencia de</w:t>
      </w:r>
      <w:r w:rsidR="000E5F85">
        <w:rPr>
          <w:rFonts w:ascii="Palatino Linotype" w:hAnsi="Palatino Linotype" w:cs="Tahoma"/>
        </w:rPr>
        <w:t xml:space="preserve"> los recursos solicitados</w:t>
      </w:r>
      <w:r w:rsidR="006C25FB">
        <w:rPr>
          <w:rFonts w:ascii="Palatino Linotype" w:hAnsi="Palatino Linotype" w:cs="Tahoma"/>
        </w:rPr>
        <w:t>;</w:t>
      </w:r>
      <w:r w:rsidR="000E5F85">
        <w:rPr>
          <w:rFonts w:ascii="Palatino Linotype" w:hAnsi="Palatino Linotype" w:cs="Tahoma"/>
        </w:rPr>
        <w:t xml:space="preserve"> así las cosas, la Ponencia Resolutora </w:t>
      </w:r>
      <w:r w:rsidR="006C25FB">
        <w:rPr>
          <w:rFonts w:ascii="Palatino Linotype" w:hAnsi="Palatino Linotype" w:cs="Tahoma"/>
        </w:rPr>
        <w:t xml:space="preserve">realizó una investigación con referencia al tema, </w:t>
      </w:r>
      <w:r w:rsidR="008C5241">
        <w:rPr>
          <w:rFonts w:ascii="Palatino Linotype" w:hAnsi="Palatino Linotype" w:cs="Tahoma"/>
        </w:rPr>
        <w:t xml:space="preserve">y de ello, </w:t>
      </w:r>
      <w:r w:rsidR="006C25FB">
        <w:rPr>
          <w:rFonts w:ascii="Palatino Linotype" w:hAnsi="Palatino Linotype" w:cs="Tahoma"/>
        </w:rPr>
        <w:t xml:space="preserve">señaló que </w:t>
      </w:r>
      <w:r w:rsidR="00BE1EA2">
        <w:rPr>
          <w:rFonts w:ascii="Palatino Linotype" w:hAnsi="Palatino Linotype" w:cs="Tahoma"/>
        </w:rPr>
        <w:t>d</w:t>
      </w:r>
      <w:r w:rsidR="006C25FB" w:rsidRPr="006C25FB">
        <w:rPr>
          <w:rFonts w:ascii="Palatino Linotype" w:hAnsi="Palatino Linotype"/>
          <w:color w:val="000000" w:themeColor="text1"/>
        </w:rPr>
        <w:t>el Estado Analítico del Ejercicio del Presupuesto de Egresos del Primer Trimestre del dos mil veintiuno</w:t>
      </w:r>
      <w:r w:rsidR="00BE1EA2">
        <w:rPr>
          <w:rFonts w:ascii="Palatino Linotype" w:hAnsi="Palatino Linotype"/>
          <w:color w:val="000000" w:themeColor="text1"/>
        </w:rPr>
        <w:t xml:space="preserve">, se desprende que </w:t>
      </w:r>
      <w:r w:rsidR="006C25FB" w:rsidRPr="006C25FB">
        <w:rPr>
          <w:rFonts w:ascii="Palatino Linotype" w:hAnsi="Palatino Linotype"/>
          <w:color w:val="000000" w:themeColor="text1"/>
        </w:rPr>
        <w:t xml:space="preserve">la Comisión de Conciliación y </w:t>
      </w:r>
      <w:r w:rsidR="006C25FB" w:rsidRPr="006C25FB">
        <w:rPr>
          <w:rFonts w:ascii="Palatino Linotype" w:hAnsi="Palatino Linotype"/>
          <w:color w:val="000000" w:themeColor="text1"/>
        </w:rPr>
        <w:lastRenderedPageBreak/>
        <w:t>Arbitraje Médico del Estado de México, por cuanto hace al concepto de “Servicios de instalación, reparación, mantenimiento y conservación” tiene un presupuesto aprobado de $304,398.00 (TRESCIENTOS CUATRO MIL TRESCIENTOS NOVENTA Y OCHO PESOS 00/100 M.N.).</w:t>
      </w:r>
    </w:p>
    <w:p w14:paraId="2146C490" w14:textId="32EF87C7" w:rsidR="006C25FB" w:rsidRDefault="006C25FB" w:rsidP="00005D2F">
      <w:pPr>
        <w:spacing w:after="0" w:line="360" w:lineRule="auto"/>
        <w:contextualSpacing/>
        <w:jc w:val="both"/>
        <w:rPr>
          <w:rFonts w:ascii="Palatino Linotype" w:hAnsi="Palatino Linotype"/>
          <w:color w:val="000000" w:themeColor="text1"/>
        </w:rPr>
      </w:pPr>
    </w:p>
    <w:p w14:paraId="0F627E7F" w14:textId="1BA2C628" w:rsidR="00367139" w:rsidRPr="006C25FB" w:rsidRDefault="00BE1EA2" w:rsidP="00005D2F">
      <w:pPr>
        <w:spacing w:after="0" w:line="360" w:lineRule="auto"/>
        <w:contextualSpacing/>
        <w:jc w:val="both"/>
        <w:rPr>
          <w:rFonts w:ascii="Palatino Linotype" w:hAnsi="Palatino Linotype" w:cs="Tahoma"/>
        </w:rPr>
      </w:pPr>
      <w:r>
        <w:rPr>
          <w:rFonts w:ascii="Palatino Linotype" w:hAnsi="Palatino Linotype"/>
          <w:color w:val="000000" w:themeColor="text1"/>
        </w:rPr>
        <w:t>En concatenación a lo anterior</w:t>
      </w:r>
      <w:r w:rsidR="006C25FB">
        <w:rPr>
          <w:rFonts w:ascii="Palatino Linotype" w:hAnsi="Palatino Linotype"/>
          <w:color w:val="000000" w:themeColor="text1"/>
        </w:rPr>
        <w:t>, dentro de la Resolución</w:t>
      </w:r>
      <w:r>
        <w:rPr>
          <w:rFonts w:ascii="Palatino Linotype" w:hAnsi="Palatino Linotype"/>
          <w:color w:val="000000" w:themeColor="text1"/>
        </w:rPr>
        <w:t>,</w:t>
      </w:r>
      <w:r w:rsidR="006C25FB">
        <w:rPr>
          <w:rFonts w:ascii="Palatino Linotype" w:hAnsi="Palatino Linotype"/>
          <w:color w:val="000000" w:themeColor="text1"/>
        </w:rPr>
        <w:t xml:space="preserve"> se hizo referencia que</w:t>
      </w:r>
      <w:r w:rsidR="000E5F85" w:rsidRPr="00E82A09">
        <w:rPr>
          <w:rFonts w:ascii="Palatino Linotype" w:hAnsi="Palatino Linotype"/>
          <w:color w:val="000000" w:themeColor="text1"/>
        </w:rPr>
        <w:t xml:space="preserve"> el </w:t>
      </w:r>
      <w:r w:rsidR="000E5F85" w:rsidRPr="00E82A09">
        <w:rPr>
          <w:rFonts w:ascii="Palatino Linotype" w:hAnsi="Palatino Linotype"/>
          <w:b/>
          <w:color w:val="000000" w:themeColor="text1"/>
        </w:rPr>
        <w:t xml:space="preserve">Clasificador por Objeto del Gasto Estatal </w:t>
      </w:r>
      <w:r w:rsidR="000E5F85" w:rsidRPr="008C5241">
        <w:rPr>
          <w:rFonts w:ascii="Palatino Linotype" w:hAnsi="Palatino Linotype"/>
          <w:b/>
          <w:bCs/>
          <w:color w:val="000000" w:themeColor="text1"/>
        </w:rPr>
        <w:t>y</w:t>
      </w:r>
      <w:r w:rsidR="000E5F85" w:rsidRPr="004E79C2">
        <w:rPr>
          <w:rFonts w:ascii="Palatino Linotype" w:hAnsi="Palatino Linotype"/>
          <w:color w:val="000000" w:themeColor="text1"/>
        </w:rPr>
        <w:t xml:space="preserve"> </w:t>
      </w:r>
      <w:r w:rsidR="000E5F85" w:rsidRPr="008C5241">
        <w:rPr>
          <w:rFonts w:ascii="Palatino Linotype" w:hAnsi="Palatino Linotype"/>
          <w:b/>
          <w:bCs/>
          <w:color w:val="000000" w:themeColor="text1"/>
        </w:rPr>
        <w:t>Municipal</w:t>
      </w:r>
      <w:r w:rsidR="000E5F85" w:rsidRPr="00E82A09">
        <w:rPr>
          <w:rFonts w:ascii="Palatino Linotype" w:hAnsi="Palatino Linotype"/>
          <w:color w:val="000000" w:themeColor="text1"/>
        </w:rPr>
        <w:t xml:space="preserve">, </w:t>
      </w:r>
      <w:r w:rsidR="006C25FB">
        <w:rPr>
          <w:rFonts w:ascii="Palatino Linotype" w:hAnsi="Palatino Linotype"/>
          <w:color w:val="000000" w:themeColor="text1"/>
        </w:rPr>
        <w:t>es</w:t>
      </w:r>
      <w:r w:rsidR="000E5F85" w:rsidRPr="00E82A09">
        <w:rPr>
          <w:rFonts w:ascii="Palatino Linotype" w:hAnsi="Palatino Linotype"/>
          <w:color w:val="000000" w:themeColor="text1"/>
        </w:rPr>
        <w:t xml:space="preserve"> el documento armonizado que ordena e identifica en forma genérica </w:t>
      </w:r>
      <w:r w:rsidR="006C25FB">
        <w:rPr>
          <w:rFonts w:ascii="Palatino Linotype" w:hAnsi="Palatino Linotype"/>
          <w:color w:val="000000" w:themeColor="text1"/>
        </w:rPr>
        <w:t xml:space="preserve">y </w:t>
      </w:r>
      <w:r w:rsidR="000E5F85" w:rsidRPr="00E82A09">
        <w:rPr>
          <w:rFonts w:ascii="Palatino Linotype" w:hAnsi="Palatino Linotype"/>
          <w:color w:val="000000" w:themeColor="text1"/>
        </w:rPr>
        <w:t>homogénea</w:t>
      </w:r>
      <w:r w:rsidR="000E5F85">
        <w:rPr>
          <w:rFonts w:ascii="Palatino Linotype" w:hAnsi="Palatino Linotype" w:cs="Tahoma"/>
        </w:rPr>
        <w:t xml:space="preserve"> </w:t>
      </w:r>
      <w:r w:rsidR="006C25FB" w:rsidRPr="00E82A09">
        <w:rPr>
          <w:rFonts w:ascii="Palatino Linotype" w:hAnsi="Palatino Linotype"/>
          <w:color w:val="000000" w:themeColor="text1"/>
        </w:rPr>
        <w:t xml:space="preserve">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w:t>
      </w:r>
      <w:r w:rsidR="006C25FB" w:rsidRPr="00E82A09">
        <w:rPr>
          <w:rFonts w:ascii="Palatino Linotype" w:hAnsi="Palatino Linotype"/>
          <w:b/>
          <w:color w:val="000000" w:themeColor="text1"/>
        </w:rPr>
        <w:t>dependencias</w:t>
      </w:r>
      <w:r w:rsidR="006C25FB" w:rsidRPr="00E82A09">
        <w:rPr>
          <w:rFonts w:ascii="Palatino Linotype" w:hAnsi="Palatino Linotype"/>
          <w:color w:val="000000" w:themeColor="text1"/>
        </w:rPr>
        <w:t xml:space="preserve">, </w:t>
      </w:r>
      <w:r w:rsidR="006C25FB" w:rsidRPr="00E82A09">
        <w:rPr>
          <w:rFonts w:ascii="Palatino Linotype" w:hAnsi="Palatino Linotype"/>
          <w:b/>
          <w:color w:val="000000" w:themeColor="text1"/>
        </w:rPr>
        <w:t>entidades públicas</w:t>
      </w:r>
      <w:r w:rsidR="006C25FB" w:rsidRPr="00E82A09">
        <w:rPr>
          <w:rFonts w:ascii="Palatino Linotype" w:hAnsi="Palatino Linotype"/>
          <w:color w:val="000000" w:themeColor="text1"/>
        </w:rPr>
        <w:t>, así como los Municipios</w:t>
      </w:r>
      <w:r w:rsidR="006C25FB">
        <w:rPr>
          <w:rFonts w:ascii="Palatino Linotype" w:hAnsi="Palatino Linotype"/>
          <w:color w:val="000000" w:themeColor="text1"/>
        </w:rPr>
        <w:t>.</w:t>
      </w:r>
    </w:p>
    <w:p w14:paraId="1A0B26F4" w14:textId="11DF509F" w:rsidR="006C25FB" w:rsidRDefault="006C25FB" w:rsidP="00005D2F">
      <w:pPr>
        <w:spacing w:after="0" w:line="360" w:lineRule="auto"/>
        <w:contextualSpacing/>
        <w:jc w:val="both"/>
        <w:rPr>
          <w:rFonts w:ascii="Palatino Linotype" w:hAnsi="Palatino Linotype"/>
          <w:color w:val="000000" w:themeColor="text1"/>
        </w:rPr>
      </w:pPr>
    </w:p>
    <w:p w14:paraId="4B352509" w14:textId="0D9F4FE0" w:rsidR="006C25FB" w:rsidRDefault="00BE1EA2" w:rsidP="00005D2F">
      <w:pPr>
        <w:spacing w:after="0" w:line="360" w:lineRule="auto"/>
        <w:contextualSpacing/>
        <w:jc w:val="both"/>
        <w:rPr>
          <w:rFonts w:ascii="Palatino Linotype" w:hAnsi="Palatino Linotype"/>
          <w:color w:val="000000" w:themeColor="text1"/>
        </w:rPr>
      </w:pPr>
      <w:r>
        <w:rPr>
          <w:rFonts w:ascii="Palatino Linotype" w:hAnsi="Palatino Linotype"/>
          <w:color w:val="000000" w:themeColor="text1"/>
        </w:rPr>
        <w:t>Así entonces, del Clasificador por Objeto del Gasto, es necesario precisar que, en el concepto 3500 correspondiente a los s</w:t>
      </w:r>
      <w:r w:rsidRPr="00BE1EA2">
        <w:rPr>
          <w:rFonts w:ascii="Palatino Linotype" w:hAnsi="Palatino Linotype"/>
          <w:color w:val="000000" w:themeColor="text1"/>
        </w:rPr>
        <w:t>ervicios de instalación, reparación, mantenimiento y conservación</w:t>
      </w:r>
      <w:r>
        <w:rPr>
          <w:rFonts w:ascii="Palatino Linotype" w:hAnsi="Palatino Linotype"/>
          <w:color w:val="000000" w:themeColor="text1"/>
        </w:rPr>
        <w:t xml:space="preserve">, se considera un total de 20 partidas distintas relacionadas con el concepto de </w:t>
      </w:r>
      <w:r w:rsidRPr="00BE1EA2">
        <w:rPr>
          <w:rFonts w:ascii="Palatino Linotype" w:hAnsi="Palatino Linotype"/>
          <w:iCs/>
          <w:color w:val="000000" w:themeColor="text1"/>
        </w:rPr>
        <w:t>Servicios de instalación, reparación, mantenimiento y conservación</w:t>
      </w:r>
      <w:r>
        <w:rPr>
          <w:rFonts w:ascii="Palatino Linotype" w:hAnsi="Palatino Linotype"/>
          <w:color w:val="000000" w:themeColor="text1"/>
        </w:rPr>
        <w:t xml:space="preserve"> de bienes muebles e inmuebles; a lo que a decir de la Ponencia, el Sujeto Obligado únicamente se pronuncio por cuanto hace a una de ellas, en específico, a la número 3511. </w:t>
      </w:r>
    </w:p>
    <w:p w14:paraId="0225713C" w14:textId="7175B14F" w:rsidR="00BE1EA2" w:rsidRDefault="00BE1EA2" w:rsidP="00005D2F">
      <w:pPr>
        <w:spacing w:after="0" w:line="360" w:lineRule="auto"/>
        <w:contextualSpacing/>
        <w:jc w:val="both"/>
        <w:rPr>
          <w:rFonts w:ascii="Palatino Linotype" w:hAnsi="Palatino Linotype"/>
          <w:color w:val="000000" w:themeColor="text1"/>
        </w:rPr>
      </w:pPr>
    </w:p>
    <w:p w14:paraId="4B200B7A" w14:textId="2A8C32D5" w:rsidR="00BE1EA2" w:rsidRDefault="00BE1EA2" w:rsidP="00005D2F">
      <w:pPr>
        <w:spacing w:after="0" w:line="360" w:lineRule="auto"/>
        <w:contextualSpacing/>
        <w:jc w:val="both"/>
        <w:rPr>
          <w:rFonts w:ascii="Palatino Linotype" w:hAnsi="Palatino Linotype"/>
          <w:color w:val="000000" w:themeColor="text1"/>
        </w:rPr>
      </w:pPr>
      <w:r>
        <w:rPr>
          <w:rFonts w:ascii="Palatino Linotype" w:hAnsi="Palatino Linotype"/>
          <w:color w:val="000000" w:themeColor="text1"/>
        </w:rPr>
        <w:t xml:space="preserve">Por lo anterior, es necesario insertar lo siguiente: </w:t>
      </w:r>
    </w:p>
    <w:p w14:paraId="5F86DDAF" w14:textId="097E4093" w:rsidR="004D0F32" w:rsidRDefault="004D0F32" w:rsidP="00005D2F">
      <w:pPr>
        <w:spacing w:after="0" w:line="360" w:lineRule="auto"/>
        <w:contextualSpacing/>
        <w:jc w:val="both"/>
        <w:rPr>
          <w:rFonts w:ascii="Palatino Linotype" w:hAnsi="Palatino Linotype"/>
          <w:color w:val="000000" w:themeColor="text1"/>
        </w:rPr>
      </w:pPr>
    </w:p>
    <w:p w14:paraId="4B8004FE" w14:textId="094C69F4" w:rsidR="004D0F32" w:rsidRDefault="004D0F32" w:rsidP="004D0F32">
      <w:pPr>
        <w:spacing w:after="0" w:line="360" w:lineRule="auto"/>
        <w:contextualSpacing/>
        <w:jc w:val="center"/>
        <w:rPr>
          <w:rFonts w:ascii="Palatino Linotype" w:hAnsi="Palatino Linotype"/>
          <w:color w:val="000000" w:themeColor="text1"/>
        </w:rPr>
      </w:pPr>
      <w:r w:rsidRPr="00E82A09">
        <w:rPr>
          <w:rFonts w:ascii="Palatino Linotype" w:hAnsi="Palatino Linotype"/>
          <w:b/>
          <w:color w:val="000000" w:themeColor="text1"/>
        </w:rPr>
        <w:t>Clasificador por Objeto del Gasto Estatal</w:t>
      </w:r>
    </w:p>
    <w:p w14:paraId="3BCDED6E" w14:textId="77777777" w:rsidR="004D0F32" w:rsidRDefault="004D0F32" w:rsidP="00005D2F">
      <w:pPr>
        <w:spacing w:after="0" w:line="360" w:lineRule="auto"/>
        <w:contextualSpacing/>
        <w:jc w:val="both"/>
        <w:rPr>
          <w:rFonts w:ascii="Palatino Linotype" w:hAnsi="Palatino Linotype"/>
          <w:color w:val="000000" w:themeColor="text1"/>
        </w:rPr>
      </w:pPr>
    </w:p>
    <w:p w14:paraId="4B596113" w14:textId="3EEE01B9" w:rsidR="00BE1EA2" w:rsidRDefault="00BE1EA2" w:rsidP="00005D2F">
      <w:pPr>
        <w:spacing w:after="0" w:line="360" w:lineRule="auto"/>
        <w:contextualSpacing/>
        <w:jc w:val="both"/>
        <w:rPr>
          <w:rFonts w:ascii="Palatino Linotype" w:hAnsi="Palatino Linotype"/>
          <w:color w:val="000000" w:themeColor="text1"/>
        </w:rPr>
      </w:pPr>
    </w:p>
    <w:p w14:paraId="23764936" w14:textId="1EF4A551" w:rsidR="004D0F32" w:rsidRDefault="004D0F32" w:rsidP="004D0F32">
      <w:pPr>
        <w:pStyle w:val="paragraph"/>
        <w:spacing w:before="0" w:beforeAutospacing="0" w:after="0" w:afterAutospacing="0"/>
        <w:ind w:left="555" w:right="555"/>
        <w:jc w:val="both"/>
        <w:textAlignment w:val="baseline"/>
        <w:rPr>
          <w:rStyle w:val="eop"/>
          <w:rFonts w:ascii="Palatino Linotype" w:hAnsi="Palatino Linotype" w:cs="Segoe UI"/>
          <w:sz w:val="22"/>
          <w:szCs w:val="22"/>
        </w:rPr>
      </w:pPr>
      <w:r>
        <w:rPr>
          <w:rStyle w:val="normaltextrun"/>
          <w:rFonts w:ascii="Palatino Linotype" w:hAnsi="Palatino Linotype" w:cs="Segoe UI"/>
          <w:i/>
          <w:iCs/>
          <w:sz w:val="22"/>
          <w:szCs w:val="22"/>
          <w:lang w:val="es-ES"/>
        </w:rPr>
        <w:lastRenderedPageBreak/>
        <w:t>“</w:t>
      </w:r>
      <w:r>
        <w:rPr>
          <w:rStyle w:val="normaltextrun"/>
          <w:rFonts w:ascii="Palatino Linotype" w:hAnsi="Palatino Linotype" w:cs="Segoe UI"/>
          <w:b/>
          <w:bCs/>
          <w:i/>
          <w:iCs/>
          <w:sz w:val="22"/>
          <w:szCs w:val="22"/>
          <w:lang w:val="es-ES"/>
        </w:rPr>
        <w:t>3500 SERVICIOS DE INSTALACIÓN, REPARACIÓN, MANTENIMIENTO Y CONSERVACIÓN.</w:t>
      </w:r>
      <w:r>
        <w:rPr>
          <w:rStyle w:val="normaltextrun"/>
          <w:rFonts w:ascii="Palatino Linotype" w:hAnsi="Palatino Linotype" w:cs="Segoe UI"/>
          <w:i/>
          <w:iCs/>
          <w:sz w:val="22"/>
          <w:szCs w:val="22"/>
          <w:lang w:val="es-ES"/>
        </w:rPr>
        <w:t> </w:t>
      </w:r>
      <w:r>
        <w:rPr>
          <w:rStyle w:val="eop"/>
          <w:rFonts w:ascii="Palatino Linotype" w:hAnsi="Palatino Linotype" w:cs="Segoe UI"/>
          <w:sz w:val="22"/>
          <w:szCs w:val="22"/>
        </w:rPr>
        <w:t> </w:t>
      </w:r>
    </w:p>
    <w:p w14:paraId="2A76CC66"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p>
    <w:p w14:paraId="0BE358A3"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i/>
          <w:iCs/>
          <w:sz w:val="22"/>
          <w:szCs w:val="22"/>
          <w:lang w:val="es-ES"/>
        </w:rPr>
        <w:t>Asignaciones destinadas a cubrir erogaciones no capitalizables por contratación de servicios para la instalación, mantenimiento, reparación y conservación de toda clase de bienes muebles e inmuebles. Incluye los deducibles de seguros, así como los servicios de lavandería, limpieza, jardinería, higiene y fumigación. Excluye los gastos por concepto de mantenimiento y rehabilitación de la obra pública. </w:t>
      </w:r>
      <w:r>
        <w:rPr>
          <w:rStyle w:val="eop"/>
          <w:rFonts w:ascii="Palatino Linotype" w:hAnsi="Palatino Linotype" w:cs="Segoe UI"/>
          <w:sz w:val="22"/>
          <w:szCs w:val="22"/>
        </w:rPr>
        <w:t> </w:t>
      </w:r>
    </w:p>
    <w:p w14:paraId="2BCC2BA6"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sidRPr="004D0F32">
        <w:rPr>
          <w:rStyle w:val="normaltextrun"/>
          <w:rFonts w:ascii="Palatino Linotype" w:hAnsi="Palatino Linotype" w:cs="Segoe UI"/>
          <w:b/>
          <w:bCs/>
          <w:i/>
          <w:iCs/>
          <w:sz w:val="22"/>
          <w:szCs w:val="22"/>
          <w:u w:val="single"/>
          <w:lang w:val="es-ES"/>
        </w:rPr>
        <w:t>3510</w:t>
      </w:r>
      <w:r>
        <w:rPr>
          <w:rStyle w:val="normaltextrun"/>
          <w:rFonts w:ascii="Palatino Linotype" w:hAnsi="Palatino Linotype" w:cs="Segoe UI"/>
          <w:i/>
          <w:iCs/>
          <w:sz w:val="22"/>
          <w:szCs w:val="22"/>
          <w:lang w:val="es-ES"/>
        </w:rPr>
        <w:t> </w:t>
      </w:r>
      <w:r w:rsidRPr="004D0F32">
        <w:rPr>
          <w:rStyle w:val="normaltextrun"/>
          <w:rFonts w:ascii="Palatino Linotype" w:hAnsi="Palatino Linotype" w:cs="Segoe UI"/>
          <w:b/>
          <w:bCs/>
          <w:i/>
          <w:iCs/>
          <w:sz w:val="22"/>
          <w:szCs w:val="22"/>
          <w:u w:val="single"/>
          <w:lang w:val="es-ES"/>
        </w:rPr>
        <w:t>Conservación y mantenimiento menor de inmuebles</w:t>
      </w:r>
      <w:r>
        <w:rPr>
          <w:rStyle w:val="normaltextrun"/>
          <w:rFonts w:ascii="Palatino Linotype" w:hAnsi="Palatino Linotype" w:cs="Segoe UI"/>
          <w:i/>
          <w:iCs/>
          <w:sz w:val="22"/>
          <w:szCs w:val="22"/>
          <w:lang w:val="es-ES"/>
        </w:rPr>
        <w:t>. Asignaciones destinadas a cubrir los gastos por servicios de conservación y mantenimiento menor de edificios, locales, terrenos, predios, áreas verdes y caminos de acceso, propiedad de la nación o al servicio de los entes públicos, cuando se efectué por cuenta de terceros, incluido el pago de deducible de seguros. </w:t>
      </w:r>
      <w:r>
        <w:rPr>
          <w:rStyle w:val="eop"/>
          <w:rFonts w:ascii="Palatino Linotype" w:hAnsi="Palatino Linotype" w:cs="Segoe UI"/>
          <w:sz w:val="22"/>
          <w:szCs w:val="22"/>
        </w:rPr>
        <w:t> </w:t>
      </w:r>
    </w:p>
    <w:p w14:paraId="52B34F41"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sidRPr="004D0F32">
        <w:rPr>
          <w:rStyle w:val="normaltextrun"/>
          <w:rFonts w:ascii="Palatino Linotype" w:hAnsi="Palatino Linotype" w:cs="Segoe UI"/>
          <w:b/>
          <w:bCs/>
          <w:i/>
          <w:iCs/>
          <w:sz w:val="22"/>
          <w:szCs w:val="22"/>
          <w:u w:val="single"/>
          <w:lang w:val="es-ES"/>
        </w:rPr>
        <w:t>3511</w:t>
      </w:r>
      <w:r w:rsidRPr="004D0F32">
        <w:rPr>
          <w:rStyle w:val="normaltextrun"/>
          <w:rFonts w:ascii="Palatino Linotype" w:hAnsi="Palatino Linotype" w:cs="Segoe UI"/>
          <w:i/>
          <w:iCs/>
          <w:sz w:val="22"/>
          <w:szCs w:val="22"/>
          <w:u w:val="single"/>
          <w:lang w:val="es-ES"/>
        </w:rPr>
        <w:t> </w:t>
      </w:r>
      <w:r w:rsidRPr="004D0F32">
        <w:rPr>
          <w:rStyle w:val="normaltextrun"/>
          <w:rFonts w:ascii="Palatino Linotype" w:hAnsi="Palatino Linotype" w:cs="Segoe UI"/>
          <w:b/>
          <w:bCs/>
          <w:i/>
          <w:iCs/>
          <w:sz w:val="22"/>
          <w:szCs w:val="22"/>
          <w:u w:val="single"/>
          <w:lang w:val="es-ES"/>
        </w:rPr>
        <w:t xml:space="preserve">Reparación y mantenimiento de inmuebles. </w:t>
      </w:r>
      <w:r>
        <w:rPr>
          <w:rStyle w:val="normaltextrun"/>
          <w:rFonts w:ascii="Palatino Linotype" w:hAnsi="Palatino Linotype" w:cs="Segoe UI"/>
          <w:i/>
          <w:iCs/>
          <w:sz w:val="22"/>
          <w:szCs w:val="22"/>
          <w:lang w:val="es-ES"/>
        </w:rPr>
        <w:t>Asignación para cubrir los costos de la contratación de servicios para la reparación y mantenimiento de edificios, locales, terrenos y predios propiedad del Estado y de los Municipios. </w:t>
      </w:r>
      <w:r>
        <w:rPr>
          <w:rStyle w:val="eop"/>
          <w:rFonts w:ascii="Palatino Linotype" w:hAnsi="Palatino Linotype" w:cs="Segoe UI"/>
          <w:sz w:val="22"/>
          <w:szCs w:val="22"/>
        </w:rPr>
        <w:t> </w:t>
      </w:r>
    </w:p>
    <w:p w14:paraId="43F4432F"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3512</w:t>
      </w:r>
      <w:r>
        <w:rPr>
          <w:rStyle w:val="normaltextrun"/>
          <w:rFonts w:ascii="Palatino Linotype" w:hAnsi="Palatino Linotype" w:cs="Segoe UI"/>
          <w:i/>
          <w:iCs/>
          <w:sz w:val="22"/>
          <w:szCs w:val="22"/>
          <w:lang w:val="es-ES"/>
        </w:rPr>
        <w:t> Adaptación de locales, almacenes, bodegas y edificios. Asignación para cubrir el pago de la mano de obra y materiales para la adaptación de locales, terrenos y predios de propiedades oficiales. Cuando la adaptación modifique la estructura original del inmueble se deberá considerar como obra pública. Así como de los inmuebles en arrendamiento destinados a cubrir la función o los servicios públicos. </w:t>
      </w:r>
      <w:r>
        <w:rPr>
          <w:rStyle w:val="eop"/>
          <w:rFonts w:ascii="Palatino Linotype" w:hAnsi="Palatino Linotype" w:cs="Segoe UI"/>
          <w:sz w:val="22"/>
          <w:szCs w:val="22"/>
        </w:rPr>
        <w:t> </w:t>
      </w:r>
    </w:p>
    <w:p w14:paraId="0CC2425C"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3520</w:t>
      </w:r>
      <w:r>
        <w:rPr>
          <w:rStyle w:val="normaltextrun"/>
          <w:rFonts w:ascii="Palatino Linotype" w:hAnsi="Palatino Linotype" w:cs="Segoe UI"/>
          <w:i/>
          <w:iCs/>
          <w:sz w:val="22"/>
          <w:szCs w:val="22"/>
          <w:lang w:val="es-ES"/>
        </w:rPr>
        <w:t> Instalación, reparación y mantenimiento de mobiliario y equipo de administración, educacional y recreativo. Asignaciones destinadas a cubrir los gastos por servicios de instalación, reparación y mantenimiento de toda clase de mobiliario y equipo de administración, tales como: escritorios, sillas, sillones, archiveros, máquinas de escribir, calculadoras, fotocopiadoras, entre otros. Incluye el pago de deducible de seguros. </w:t>
      </w:r>
      <w:r>
        <w:rPr>
          <w:rStyle w:val="eop"/>
          <w:rFonts w:ascii="Palatino Linotype" w:hAnsi="Palatino Linotype" w:cs="Segoe UI"/>
          <w:sz w:val="22"/>
          <w:szCs w:val="22"/>
        </w:rPr>
        <w:t> </w:t>
      </w:r>
    </w:p>
    <w:p w14:paraId="13788690"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3521</w:t>
      </w:r>
      <w:r>
        <w:rPr>
          <w:rStyle w:val="normaltextrun"/>
          <w:rFonts w:ascii="Palatino Linotype" w:hAnsi="Palatino Linotype" w:cs="Segoe UI"/>
          <w:i/>
          <w:iCs/>
          <w:sz w:val="22"/>
          <w:szCs w:val="22"/>
          <w:lang w:val="es-ES"/>
        </w:rPr>
        <w:t> Reparación, mantenimiento e instalación de mobiliario y equipo de oficina. Asignaciones destinadas a cubrir el costo de los servicios de mantenimiento, reparación e instalación de toda clase de mobiliario y equipo de administración tales como: escritorios, sillas, sillones, archiveros, máquinas de escribir, calculadoras, fotocopiadoras, entre otros. </w:t>
      </w:r>
      <w:r>
        <w:rPr>
          <w:rStyle w:val="eop"/>
          <w:rFonts w:ascii="Palatino Linotype" w:hAnsi="Palatino Linotype" w:cs="Segoe UI"/>
          <w:sz w:val="22"/>
          <w:szCs w:val="22"/>
        </w:rPr>
        <w:t> </w:t>
      </w:r>
    </w:p>
    <w:p w14:paraId="11CEEC33"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3530</w:t>
      </w:r>
      <w:r>
        <w:rPr>
          <w:rStyle w:val="normaltextrun"/>
          <w:rFonts w:ascii="Palatino Linotype" w:hAnsi="Palatino Linotype" w:cs="Segoe UI"/>
          <w:i/>
          <w:iCs/>
          <w:sz w:val="22"/>
          <w:szCs w:val="22"/>
          <w:lang w:val="es-ES"/>
        </w:rPr>
        <w:t> Instalación, reparación y mantenimiento de equipo de cómputo y tecnologías de la información. Asignaciones destinadas a cubrir los gastos por servicios que se contraten con terceros para la instalación, reparación y mantenimiento de equipos de cómputo y tecnologías de la información, tales como: computadoras, impresoras, dispositivos de seguridad, reguladores, fuentes de potencia ininterrumpida, entre otros. Incluye el pago de deducibles de seguros. </w:t>
      </w:r>
      <w:r>
        <w:rPr>
          <w:rStyle w:val="eop"/>
          <w:rFonts w:ascii="Palatino Linotype" w:hAnsi="Palatino Linotype" w:cs="Segoe UI"/>
          <w:sz w:val="22"/>
          <w:szCs w:val="22"/>
        </w:rPr>
        <w:t> </w:t>
      </w:r>
    </w:p>
    <w:p w14:paraId="4A48289C"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3531</w:t>
      </w:r>
      <w:r>
        <w:rPr>
          <w:rStyle w:val="normaltextrun"/>
          <w:rFonts w:ascii="Palatino Linotype" w:hAnsi="Palatino Linotype" w:cs="Segoe UI"/>
          <w:i/>
          <w:iCs/>
          <w:sz w:val="22"/>
          <w:szCs w:val="22"/>
          <w:lang w:val="es-ES"/>
        </w:rPr>
        <w:t xml:space="preserve"> Reparación, instalación y mantenimiento de bienes informáticos, microfilmación y tecnologías de la información. Asignaciones destinadas a cubrir el costo de los servicios </w:t>
      </w:r>
      <w:r>
        <w:rPr>
          <w:rStyle w:val="normaltextrun"/>
          <w:rFonts w:ascii="Palatino Linotype" w:hAnsi="Palatino Linotype" w:cs="Segoe UI"/>
          <w:i/>
          <w:iCs/>
          <w:sz w:val="22"/>
          <w:szCs w:val="22"/>
          <w:lang w:val="es-ES"/>
        </w:rPr>
        <w:lastRenderedPageBreak/>
        <w:t>que se contraten con terceros para el mantenimiento, reparación e instalación de bienes informáticos, microfilmación y tecnologías de la información, tales como: computadoras, impresoras, dispositivos de seguridad, reguladores, fuentes de potencia ininterrumpida, redes informáticas internas y sistemas de telecomunicaciones, entre otros. Incluye el costo de las instalaciones menores especializadas. </w:t>
      </w:r>
      <w:r>
        <w:rPr>
          <w:rStyle w:val="eop"/>
          <w:rFonts w:ascii="Palatino Linotype" w:hAnsi="Palatino Linotype" w:cs="Segoe UI"/>
          <w:sz w:val="22"/>
          <w:szCs w:val="22"/>
        </w:rPr>
        <w:t> </w:t>
      </w:r>
    </w:p>
    <w:p w14:paraId="4D4AB878"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3532</w:t>
      </w:r>
      <w:r>
        <w:rPr>
          <w:rStyle w:val="normaltextrun"/>
          <w:rFonts w:ascii="Palatino Linotype" w:hAnsi="Palatino Linotype" w:cs="Segoe UI"/>
          <w:i/>
          <w:iCs/>
          <w:sz w:val="22"/>
          <w:szCs w:val="22"/>
          <w:lang w:val="es-ES"/>
        </w:rPr>
        <w:t> Reparación y mantenimiento para equipo y redes de tele y radio transmisión. Asignaciones destinadas a cubrir el pago de mano de obra y materiales requeridos en la reparación y mantenimiento del equipo y líneas de tele y radio transmisión. </w:t>
      </w:r>
      <w:r>
        <w:rPr>
          <w:rStyle w:val="eop"/>
          <w:rFonts w:ascii="Palatino Linotype" w:hAnsi="Palatino Linotype" w:cs="Segoe UI"/>
          <w:sz w:val="22"/>
          <w:szCs w:val="22"/>
        </w:rPr>
        <w:t> </w:t>
      </w:r>
    </w:p>
    <w:p w14:paraId="4693BE97"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3540</w:t>
      </w:r>
      <w:r>
        <w:rPr>
          <w:rStyle w:val="normaltextrun"/>
          <w:rFonts w:ascii="Palatino Linotype" w:hAnsi="Palatino Linotype" w:cs="Segoe UI"/>
          <w:i/>
          <w:iCs/>
          <w:sz w:val="22"/>
          <w:szCs w:val="22"/>
          <w:lang w:val="es-ES"/>
        </w:rPr>
        <w:t> Instalación, reparación y mantenimiento de equipo e instrumental médico y de laboratorio. Asignaciones destinadas a cubrir los gastos por servicios de instalación, reparación y mantenimiento de equipo e instrumental médico y de laboratorio. </w:t>
      </w:r>
      <w:r>
        <w:rPr>
          <w:rStyle w:val="eop"/>
          <w:rFonts w:ascii="Palatino Linotype" w:hAnsi="Palatino Linotype" w:cs="Segoe UI"/>
          <w:sz w:val="22"/>
          <w:szCs w:val="22"/>
        </w:rPr>
        <w:t> </w:t>
      </w:r>
    </w:p>
    <w:p w14:paraId="2D038F62"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3541</w:t>
      </w:r>
      <w:r>
        <w:rPr>
          <w:rStyle w:val="normaltextrun"/>
          <w:rFonts w:ascii="Palatino Linotype" w:hAnsi="Palatino Linotype" w:cs="Segoe UI"/>
          <w:i/>
          <w:iCs/>
          <w:sz w:val="22"/>
          <w:szCs w:val="22"/>
          <w:lang w:val="es-ES"/>
        </w:rPr>
        <w:t> Reparación, instalación y mantenimiento de equipo médico y de laboratorio. Asignaciones destinadas a cubrir el costo de los servicios de reparación, instalación, mantenimiento y conservación de equipo médico especializado y equipo de laboratorio, cuando se efectúen por cuenta de terceros. Incluye el costo de las instalaciones menores especializadas. </w:t>
      </w:r>
      <w:r>
        <w:rPr>
          <w:rStyle w:val="eop"/>
          <w:rFonts w:ascii="Palatino Linotype" w:hAnsi="Palatino Linotype" w:cs="Segoe UI"/>
          <w:sz w:val="22"/>
          <w:szCs w:val="22"/>
        </w:rPr>
        <w:t> </w:t>
      </w:r>
    </w:p>
    <w:p w14:paraId="7CA064FC"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3550</w:t>
      </w:r>
      <w:r>
        <w:rPr>
          <w:rStyle w:val="normaltextrun"/>
          <w:rFonts w:ascii="Palatino Linotype" w:hAnsi="Palatino Linotype" w:cs="Segoe UI"/>
          <w:i/>
          <w:iCs/>
          <w:sz w:val="22"/>
          <w:szCs w:val="22"/>
          <w:lang w:val="es-ES"/>
        </w:rPr>
        <w:t> Reparación y mantenimiento de equipo de transporte. Asignaciones destinadas a cubrir los gastos por servicios de reparación y mantenimiento del equipo de transporte terrestre, aeroespacial, marítimo, lacustre y fluvial, e instalación de equipos en los mismos, propiedad o al servicio de los entes públicos. </w:t>
      </w:r>
      <w:r>
        <w:rPr>
          <w:rStyle w:val="eop"/>
          <w:rFonts w:ascii="Palatino Linotype" w:hAnsi="Palatino Linotype" w:cs="Segoe UI"/>
          <w:sz w:val="22"/>
          <w:szCs w:val="22"/>
        </w:rPr>
        <w:t> </w:t>
      </w:r>
    </w:p>
    <w:p w14:paraId="304F1534"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3551</w:t>
      </w:r>
      <w:r>
        <w:rPr>
          <w:rStyle w:val="normaltextrun"/>
          <w:rFonts w:ascii="Palatino Linotype" w:hAnsi="Palatino Linotype" w:cs="Segoe UI"/>
          <w:i/>
          <w:iCs/>
          <w:sz w:val="22"/>
          <w:szCs w:val="22"/>
          <w:lang w:val="es-ES"/>
        </w:rPr>
        <w:t> Reparación y mantenimiento de vehículos terrestres, aéreos y lacustres. Asignación para cubrir el costo de la reparación y mantenimiento de vehículos oficiales. </w:t>
      </w:r>
      <w:r>
        <w:rPr>
          <w:rStyle w:val="eop"/>
          <w:rFonts w:ascii="Palatino Linotype" w:hAnsi="Palatino Linotype" w:cs="Segoe UI"/>
          <w:sz w:val="22"/>
          <w:szCs w:val="22"/>
        </w:rPr>
        <w:t> </w:t>
      </w:r>
    </w:p>
    <w:p w14:paraId="64ED36E4"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3560</w:t>
      </w:r>
      <w:r>
        <w:rPr>
          <w:rStyle w:val="normaltextrun"/>
          <w:rFonts w:ascii="Palatino Linotype" w:hAnsi="Palatino Linotype" w:cs="Segoe UI"/>
          <w:i/>
          <w:iCs/>
          <w:sz w:val="22"/>
          <w:szCs w:val="22"/>
          <w:lang w:val="es-ES"/>
        </w:rPr>
        <w:t> Reparación y mantenimiento de equipo de defensa y seguridad. Asignaciones destinadas a cubrir los gastos por servicios de reparación y mantenimiento del equipo de defensa y seguridad. </w:t>
      </w:r>
      <w:r>
        <w:rPr>
          <w:rStyle w:val="eop"/>
          <w:rFonts w:ascii="Palatino Linotype" w:hAnsi="Palatino Linotype" w:cs="Segoe UI"/>
          <w:sz w:val="22"/>
          <w:szCs w:val="22"/>
        </w:rPr>
        <w:t> </w:t>
      </w:r>
    </w:p>
    <w:p w14:paraId="7B5FC235"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3561</w:t>
      </w:r>
      <w:r>
        <w:rPr>
          <w:rStyle w:val="normaltextrun"/>
          <w:rFonts w:ascii="Palatino Linotype" w:hAnsi="Palatino Linotype" w:cs="Segoe UI"/>
          <w:i/>
          <w:iCs/>
          <w:sz w:val="22"/>
          <w:szCs w:val="22"/>
          <w:lang w:val="es-ES"/>
        </w:rPr>
        <w:t> Reparación y mantenimiento de equipos de seguridad y defensa. Asignaciones destinadas a cubrir los gastos por servicios de reparación y mantenimiento del equipo de seguridad y defensa, tales como armas cortas, armas largas, equipo anti motín, así como de equipos que se utilicen para la salvaguarda de la población. </w:t>
      </w:r>
      <w:r>
        <w:rPr>
          <w:rStyle w:val="eop"/>
          <w:rFonts w:ascii="Palatino Linotype" w:hAnsi="Palatino Linotype" w:cs="Segoe UI"/>
          <w:sz w:val="22"/>
          <w:szCs w:val="22"/>
        </w:rPr>
        <w:t> </w:t>
      </w:r>
    </w:p>
    <w:p w14:paraId="23AA7559"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3570</w:t>
      </w:r>
      <w:r>
        <w:rPr>
          <w:rStyle w:val="normaltextrun"/>
          <w:rFonts w:ascii="Palatino Linotype" w:hAnsi="Palatino Linotype" w:cs="Segoe UI"/>
          <w:i/>
          <w:iCs/>
          <w:sz w:val="22"/>
          <w:szCs w:val="22"/>
          <w:lang w:val="es-ES"/>
        </w:rPr>
        <w:t> Instalación, reparación y mantenimiento de maquinaria, otros equipos y herramienta. Asignaciones destinadas a cubrir los gastos por servicios de instalación, reparación y mantenimiento de la maquinaria, otros equipos y herramienta, propiedad o al servicio de los entes públicos tales como: tractores, palas mecánicas, dragas, fertilizadoras, vehículos, embarcaciones, aeronaves, equipo especializado instalado en los inmuebles, entre otros, cuando se efectúen por cuenta de terceros. Incluye el mantenimiento de plantas e instalaciones productivas y el pago de deducibles de seguros. </w:t>
      </w:r>
      <w:r>
        <w:rPr>
          <w:rStyle w:val="eop"/>
          <w:rFonts w:ascii="Palatino Linotype" w:hAnsi="Palatino Linotype" w:cs="Segoe UI"/>
          <w:sz w:val="22"/>
          <w:szCs w:val="22"/>
        </w:rPr>
        <w:t> </w:t>
      </w:r>
    </w:p>
    <w:p w14:paraId="5D64A82E"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lastRenderedPageBreak/>
        <w:t>3571</w:t>
      </w:r>
      <w:r>
        <w:rPr>
          <w:rStyle w:val="normaltextrun"/>
          <w:rFonts w:ascii="Palatino Linotype" w:hAnsi="Palatino Linotype" w:cs="Segoe UI"/>
          <w:i/>
          <w:iCs/>
          <w:sz w:val="22"/>
          <w:szCs w:val="22"/>
          <w:lang w:val="es-ES"/>
        </w:rPr>
        <w:t> Reparación, instalación y mantenimiento de maquinaria, equipo industrial y diverso. Asignaciones destinadas a cubrir el costo de los servicios de reparación, mantenimiento, instalación y conservación de la maquinaria, equipo industrial y equipos contra incendio, entre otros; así como: equipo topográfico, tractores, palas mecánicas, dragas, fertilizadoras, equipo especializado instalado en inmuebles, obras de arte, entre otros, cuando se efectúen por cuenta de terceros. </w:t>
      </w:r>
      <w:r>
        <w:rPr>
          <w:rStyle w:val="eop"/>
          <w:rFonts w:ascii="Palatino Linotype" w:hAnsi="Palatino Linotype" w:cs="Segoe UI"/>
          <w:sz w:val="22"/>
          <w:szCs w:val="22"/>
        </w:rPr>
        <w:t> </w:t>
      </w:r>
    </w:p>
    <w:p w14:paraId="7994C62C"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3580</w:t>
      </w:r>
      <w:r>
        <w:rPr>
          <w:rStyle w:val="normaltextrun"/>
          <w:rFonts w:ascii="Palatino Linotype" w:hAnsi="Palatino Linotype" w:cs="Segoe UI"/>
          <w:i/>
          <w:iCs/>
          <w:sz w:val="22"/>
          <w:szCs w:val="22"/>
          <w:lang w:val="es-ES"/>
        </w:rPr>
        <w:t> Servicios de limpieza y manejo de desechos. Asignaciones destinadas a cubrir los gastos por servicios de lavandería, limpieza, desinfección, higiene en los bienes muebles e inmuebles propiedad o al cuidado de los entes públicos. Servicios de manejo de desechos y remediación, como recolección y manejo de desechos, operación de sitios para enterrar desechos (confinamiento), la recuperación y clasificación de materiales reciclables y rehabilitación de limpieza de zonas contaminadas. </w:t>
      </w:r>
      <w:r>
        <w:rPr>
          <w:rStyle w:val="eop"/>
          <w:rFonts w:ascii="Palatino Linotype" w:hAnsi="Palatino Linotype" w:cs="Segoe UI"/>
          <w:sz w:val="22"/>
          <w:szCs w:val="22"/>
        </w:rPr>
        <w:t> </w:t>
      </w:r>
    </w:p>
    <w:p w14:paraId="5B83818A"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3581</w:t>
      </w:r>
      <w:r>
        <w:rPr>
          <w:rStyle w:val="normaltextrun"/>
          <w:rFonts w:ascii="Palatino Linotype" w:hAnsi="Palatino Linotype" w:cs="Segoe UI"/>
          <w:i/>
          <w:iCs/>
          <w:sz w:val="22"/>
          <w:szCs w:val="22"/>
          <w:lang w:val="es-ES"/>
        </w:rPr>
        <w:t> Servicios de lavandería, limpieza e higiene. Asignaciones destinadas a cubrir los gastos por servicios de: lavandería, limpieza, desinfección e higiene en los bienes muebles e inmuebles oficina. </w:t>
      </w:r>
      <w:r>
        <w:rPr>
          <w:rStyle w:val="eop"/>
          <w:rFonts w:ascii="Palatino Linotype" w:hAnsi="Palatino Linotype" w:cs="Segoe UI"/>
          <w:sz w:val="22"/>
          <w:szCs w:val="22"/>
        </w:rPr>
        <w:t> </w:t>
      </w:r>
    </w:p>
    <w:p w14:paraId="5F0D7933"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3590</w:t>
      </w:r>
      <w:r>
        <w:rPr>
          <w:rStyle w:val="normaltextrun"/>
          <w:rFonts w:ascii="Palatino Linotype" w:hAnsi="Palatino Linotype" w:cs="Segoe UI"/>
          <w:i/>
          <w:iCs/>
          <w:sz w:val="22"/>
          <w:szCs w:val="22"/>
          <w:lang w:val="es-ES"/>
        </w:rPr>
        <w:t> Servicios de jardinería y fumigación. Asignaciones destinadas a cubrir los gastos por control y exterminación de plagas, instalación y mantenimiento de áreas verdes como la plantación, fertilización y poda de árboles, hierbas y platas. </w:t>
      </w:r>
      <w:r>
        <w:rPr>
          <w:rStyle w:val="eop"/>
          <w:rFonts w:ascii="Palatino Linotype" w:hAnsi="Palatino Linotype" w:cs="Segoe UI"/>
          <w:sz w:val="22"/>
          <w:szCs w:val="22"/>
        </w:rPr>
        <w:t> </w:t>
      </w:r>
    </w:p>
    <w:p w14:paraId="22EF9337" w14:textId="77777777" w:rsidR="004D0F32" w:rsidRDefault="004D0F32" w:rsidP="004D0F32">
      <w:pPr>
        <w:pStyle w:val="paragraph"/>
        <w:spacing w:before="0" w:beforeAutospacing="0" w:after="0" w:afterAutospacing="0"/>
        <w:ind w:left="555" w:right="555"/>
        <w:jc w:val="both"/>
        <w:textAlignment w:val="baseline"/>
        <w:rPr>
          <w:rFonts w:ascii="Segoe UI" w:hAnsi="Segoe UI" w:cs="Segoe UI"/>
          <w:sz w:val="18"/>
          <w:szCs w:val="18"/>
        </w:rPr>
      </w:pPr>
      <w:r>
        <w:rPr>
          <w:rStyle w:val="normaltextrun"/>
          <w:rFonts w:ascii="Palatino Linotype" w:hAnsi="Palatino Linotype" w:cs="Segoe UI"/>
          <w:b/>
          <w:bCs/>
          <w:i/>
          <w:iCs/>
          <w:sz w:val="22"/>
          <w:szCs w:val="22"/>
          <w:lang w:val="es-ES"/>
        </w:rPr>
        <w:t>3591</w:t>
      </w:r>
      <w:r>
        <w:rPr>
          <w:rStyle w:val="normaltextrun"/>
          <w:rFonts w:ascii="Palatino Linotype" w:hAnsi="Palatino Linotype" w:cs="Segoe UI"/>
          <w:i/>
          <w:iCs/>
          <w:sz w:val="22"/>
          <w:szCs w:val="22"/>
          <w:lang w:val="es-ES"/>
        </w:rPr>
        <w:t> Servicios de fumigación. Asignaciones destinadas a cubrir los gastos por servicios de: fumigación y jardinería de los bienes muebles e inmuebles oficiales.”</w:t>
      </w:r>
      <w:r>
        <w:rPr>
          <w:rStyle w:val="eop"/>
          <w:rFonts w:ascii="Palatino Linotype" w:hAnsi="Palatino Linotype" w:cs="Segoe UI"/>
          <w:sz w:val="22"/>
          <w:szCs w:val="22"/>
        </w:rPr>
        <w:t> </w:t>
      </w:r>
    </w:p>
    <w:p w14:paraId="4BC4FEA8" w14:textId="77777777" w:rsidR="00BE1EA2" w:rsidRDefault="00BE1EA2" w:rsidP="00005D2F">
      <w:pPr>
        <w:spacing w:after="0" w:line="360" w:lineRule="auto"/>
        <w:contextualSpacing/>
        <w:jc w:val="both"/>
        <w:rPr>
          <w:rFonts w:ascii="Palatino Linotype" w:hAnsi="Palatino Linotype"/>
          <w:color w:val="000000" w:themeColor="text1"/>
        </w:rPr>
      </w:pPr>
    </w:p>
    <w:p w14:paraId="7F52E2DD" w14:textId="7565EA4B" w:rsidR="006C25FB" w:rsidRPr="004D0F32" w:rsidRDefault="004D0F32" w:rsidP="00005D2F">
      <w:pPr>
        <w:spacing w:after="0" w:line="360" w:lineRule="auto"/>
        <w:contextualSpacing/>
        <w:jc w:val="both"/>
        <w:rPr>
          <w:rFonts w:ascii="Palatino Linotype" w:hAnsi="Palatino Linotype"/>
          <w:b/>
          <w:bCs/>
          <w:color w:val="000000" w:themeColor="text1"/>
          <w:u w:val="single"/>
        </w:rPr>
      </w:pPr>
      <w:r>
        <w:rPr>
          <w:rFonts w:ascii="Palatino Linotype" w:hAnsi="Palatino Linotype"/>
          <w:color w:val="000000" w:themeColor="text1"/>
        </w:rPr>
        <w:t xml:space="preserve">De las partidas anteriores, es de precisar que únicamente la número 3510 y la 3511, corresponden a gastos realizados para el mantenimiento y/o reparación de inmuebles, de lo que cabe hacer mención que es la partida número 3511, la que reza puntualmente, sobre la </w:t>
      </w:r>
      <w:r w:rsidRPr="004D0F32">
        <w:rPr>
          <w:rFonts w:ascii="Palatino Linotype" w:hAnsi="Palatino Linotype"/>
          <w:b/>
          <w:bCs/>
          <w:color w:val="000000" w:themeColor="text1"/>
          <w:u w:val="single"/>
        </w:rPr>
        <w:t>asignación para cubrir los costos de la contratación de servicios para la reparación y mantenimiento de edificios, locales, terrenos y predios propiedad del Estado y de los Municipios</w:t>
      </w:r>
      <w:r>
        <w:rPr>
          <w:rFonts w:ascii="Palatino Linotype" w:hAnsi="Palatino Linotype"/>
          <w:color w:val="000000" w:themeColor="text1"/>
        </w:rPr>
        <w:t xml:space="preserve">, ya que la diversa número 3510, hace alusión a las </w:t>
      </w:r>
      <w:r w:rsidRPr="004D0F32">
        <w:rPr>
          <w:rFonts w:ascii="Palatino Linotype" w:hAnsi="Palatino Linotype"/>
          <w:b/>
          <w:bCs/>
          <w:color w:val="000000" w:themeColor="text1"/>
          <w:u w:val="single"/>
        </w:rPr>
        <w:t xml:space="preserve">asignaciones destinadas a cubrir los gastos por servicios de conservación y mantenimiento menor de edificios, locales, terrenos, predios, áreas verdes y caminos de acceso, propiedad de la nación o al servicio de los entes públicos, cuando se efectué por cuenta de terceros, incluido el pago de deducible de seguros.  </w:t>
      </w:r>
    </w:p>
    <w:p w14:paraId="6622FD4D" w14:textId="77777777" w:rsidR="00503FE6" w:rsidRDefault="00503FE6" w:rsidP="00005D2F">
      <w:pPr>
        <w:spacing w:after="0" w:line="360" w:lineRule="auto"/>
        <w:contextualSpacing/>
        <w:jc w:val="both"/>
        <w:rPr>
          <w:rFonts w:ascii="Palatino Linotype" w:hAnsi="Palatino Linotype" w:cs="Tahoma"/>
        </w:rPr>
      </w:pPr>
    </w:p>
    <w:p w14:paraId="016E94A9" w14:textId="0C6740B4" w:rsidR="00310FC2" w:rsidRPr="005B3636" w:rsidRDefault="00D45842" w:rsidP="00310FC2">
      <w:pPr>
        <w:spacing w:line="360" w:lineRule="auto"/>
        <w:jc w:val="both"/>
        <w:rPr>
          <w:rFonts w:ascii="Palatino Linotype" w:hAnsi="Palatino Linotype" w:cs="Tahoma"/>
          <w:szCs w:val="24"/>
        </w:rPr>
      </w:pPr>
      <w:r>
        <w:rPr>
          <w:rFonts w:ascii="Palatino Linotype" w:eastAsia="Calibri" w:hAnsi="Palatino Linotype" w:cs="Tahoma"/>
          <w:bCs/>
          <w:lang w:val="es-ES_tradnl"/>
        </w:rPr>
        <w:lastRenderedPageBreak/>
        <w:t>En ese sentido</w:t>
      </w:r>
      <w:r w:rsidR="00625A4E">
        <w:rPr>
          <w:rFonts w:ascii="Palatino Linotype" w:eastAsia="Calibri" w:hAnsi="Palatino Linotype" w:cs="Tahoma"/>
          <w:bCs/>
          <w:lang w:val="es-ES_tradnl"/>
        </w:rPr>
        <w:t xml:space="preserve">, es preciso mencionar que no se comparte </w:t>
      </w:r>
      <w:r w:rsidR="004771A4">
        <w:rPr>
          <w:rFonts w:ascii="Palatino Linotype" w:eastAsia="Calibri" w:hAnsi="Palatino Linotype" w:cs="Tahoma"/>
          <w:bCs/>
          <w:lang w:val="es-ES_tradnl"/>
        </w:rPr>
        <w:t>en su totalidad lo contenido en el análisis de la</w:t>
      </w:r>
      <w:r w:rsidR="00310FC2">
        <w:rPr>
          <w:rFonts w:ascii="Palatino Linotype" w:eastAsia="Calibri" w:hAnsi="Palatino Linotype" w:cs="Tahoma"/>
          <w:bCs/>
          <w:lang w:val="es-ES_tradnl"/>
        </w:rPr>
        <w:t xml:space="preserve"> Resolución, </w:t>
      </w:r>
      <w:r w:rsidR="004771A4">
        <w:rPr>
          <w:rFonts w:ascii="Palatino Linotype" w:eastAsia="Calibri" w:hAnsi="Palatino Linotype" w:cs="Tahoma"/>
          <w:bCs/>
          <w:lang w:val="es-ES_tradnl"/>
        </w:rPr>
        <w:t xml:space="preserve">en la parte conducente en donde se indica que la Comisión debió pronunciarse sobre otras partidas distintas a lo solicitado por el Recurrente, más aún cuando </w:t>
      </w:r>
      <w:r w:rsidR="00310FC2">
        <w:rPr>
          <w:rFonts w:ascii="Palatino Linotype" w:eastAsia="Calibri" w:hAnsi="Palatino Linotype" w:cs="Tahoma"/>
          <w:bCs/>
          <w:lang w:val="es-ES_tradnl"/>
        </w:rPr>
        <w:t>el Sujeto Obligado atendió la pretensión del Recurrente</w:t>
      </w:r>
      <w:r w:rsidR="004771A4">
        <w:rPr>
          <w:rFonts w:ascii="Palatino Linotype" w:eastAsia="Calibri" w:hAnsi="Palatino Linotype" w:cs="Tahoma"/>
          <w:bCs/>
          <w:lang w:val="es-ES_tradnl"/>
        </w:rPr>
        <w:t xml:space="preserve"> y refirió que no tiene asignado presupuesto. Esto sin dejar de lado que </w:t>
      </w:r>
      <w:r w:rsidR="00310FC2">
        <w:rPr>
          <w:rFonts w:ascii="Palatino Linotype" w:eastAsia="Calibri" w:hAnsi="Palatino Linotype" w:cs="Tahoma"/>
          <w:bCs/>
          <w:lang w:val="es-ES_tradnl"/>
        </w:rPr>
        <w:t xml:space="preserve">este Instituto no tiene atribuciones para dudar de la veracidad de la información rendida por los Sujetos Obligados en atención a las diversas solicitudes de acceso, lo cual, toma sustento del criterio </w:t>
      </w:r>
      <w:r w:rsidR="00310FC2" w:rsidRPr="005B3636">
        <w:rPr>
          <w:rFonts w:ascii="Palatino Linotype" w:hAnsi="Palatino Linotype" w:cs="Tahoma"/>
          <w:szCs w:val="24"/>
        </w:rPr>
        <w:t xml:space="preserve">31-10 emitido por el entonces Instituto Federal de Acceso a la Información y Protección de Datos (IFAI) ahora Instituto Nacional de Transparencia, Acceso a la Información, y Protección de Datos Personales (INAI), que lleva por rubro y texto los siguientes: </w:t>
      </w:r>
    </w:p>
    <w:p w14:paraId="0A49DA02" w14:textId="77777777" w:rsidR="00310FC2" w:rsidRPr="008C5241" w:rsidRDefault="00310FC2" w:rsidP="00310FC2">
      <w:pPr>
        <w:spacing w:line="360" w:lineRule="auto"/>
        <w:ind w:left="567" w:right="539"/>
        <w:jc w:val="both"/>
        <w:rPr>
          <w:rFonts w:ascii="Palatino Linotype" w:hAnsi="Palatino Linotype" w:cs="Tahoma"/>
          <w:i/>
          <w:sz w:val="20"/>
        </w:rPr>
      </w:pPr>
      <w:r w:rsidRPr="008C5241">
        <w:rPr>
          <w:rFonts w:ascii="Palatino Linotype" w:hAnsi="Palatino Linotype" w:cs="Tahoma"/>
          <w:b/>
          <w:i/>
          <w:sz w:val="20"/>
        </w:rPr>
        <w:t>“El Instituto Federal de Acceso a la Información y Protección de Datos no cuenta con facultades para pronunciarse respecto de la veracidad de los documentos proporcionados por los sujetos obligados.</w:t>
      </w:r>
      <w:r w:rsidRPr="008C5241">
        <w:rPr>
          <w:rFonts w:ascii="Palatino Linotype" w:hAnsi="Palatino Linotype" w:cs="Tahoma"/>
          <w:i/>
          <w:sz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B486C8" w14:textId="4E3D448F" w:rsidR="00503FE6" w:rsidRDefault="00503FE6" w:rsidP="00005D2F">
      <w:pPr>
        <w:spacing w:after="0" w:line="360" w:lineRule="auto"/>
        <w:contextualSpacing/>
        <w:jc w:val="both"/>
        <w:rPr>
          <w:rFonts w:ascii="Palatino Linotype" w:eastAsia="Calibri" w:hAnsi="Palatino Linotype" w:cs="Tahoma"/>
          <w:bCs/>
          <w:lang w:val="es-ES_tradnl"/>
        </w:rPr>
      </w:pPr>
    </w:p>
    <w:p w14:paraId="05BC3CE9" w14:textId="74C6C761" w:rsidR="004771A4" w:rsidRDefault="00B8268E" w:rsidP="00005D2F">
      <w:pPr>
        <w:spacing w:after="0" w:line="360" w:lineRule="auto"/>
        <w:jc w:val="both"/>
        <w:rPr>
          <w:rFonts w:ascii="Palatino Linotype" w:eastAsia="Times New Roman" w:hAnsi="Palatino Linotype" w:cs="Arial"/>
          <w:bCs/>
          <w:color w:val="000000" w:themeColor="text1"/>
          <w:lang w:val="es-MX" w:eastAsia="es-ES"/>
        </w:rPr>
      </w:pPr>
      <w:r w:rsidRPr="00B8268E">
        <w:rPr>
          <w:rFonts w:ascii="Palatino Linotype" w:eastAsia="Times New Roman" w:hAnsi="Palatino Linotype" w:cs="Arial"/>
          <w:bCs/>
          <w:color w:val="000000" w:themeColor="text1"/>
          <w:lang w:val="es-MX" w:eastAsia="es-ES"/>
        </w:rPr>
        <w:t xml:space="preserve">En ese contexto, </w:t>
      </w:r>
      <w:r w:rsidR="0060151C" w:rsidRPr="0060151C">
        <w:rPr>
          <w:rFonts w:ascii="Palatino Linotype" w:eastAsia="Times New Roman" w:hAnsi="Palatino Linotype" w:cs="Arial"/>
          <w:bCs/>
          <w:color w:val="000000" w:themeColor="text1"/>
          <w:lang w:val="es-MX" w:eastAsia="es-ES"/>
        </w:rPr>
        <w:t xml:space="preserve">del contraste entre el planteamiento formulado en la solicitud de información y de </w:t>
      </w:r>
      <w:r w:rsidR="00310FC2">
        <w:rPr>
          <w:rFonts w:ascii="Palatino Linotype" w:eastAsia="Times New Roman" w:hAnsi="Palatino Linotype" w:cs="Arial"/>
          <w:bCs/>
          <w:color w:val="000000" w:themeColor="text1"/>
          <w:lang w:val="es-MX" w:eastAsia="es-ES"/>
        </w:rPr>
        <w:t>lo ordenado por la Ponencia Resolutora</w:t>
      </w:r>
      <w:r w:rsidRPr="00B8268E">
        <w:rPr>
          <w:rFonts w:ascii="Palatino Linotype" w:eastAsia="Times New Roman" w:hAnsi="Palatino Linotype" w:cs="Arial"/>
          <w:bCs/>
          <w:color w:val="000000" w:themeColor="text1"/>
          <w:lang w:val="es-MX" w:eastAsia="es-ES"/>
        </w:rPr>
        <w:t xml:space="preserve">, se desprende que el </w:t>
      </w:r>
      <w:r w:rsidR="00375A93">
        <w:rPr>
          <w:rFonts w:ascii="Palatino Linotype" w:eastAsia="Times New Roman" w:hAnsi="Palatino Linotype" w:cs="Arial"/>
          <w:bCs/>
          <w:color w:val="000000" w:themeColor="text1"/>
          <w:lang w:val="es-MX" w:eastAsia="es-ES"/>
        </w:rPr>
        <w:t xml:space="preserve">ordenar la entrega </w:t>
      </w:r>
      <w:r w:rsidR="00310FC2">
        <w:rPr>
          <w:rFonts w:ascii="Palatino Linotype" w:eastAsia="Times New Roman" w:hAnsi="Palatino Linotype" w:cs="Arial"/>
          <w:bCs/>
          <w:color w:val="000000" w:themeColor="text1"/>
          <w:lang w:val="es-MX" w:eastAsia="es-ES"/>
        </w:rPr>
        <w:t xml:space="preserve">de información </w:t>
      </w:r>
      <w:r w:rsidR="00375A93">
        <w:rPr>
          <w:rFonts w:ascii="Palatino Linotype" w:eastAsia="Times New Roman" w:hAnsi="Palatino Linotype" w:cs="Arial"/>
          <w:bCs/>
          <w:color w:val="000000" w:themeColor="text1"/>
          <w:lang w:val="es-MX" w:eastAsia="es-ES"/>
        </w:rPr>
        <w:t>distint</w:t>
      </w:r>
      <w:r w:rsidR="00310FC2">
        <w:rPr>
          <w:rFonts w:ascii="Palatino Linotype" w:eastAsia="Times New Roman" w:hAnsi="Palatino Linotype" w:cs="Arial"/>
          <w:bCs/>
          <w:color w:val="000000" w:themeColor="text1"/>
          <w:lang w:val="es-MX" w:eastAsia="es-ES"/>
        </w:rPr>
        <w:t>a</w:t>
      </w:r>
      <w:r w:rsidR="00375A93">
        <w:rPr>
          <w:rFonts w:ascii="Palatino Linotype" w:eastAsia="Times New Roman" w:hAnsi="Palatino Linotype" w:cs="Arial"/>
          <w:bCs/>
          <w:color w:val="000000" w:themeColor="text1"/>
          <w:lang w:val="es-MX" w:eastAsia="es-ES"/>
        </w:rPr>
        <w:t xml:space="preserve"> a lo solicitado corresponde a </w:t>
      </w:r>
      <w:r w:rsidR="004771A4">
        <w:rPr>
          <w:rFonts w:ascii="Palatino Linotype" w:eastAsia="Times New Roman" w:hAnsi="Palatino Linotype" w:cs="Arial"/>
          <w:bCs/>
          <w:color w:val="000000" w:themeColor="text1"/>
          <w:lang w:val="es-MX" w:eastAsia="es-ES"/>
        </w:rPr>
        <w:t xml:space="preserve">ordenar información que no </w:t>
      </w:r>
      <w:r w:rsidR="004771A4">
        <w:rPr>
          <w:rFonts w:ascii="Palatino Linotype" w:eastAsia="Times New Roman" w:hAnsi="Palatino Linotype" w:cs="Arial"/>
          <w:bCs/>
          <w:color w:val="000000" w:themeColor="text1"/>
          <w:lang w:val="es-MX" w:eastAsia="es-ES"/>
        </w:rPr>
        <w:lastRenderedPageBreak/>
        <w:t>fue solicitada por el Recurrente, más aún cuando uno de los aspectos que se pretende controvertir por el Recurrente, es la  veracidad de la información.</w:t>
      </w:r>
    </w:p>
    <w:p w14:paraId="49845D76" w14:textId="77777777" w:rsidR="004771A4" w:rsidRDefault="004771A4" w:rsidP="00005D2F">
      <w:pPr>
        <w:spacing w:after="0" w:line="360" w:lineRule="auto"/>
        <w:jc w:val="both"/>
        <w:rPr>
          <w:rFonts w:ascii="Palatino Linotype" w:eastAsia="Times New Roman" w:hAnsi="Palatino Linotype" w:cs="Arial"/>
          <w:bCs/>
          <w:color w:val="000000" w:themeColor="text1"/>
          <w:lang w:val="es-MX" w:eastAsia="es-ES"/>
        </w:rPr>
      </w:pPr>
    </w:p>
    <w:p w14:paraId="0F68ECC7" w14:textId="77777777" w:rsidR="001C46EB" w:rsidRDefault="001C46EB" w:rsidP="00005D2F">
      <w:pPr>
        <w:spacing w:after="0" w:line="360" w:lineRule="auto"/>
        <w:jc w:val="both"/>
        <w:rPr>
          <w:rFonts w:ascii="Palatino Linotype" w:hAnsi="Palatino Linotype" w:cs="Tahoma"/>
        </w:rPr>
      </w:pPr>
      <w:r w:rsidRPr="005D6947">
        <w:rPr>
          <w:rFonts w:ascii="Palatino Linotype" w:hAnsi="Palatino Linotype" w:cs="Tahoma"/>
        </w:rPr>
        <w:t xml:space="preserve">Así, con base en los razonamientos expuestos, se emite el Presente </w:t>
      </w:r>
      <w:r w:rsidRPr="005D6947">
        <w:rPr>
          <w:rFonts w:ascii="Palatino Linotype" w:hAnsi="Palatino Linotype" w:cs="Tahoma"/>
          <w:b/>
        </w:rPr>
        <w:t>Voto Particular.</w:t>
      </w:r>
      <w:r w:rsidRPr="005D6947">
        <w:rPr>
          <w:rFonts w:ascii="Palatino Linotype" w:hAnsi="Palatino Linotype" w:cs="Tahoma"/>
        </w:rPr>
        <w:t>-------------------------------------------</w:t>
      </w:r>
      <w:r>
        <w:rPr>
          <w:rFonts w:ascii="Palatino Linotype" w:hAnsi="Palatino Linotype" w:cs="Tahoma"/>
        </w:rPr>
        <w:t>-----</w:t>
      </w:r>
      <w:r w:rsidRPr="005D6947">
        <w:rPr>
          <w:rFonts w:ascii="Palatino Linotype" w:hAnsi="Palatino Linotype" w:cs="Tahoma"/>
        </w:rPr>
        <w:t>-----------------------------------------------------------------------------------</w:t>
      </w:r>
    </w:p>
    <w:p w14:paraId="20EDE9B5" w14:textId="17AB4240" w:rsidR="008D7232" w:rsidRDefault="008D7232" w:rsidP="001C46EB">
      <w:pPr>
        <w:spacing w:after="0" w:line="360" w:lineRule="auto"/>
        <w:jc w:val="both"/>
        <w:rPr>
          <w:rFonts w:ascii="Palatino Linotype" w:hAnsi="Palatino Linotype" w:cs="Tahoma"/>
        </w:rPr>
      </w:pPr>
    </w:p>
    <w:p w14:paraId="20194FF8" w14:textId="77777777" w:rsidR="008D7232" w:rsidRDefault="008D7232">
      <w:pPr>
        <w:rPr>
          <w:rFonts w:ascii="Palatino Linotype" w:hAnsi="Palatino Linotype" w:cs="Tahoma"/>
        </w:rPr>
      </w:pPr>
      <w:r>
        <w:rPr>
          <w:rFonts w:ascii="Palatino Linotype" w:hAnsi="Palatino Linotype" w:cs="Tahoma"/>
        </w:rPr>
        <w:br w:type="page"/>
      </w:r>
    </w:p>
    <w:p w14:paraId="12927550" w14:textId="77777777" w:rsidR="001C46EB" w:rsidRDefault="001C46EB" w:rsidP="001C46EB">
      <w:pPr>
        <w:spacing w:after="0" w:line="360" w:lineRule="auto"/>
        <w:jc w:val="both"/>
        <w:rPr>
          <w:rFonts w:ascii="Palatino Linotype" w:hAnsi="Palatino Linotype" w:cs="Tahoma"/>
        </w:rPr>
      </w:pPr>
    </w:p>
    <w:p w14:paraId="622B84D1" w14:textId="77777777" w:rsidR="001C46EB" w:rsidRDefault="001C46EB" w:rsidP="001C46EB">
      <w:pPr>
        <w:spacing w:after="0" w:line="360" w:lineRule="auto"/>
        <w:jc w:val="both"/>
        <w:rPr>
          <w:rFonts w:ascii="Palatino Linotype" w:hAnsi="Palatino Linotype" w:cs="Tahoma"/>
        </w:rPr>
      </w:pPr>
    </w:p>
    <w:p w14:paraId="3A932B61" w14:textId="77777777" w:rsidR="001C46EB" w:rsidRDefault="001C46EB" w:rsidP="001C46EB">
      <w:pPr>
        <w:spacing w:after="0" w:line="360" w:lineRule="auto"/>
        <w:jc w:val="both"/>
        <w:rPr>
          <w:rFonts w:ascii="Palatino Linotype" w:hAnsi="Palatino Linotype" w:cs="Tahoma"/>
        </w:rPr>
      </w:pPr>
    </w:p>
    <w:p w14:paraId="3AF3FFD5" w14:textId="77777777" w:rsidR="001C46EB" w:rsidRDefault="001C46EB" w:rsidP="001C46EB">
      <w:pPr>
        <w:spacing w:after="0" w:line="360" w:lineRule="auto"/>
        <w:jc w:val="both"/>
        <w:rPr>
          <w:rFonts w:ascii="Palatino Linotype" w:hAnsi="Palatino Linotype" w:cs="Tahoma"/>
        </w:rPr>
      </w:pPr>
    </w:p>
    <w:p w14:paraId="3DAA4ED1" w14:textId="77777777" w:rsidR="001C46EB" w:rsidRDefault="001C46EB" w:rsidP="001C46EB">
      <w:pPr>
        <w:spacing w:after="0" w:line="360" w:lineRule="auto"/>
        <w:jc w:val="both"/>
        <w:rPr>
          <w:rFonts w:ascii="Palatino Linotype" w:hAnsi="Palatino Linotype" w:cs="Tahoma"/>
        </w:rPr>
      </w:pPr>
    </w:p>
    <w:p w14:paraId="499E89DB" w14:textId="77777777" w:rsidR="001C46EB" w:rsidRDefault="001C46EB" w:rsidP="001C46EB">
      <w:pPr>
        <w:spacing w:after="0" w:line="360" w:lineRule="auto"/>
        <w:jc w:val="both"/>
        <w:rPr>
          <w:rFonts w:ascii="Palatino Linotype" w:hAnsi="Palatino Linotype" w:cs="Tahoma"/>
        </w:rPr>
      </w:pPr>
    </w:p>
    <w:p w14:paraId="621B7FE8" w14:textId="77777777" w:rsidR="001C46EB" w:rsidRPr="005D6947" w:rsidRDefault="001C46EB" w:rsidP="001C46EB">
      <w:pPr>
        <w:spacing w:after="0" w:line="360" w:lineRule="auto"/>
        <w:jc w:val="both"/>
        <w:rPr>
          <w:rFonts w:ascii="Palatino Linotype" w:hAnsi="Palatino Linotype" w:cs="Tahoma"/>
          <w:b/>
        </w:rPr>
      </w:pPr>
    </w:p>
    <w:p w14:paraId="5406CFF5" w14:textId="77777777" w:rsidR="001C46EB" w:rsidRPr="005D6947" w:rsidRDefault="001C46EB" w:rsidP="001C46EB">
      <w:pPr>
        <w:spacing w:after="0" w:line="360" w:lineRule="auto"/>
        <w:jc w:val="both"/>
        <w:rPr>
          <w:rFonts w:ascii="Palatino Linotype" w:hAnsi="Palatino Linotype" w:cs="Tahoma"/>
          <w:b/>
        </w:rPr>
      </w:pPr>
    </w:p>
    <w:p w14:paraId="2464BA54" w14:textId="77777777" w:rsidR="001C46EB" w:rsidRPr="005D6947" w:rsidRDefault="001C46EB" w:rsidP="001C46EB">
      <w:pPr>
        <w:spacing w:after="0" w:line="360" w:lineRule="auto"/>
        <w:jc w:val="both"/>
        <w:rPr>
          <w:rFonts w:ascii="Palatino Linotype" w:hAnsi="Palatino Linotype" w:cs="Tahoma"/>
          <w:b/>
        </w:rPr>
      </w:pPr>
    </w:p>
    <w:p w14:paraId="474CF791" w14:textId="77777777" w:rsidR="001C46EB" w:rsidRPr="005D6947" w:rsidRDefault="001C46EB" w:rsidP="001C46EB">
      <w:pPr>
        <w:spacing w:after="0" w:line="360" w:lineRule="auto"/>
        <w:jc w:val="both"/>
        <w:rPr>
          <w:rFonts w:ascii="Palatino Linotype" w:hAnsi="Palatino Linotype" w:cs="Tahoma"/>
          <w:b/>
        </w:rPr>
      </w:pPr>
    </w:p>
    <w:p w14:paraId="6EC2415A" w14:textId="77777777" w:rsidR="001C46EB" w:rsidRPr="005D6947" w:rsidRDefault="001C46EB" w:rsidP="001C46EB">
      <w:pPr>
        <w:spacing w:after="0" w:line="360" w:lineRule="auto"/>
        <w:jc w:val="both"/>
        <w:rPr>
          <w:rFonts w:ascii="Palatino Linotype" w:hAnsi="Palatino Linotype" w:cs="Tahoma"/>
          <w:b/>
        </w:rPr>
      </w:pPr>
    </w:p>
    <w:p w14:paraId="2D520512" w14:textId="77777777" w:rsidR="001C46EB" w:rsidRDefault="001C46EB" w:rsidP="0039411A">
      <w:pPr>
        <w:spacing w:after="0" w:line="360" w:lineRule="auto"/>
        <w:contextualSpacing/>
        <w:jc w:val="both"/>
        <w:rPr>
          <w:rFonts w:ascii="Palatino Linotype" w:eastAsia="Calibri" w:hAnsi="Palatino Linotype" w:cs="Tahoma"/>
          <w:bCs/>
          <w:lang w:val="es-ES_tradnl"/>
        </w:rPr>
      </w:pPr>
    </w:p>
    <w:p w14:paraId="3E994241" w14:textId="77777777" w:rsidR="00110A5F" w:rsidRDefault="00110A5F" w:rsidP="00110A5F">
      <w:pPr>
        <w:spacing w:after="0" w:line="360" w:lineRule="auto"/>
        <w:contextualSpacing/>
        <w:rPr>
          <w:rFonts w:ascii="Palatino Linotype" w:hAnsi="Palatino Linotype" w:cs="Tahoma"/>
          <w:b/>
        </w:rPr>
      </w:pPr>
    </w:p>
    <w:p w14:paraId="188F92BB" w14:textId="77777777" w:rsidR="00110A5F" w:rsidRDefault="00110A5F" w:rsidP="00110A5F">
      <w:pPr>
        <w:spacing w:after="0" w:line="360" w:lineRule="auto"/>
        <w:contextualSpacing/>
        <w:rPr>
          <w:rFonts w:ascii="Palatino Linotype" w:hAnsi="Palatino Linotype" w:cs="Tahoma"/>
          <w:b/>
        </w:rPr>
      </w:pPr>
    </w:p>
    <w:p w14:paraId="56FCBE9D" w14:textId="77777777" w:rsidR="00110A5F" w:rsidRDefault="00110A5F" w:rsidP="00110A5F">
      <w:pPr>
        <w:spacing w:after="0" w:line="360" w:lineRule="auto"/>
        <w:contextualSpacing/>
        <w:rPr>
          <w:rFonts w:ascii="Palatino Linotype" w:hAnsi="Palatino Linotype" w:cs="Tahoma"/>
          <w:b/>
        </w:rPr>
      </w:pPr>
    </w:p>
    <w:p w14:paraId="39296D18" w14:textId="77777777" w:rsidR="00110A5F" w:rsidRPr="004A5C04" w:rsidRDefault="00110A5F" w:rsidP="00110A5F">
      <w:pPr>
        <w:spacing w:after="0" w:line="360" w:lineRule="auto"/>
        <w:contextualSpacing/>
        <w:rPr>
          <w:rFonts w:ascii="Palatino Linotype" w:hAnsi="Palatino Linotype" w:cs="Tahoma"/>
          <w:b/>
        </w:rPr>
      </w:pPr>
    </w:p>
    <w:p w14:paraId="054B0651" w14:textId="77777777" w:rsidR="002B57D8" w:rsidRDefault="002B57D8" w:rsidP="00110A5F">
      <w:pPr>
        <w:spacing w:line="360" w:lineRule="auto"/>
        <w:ind w:right="-93"/>
        <w:contextualSpacing/>
        <w:jc w:val="both"/>
        <w:rPr>
          <w:rFonts w:ascii="Palatino Linotype" w:hAnsi="Palatino Linotype" w:cs="Tahoma"/>
        </w:rPr>
      </w:pPr>
    </w:p>
    <w:sectPr w:rsidR="002B57D8" w:rsidSect="00994C68">
      <w:headerReference w:type="default" r:id="rId8"/>
      <w:footerReference w:type="default" r:id="rId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8C3B" w14:textId="77777777" w:rsidR="007466A5" w:rsidRDefault="007466A5" w:rsidP="00EE29F6">
      <w:pPr>
        <w:spacing w:after="0" w:line="240" w:lineRule="auto"/>
      </w:pPr>
      <w:r>
        <w:separator/>
      </w:r>
    </w:p>
  </w:endnote>
  <w:endnote w:type="continuationSeparator" w:id="0">
    <w:p w14:paraId="3D5381E5" w14:textId="77777777" w:rsidR="007466A5" w:rsidRDefault="007466A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AF6CD87" w14:textId="77777777" w:rsidR="00994C68" w:rsidRDefault="00994C68">
            <w:pPr>
              <w:pStyle w:val="Piedepgina"/>
              <w:jc w:val="center"/>
            </w:pPr>
          </w:p>
          <w:p w14:paraId="281156E0" w14:textId="4BB49CF9"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1C46EB">
              <w:rPr>
                <w:b/>
                <w:bCs/>
                <w:noProof/>
              </w:rPr>
              <w:t>1</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1C46EB">
              <w:rPr>
                <w:b/>
                <w:bCs/>
                <w:noProof/>
              </w:rPr>
              <w:t>6</w:t>
            </w:r>
            <w:r w:rsidR="0005256C">
              <w:rPr>
                <w:b/>
                <w:bCs/>
                <w:sz w:val="24"/>
                <w:szCs w:val="24"/>
              </w:rPr>
              <w:fldChar w:fldCharType="end"/>
            </w:r>
          </w:p>
        </w:sdtContent>
      </w:sdt>
    </w:sdtContent>
  </w:sdt>
  <w:p w14:paraId="3C3EA219"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D17B" w14:textId="77777777" w:rsidR="007466A5" w:rsidRDefault="007466A5" w:rsidP="00EE29F6">
      <w:pPr>
        <w:spacing w:after="0" w:line="240" w:lineRule="auto"/>
      </w:pPr>
      <w:r>
        <w:separator/>
      </w:r>
    </w:p>
  </w:footnote>
  <w:footnote w:type="continuationSeparator" w:id="0">
    <w:p w14:paraId="0D53C2C6" w14:textId="77777777" w:rsidR="007466A5" w:rsidRDefault="007466A5"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4"/>
      <w:gridCol w:w="6035"/>
    </w:tblGrid>
    <w:tr w:rsidR="0077694E" w:rsidRPr="001106EA" w14:paraId="0CD3614E" w14:textId="77777777" w:rsidTr="00BE420A">
      <w:trPr>
        <w:trHeight w:val="1887"/>
      </w:trPr>
      <w:tc>
        <w:tcPr>
          <w:tcW w:w="2754" w:type="dxa"/>
          <w:vAlign w:val="bottom"/>
        </w:tcPr>
        <w:p w14:paraId="05F0B7F7"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4A9CBE69" wp14:editId="7A41A98B">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7ECE42D6" w14:textId="77777777" w:rsidR="0077694E" w:rsidRDefault="0077694E" w:rsidP="0077694E">
          <w:pPr>
            <w:pStyle w:val="Encabezado"/>
            <w:tabs>
              <w:tab w:val="clear" w:pos="4252"/>
              <w:tab w:val="center" w:pos="2614"/>
            </w:tabs>
          </w:pPr>
        </w:p>
      </w:tc>
      <w:tc>
        <w:tcPr>
          <w:tcW w:w="6035" w:type="dxa"/>
          <w:vAlign w:val="center"/>
        </w:tcPr>
        <w:p w14:paraId="49E71037" w14:textId="77777777" w:rsidR="001106EA" w:rsidRPr="00B9745A" w:rsidRDefault="001106EA" w:rsidP="001106EA">
          <w:pPr>
            <w:pStyle w:val="Encabezado"/>
            <w:ind w:left="-108" w:right="-250"/>
            <w:jc w:val="both"/>
            <w:rPr>
              <w:rFonts w:ascii="Palatino Linotype" w:hAnsi="Palatino Linotype" w:cs="Tahoma"/>
            </w:rPr>
          </w:pPr>
        </w:p>
        <w:p w14:paraId="4065ED37"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214A2BA7" w14:textId="0589E823" w:rsidR="0077694E" w:rsidRDefault="001106EA" w:rsidP="00962B86">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Recurso de Revisión: </w:t>
          </w:r>
          <w:r w:rsidR="00BE420A">
            <w:rPr>
              <w:rFonts w:ascii="Palatino Linotype" w:hAnsi="Palatino Linotype"/>
              <w:bCs/>
              <w:lang w:val="es-ES_tradnl"/>
            </w:rPr>
            <w:t>03823</w:t>
          </w:r>
          <w:r w:rsidR="00684869" w:rsidRPr="00D55EC0">
            <w:rPr>
              <w:rFonts w:ascii="Palatino Linotype" w:hAnsi="Palatino Linotype"/>
              <w:bCs/>
              <w:lang w:val="es-ES_tradnl"/>
            </w:rPr>
            <w:t>/INFOEM/IP/RR/2021</w:t>
          </w:r>
        </w:p>
        <w:p w14:paraId="01FF7164" w14:textId="77777777" w:rsidR="00BE420A" w:rsidRDefault="00232F02" w:rsidP="00BE420A">
          <w:pPr>
            <w:pStyle w:val="Encabezado"/>
            <w:ind w:left="-108"/>
            <w:jc w:val="both"/>
            <w:rPr>
              <w:rFonts w:ascii="Palatino Linotype" w:hAnsi="Palatino Linotype" w:cs="Tahoma"/>
              <w:bCs/>
            </w:rPr>
          </w:pPr>
          <w:r>
            <w:rPr>
              <w:rFonts w:ascii="Palatino Linotype" w:hAnsi="Palatino Linotype" w:cs="Tahoma"/>
              <w:b/>
            </w:rPr>
            <w:t xml:space="preserve">Sujeto Obligado: </w:t>
          </w:r>
          <w:r w:rsidR="00BE420A" w:rsidRPr="00BE420A">
            <w:rPr>
              <w:rFonts w:ascii="Palatino Linotype" w:hAnsi="Palatino Linotype" w:cs="Tahoma"/>
              <w:bCs/>
            </w:rPr>
            <w:t>Comisión de Conciliación y Arbitraje Médico del Estado de México</w:t>
          </w:r>
        </w:p>
        <w:p w14:paraId="4E8EC00B" w14:textId="76FD1FD5" w:rsidR="006F754E" w:rsidRDefault="006F754E" w:rsidP="008A56FC">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BE420A">
            <w:rPr>
              <w:rFonts w:ascii="Palatino Linotype" w:hAnsi="Palatino Linotype"/>
              <w:bCs/>
              <w:lang w:val="es-ES_tradnl"/>
            </w:rPr>
            <w:t>María del Rosario Mejía Ayala</w:t>
          </w:r>
        </w:p>
        <w:p w14:paraId="357962E3" w14:textId="479C3449" w:rsidR="00503FE6" w:rsidRPr="001106EA" w:rsidRDefault="00503FE6" w:rsidP="008A56FC">
          <w:pPr>
            <w:pStyle w:val="Encabezado"/>
            <w:ind w:left="-108" w:right="-250"/>
            <w:jc w:val="both"/>
            <w:rPr>
              <w:rFonts w:ascii="Tahoma" w:hAnsi="Tahoma" w:cs="Tahoma"/>
            </w:rPr>
          </w:pPr>
        </w:p>
      </w:tc>
    </w:tr>
  </w:tbl>
  <w:p w14:paraId="2448A1B6"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A83A27"/>
    <w:multiLevelType w:val="multilevel"/>
    <w:tmpl w:val="93C0A67E"/>
    <w:lvl w:ilvl="0">
      <w:start w:val="3"/>
      <w:numFmt w:val="lowerLetter"/>
      <w:lvlText w:val="%1."/>
      <w:lvlJc w:val="left"/>
      <w:pPr>
        <w:tabs>
          <w:tab w:val="num" w:pos="720"/>
        </w:tabs>
        <w:ind w:left="720" w:hanging="360"/>
      </w:pPr>
    </w:lvl>
    <w:lvl w:ilvl="1">
      <w:start w:val="1"/>
      <w:numFmt w:val="bullet"/>
      <w:lvlText w:val="-"/>
      <w:lvlJc w:val="left"/>
      <w:pPr>
        <w:ind w:left="1440" w:hanging="360"/>
      </w:pPr>
      <w:rPr>
        <w:rFonts w:ascii="Palatino Linotype" w:eastAsiaTheme="minorHAnsi" w:hAnsi="Palatino Linotype" w:cstheme="minorBid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10"/>
  </w:num>
  <w:num w:numId="6">
    <w:abstractNumId w:val="4"/>
  </w:num>
  <w:num w:numId="7">
    <w:abstractNumId w:val="7"/>
  </w:num>
  <w:num w:numId="8">
    <w:abstractNumId w:val="15"/>
  </w:num>
  <w:num w:numId="9">
    <w:abstractNumId w:val="11"/>
  </w:num>
  <w:num w:numId="10">
    <w:abstractNumId w:val="12"/>
  </w:num>
  <w:num w:numId="11">
    <w:abstractNumId w:val="13"/>
  </w:num>
  <w:num w:numId="12">
    <w:abstractNumId w:val="1"/>
  </w:num>
  <w:num w:numId="13">
    <w:abstractNumId w:val="6"/>
  </w:num>
  <w:num w:numId="14">
    <w:abstractNumId w:val="16"/>
  </w:num>
  <w:num w:numId="15">
    <w:abstractNumId w:val="1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5D2F"/>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E5F85"/>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02F8"/>
    <w:rsid w:val="0015718C"/>
    <w:rsid w:val="001600B6"/>
    <w:rsid w:val="00160EAD"/>
    <w:rsid w:val="00162325"/>
    <w:rsid w:val="00164625"/>
    <w:rsid w:val="00164BFE"/>
    <w:rsid w:val="001669C4"/>
    <w:rsid w:val="00183B66"/>
    <w:rsid w:val="0018472D"/>
    <w:rsid w:val="00192A6D"/>
    <w:rsid w:val="00193AA8"/>
    <w:rsid w:val="00194F95"/>
    <w:rsid w:val="00197A72"/>
    <w:rsid w:val="001A05C7"/>
    <w:rsid w:val="001A145C"/>
    <w:rsid w:val="001A6BD9"/>
    <w:rsid w:val="001C1C64"/>
    <w:rsid w:val="001C2D5C"/>
    <w:rsid w:val="001C46EB"/>
    <w:rsid w:val="001D0B7E"/>
    <w:rsid w:val="001E2FC8"/>
    <w:rsid w:val="001F667B"/>
    <w:rsid w:val="001F6A82"/>
    <w:rsid w:val="00216BC4"/>
    <w:rsid w:val="00223F64"/>
    <w:rsid w:val="00231B68"/>
    <w:rsid w:val="00232F02"/>
    <w:rsid w:val="00242C75"/>
    <w:rsid w:val="00243617"/>
    <w:rsid w:val="00243A13"/>
    <w:rsid w:val="00245ACA"/>
    <w:rsid w:val="00246FAF"/>
    <w:rsid w:val="0028037C"/>
    <w:rsid w:val="00280A9C"/>
    <w:rsid w:val="002816CB"/>
    <w:rsid w:val="00286F1F"/>
    <w:rsid w:val="00295BA5"/>
    <w:rsid w:val="002A138B"/>
    <w:rsid w:val="002A16CE"/>
    <w:rsid w:val="002A1727"/>
    <w:rsid w:val="002A2EE7"/>
    <w:rsid w:val="002B3447"/>
    <w:rsid w:val="002B57D8"/>
    <w:rsid w:val="002C2405"/>
    <w:rsid w:val="002D62ED"/>
    <w:rsid w:val="002E5A1A"/>
    <w:rsid w:val="002F4E95"/>
    <w:rsid w:val="00310FC2"/>
    <w:rsid w:val="00320769"/>
    <w:rsid w:val="00322675"/>
    <w:rsid w:val="00325D64"/>
    <w:rsid w:val="00326D16"/>
    <w:rsid w:val="00333B7A"/>
    <w:rsid w:val="003512C9"/>
    <w:rsid w:val="0036006F"/>
    <w:rsid w:val="00367139"/>
    <w:rsid w:val="00370D31"/>
    <w:rsid w:val="00375A93"/>
    <w:rsid w:val="003938CD"/>
    <w:rsid w:val="0039411A"/>
    <w:rsid w:val="003A6218"/>
    <w:rsid w:val="003B1F42"/>
    <w:rsid w:val="003B6547"/>
    <w:rsid w:val="003B7A5E"/>
    <w:rsid w:val="003C0474"/>
    <w:rsid w:val="003C15F3"/>
    <w:rsid w:val="003D23E5"/>
    <w:rsid w:val="003F2426"/>
    <w:rsid w:val="003F48C2"/>
    <w:rsid w:val="0040139C"/>
    <w:rsid w:val="00412CB2"/>
    <w:rsid w:val="004211BB"/>
    <w:rsid w:val="00421252"/>
    <w:rsid w:val="0042726C"/>
    <w:rsid w:val="00433746"/>
    <w:rsid w:val="00434C88"/>
    <w:rsid w:val="00435E69"/>
    <w:rsid w:val="00436361"/>
    <w:rsid w:val="0043730D"/>
    <w:rsid w:val="00444DD6"/>
    <w:rsid w:val="00445BDF"/>
    <w:rsid w:val="00447F6F"/>
    <w:rsid w:val="0045183E"/>
    <w:rsid w:val="0047538D"/>
    <w:rsid w:val="004771A4"/>
    <w:rsid w:val="0048424A"/>
    <w:rsid w:val="00490F50"/>
    <w:rsid w:val="004970E4"/>
    <w:rsid w:val="004A4555"/>
    <w:rsid w:val="004A555E"/>
    <w:rsid w:val="004A5C04"/>
    <w:rsid w:val="004B08C4"/>
    <w:rsid w:val="004B1A9F"/>
    <w:rsid w:val="004B532B"/>
    <w:rsid w:val="004B541F"/>
    <w:rsid w:val="004B5D76"/>
    <w:rsid w:val="004C4912"/>
    <w:rsid w:val="004C5A6B"/>
    <w:rsid w:val="004C6E57"/>
    <w:rsid w:val="004D0F32"/>
    <w:rsid w:val="004E7007"/>
    <w:rsid w:val="00500949"/>
    <w:rsid w:val="00503FE6"/>
    <w:rsid w:val="005228CE"/>
    <w:rsid w:val="00524DA5"/>
    <w:rsid w:val="00526DBD"/>
    <w:rsid w:val="005273C7"/>
    <w:rsid w:val="00543DF4"/>
    <w:rsid w:val="00544812"/>
    <w:rsid w:val="00553ADE"/>
    <w:rsid w:val="005560E7"/>
    <w:rsid w:val="00560A41"/>
    <w:rsid w:val="0056120D"/>
    <w:rsid w:val="00562D91"/>
    <w:rsid w:val="0056308F"/>
    <w:rsid w:val="0056593F"/>
    <w:rsid w:val="005728C8"/>
    <w:rsid w:val="00572FBB"/>
    <w:rsid w:val="00575075"/>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151C"/>
    <w:rsid w:val="00605683"/>
    <w:rsid w:val="006248F2"/>
    <w:rsid w:val="00624DE5"/>
    <w:rsid w:val="00625A4E"/>
    <w:rsid w:val="00644771"/>
    <w:rsid w:val="00645087"/>
    <w:rsid w:val="00645497"/>
    <w:rsid w:val="006502AE"/>
    <w:rsid w:val="00654ACD"/>
    <w:rsid w:val="006567CA"/>
    <w:rsid w:val="00657396"/>
    <w:rsid w:val="00664D9C"/>
    <w:rsid w:val="00671FC9"/>
    <w:rsid w:val="00681338"/>
    <w:rsid w:val="00682003"/>
    <w:rsid w:val="00684869"/>
    <w:rsid w:val="00684B16"/>
    <w:rsid w:val="006C25FB"/>
    <w:rsid w:val="006C76CB"/>
    <w:rsid w:val="006E1E37"/>
    <w:rsid w:val="006E7483"/>
    <w:rsid w:val="006F5316"/>
    <w:rsid w:val="006F754E"/>
    <w:rsid w:val="00724F08"/>
    <w:rsid w:val="00730CD7"/>
    <w:rsid w:val="007378E2"/>
    <w:rsid w:val="00742A15"/>
    <w:rsid w:val="00744068"/>
    <w:rsid w:val="007466A5"/>
    <w:rsid w:val="007468D5"/>
    <w:rsid w:val="00747EFA"/>
    <w:rsid w:val="00767DA9"/>
    <w:rsid w:val="0077694E"/>
    <w:rsid w:val="0078072F"/>
    <w:rsid w:val="00781653"/>
    <w:rsid w:val="00793961"/>
    <w:rsid w:val="00796A29"/>
    <w:rsid w:val="007A2D13"/>
    <w:rsid w:val="007A440E"/>
    <w:rsid w:val="007D3257"/>
    <w:rsid w:val="007D4EEC"/>
    <w:rsid w:val="007D5347"/>
    <w:rsid w:val="007D68AF"/>
    <w:rsid w:val="007F1C1D"/>
    <w:rsid w:val="007F7D80"/>
    <w:rsid w:val="008016EC"/>
    <w:rsid w:val="00807185"/>
    <w:rsid w:val="00810663"/>
    <w:rsid w:val="0083001A"/>
    <w:rsid w:val="0083166F"/>
    <w:rsid w:val="00836BC2"/>
    <w:rsid w:val="00845D0A"/>
    <w:rsid w:val="00852676"/>
    <w:rsid w:val="00856E29"/>
    <w:rsid w:val="00861757"/>
    <w:rsid w:val="008661A1"/>
    <w:rsid w:val="00891412"/>
    <w:rsid w:val="008A0447"/>
    <w:rsid w:val="008A1DE1"/>
    <w:rsid w:val="008A3DA9"/>
    <w:rsid w:val="008A56FC"/>
    <w:rsid w:val="008B08C9"/>
    <w:rsid w:val="008C5241"/>
    <w:rsid w:val="008D7232"/>
    <w:rsid w:val="008E3C3E"/>
    <w:rsid w:val="008E54E2"/>
    <w:rsid w:val="008F3B5A"/>
    <w:rsid w:val="00902FD4"/>
    <w:rsid w:val="009035D6"/>
    <w:rsid w:val="009039FE"/>
    <w:rsid w:val="0091435C"/>
    <w:rsid w:val="00922B2E"/>
    <w:rsid w:val="00927BD1"/>
    <w:rsid w:val="0093480E"/>
    <w:rsid w:val="00940F42"/>
    <w:rsid w:val="00950355"/>
    <w:rsid w:val="00952B06"/>
    <w:rsid w:val="00954BF1"/>
    <w:rsid w:val="00962B86"/>
    <w:rsid w:val="00971F97"/>
    <w:rsid w:val="00974836"/>
    <w:rsid w:val="009943E1"/>
    <w:rsid w:val="00994C68"/>
    <w:rsid w:val="00997CC5"/>
    <w:rsid w:val="009B22ED"/>
    <w:rsid w:val="009B2C0B"/>
    <w:rsid w:val="009C0313"/>
    <w:rsid w:val="009C62F6"/>
    <w:rsid w:val="009D07E2"/>
    <w:rsid w:val="009D49BE"/>
    <w:rsid w:val="009E0861"/>
    <w:rsid w:val="009E30F4"/>
    <w:rsid w:val="009E41F7"/>
    <w:rsid w:val="009E704F"/>
    <w:rsid w:val="009F6E4A"/>
    <w:rsid w:val="00A137EA"/>
    <w:rsid w:val="00A277B1"/>
    <w:rsid w:val="00A364BA"/>
    <w:rsid w:val="00A368F1"/>
    <w:rsid w:val="00A42B23"/>
    <w:rsid w:val="00A4669C"/>
    <w:rsid w:val="00A47F14"/>
    <w:rsid w:val="00A5061A"/>
    <w:rsid w:val="00A5658F"/>
    <w:rsid w:val="00A67498"/>
    <w:rsid w:val="00A742D1"/>
    <w:rsid w:val="00A74475"/>
    <w:rsid w:val="00A77118"/>
    <w:rsid w:val="00A821FE"/>
    <w:rsid w:val="00A87924"/>
    <w:rsid w:val="00A96933"/>
    <w:rsid w:val="00AA090B"/>
    <w:rsid w:val="00AA3A4D"/>
    <w:rsid w:val="00AB3E26"/>
    <w:rsid w:val="00AC333A"/>
    <w:rsid w:val="00AD25D5"/>
    <w:rsid w:val="00AD3C54"/>
    <w:rsid w:val="00AE0B64"/>
    <w:rsid w:val="00AE6F1A"/>
    <w:rsid w:val="00AF3B6B"/>
    <w:rsid w:val="00B068A1"/>
    <w:rsid w:val="00B2616C"/>
    <w:rsid w:val="00B263C5"/>
    <w:rsid w:val="00B60D73"/>
    <w:rsid w:val="00B6538B"/>
    <w:rsid w:val="00B67355"/>
    <w:rsid w:val="00B7041D"/>
    <w:rsid w:val="00B71344"/>
    <w:rsid w:val="00B7393F"/>
    <w:rsid w:val="00B758C7"/>
    <w:rsid w:val="00B761B1"/>
    <w:rsid w:val="00B8268E"/>
    <w:rsid w:val="00B9745A"/>
    <w:rsid w:val="00B977B9"/>
    <w:rsid w:val="00BA212F"/>
    <w:rsid w:val="00BB3D5D"/>
    <w:rsid w:val="00BB6EE3"/>
    <w:rsid w:val="00BC4882"/>
    <w:rsid w:val="00BC55D2"/>
    <w:rsid w:val="00BD06FC"/>
    <w:rsid w:val="00BD4705"/>
    <w:rsid w:val="00BD5DBE"/>
    <w:rsid w:val="00BE1EA2"/>
    <w:rsid w:val="00BE420A"/>
    <w:rsid w:val="00BF1384"/>
    <w:rsid w:val="00C0131C"/>
    <w:rsid w:val="00C0425F"/>
    <w:rsid w:val="00C056BD"/>
    <w:rsid w:val="00C30FD6"/>
    <w:rsid w:val="00C31FEE"/>
    <w:rsid w:val="00C55FFC"/>
    <w:rsid w:val="00C62611"/>
    <w:rsid w:val="00C67608"/>
    <w:rsid w:val="00C75CE0"/>
    <w:rsid w:val="00C800C1"/>
    <w:rsid w:val="00CA7627"/>
    <w:rsid w:val="00CC66DA"/>
    <w:rsid w:val="00CC68E1"/>
    <w:rsid w:val="00CD4339"/>
    <w:rsid w:val="00CE343C"/>
    <w:rsid w:val="00CE4462"/>
    <w:rsid w:val="00CE50F9"/>
    <w:rsid w:val="00CF11EE"/>
    <w:rsid w:val="00D02D93"/>
    <w:rsid w:val="00D05740"/>
    <w:rsid w:val="00D1200E"/>
    <w:rsid w:val="00D13875"/>
    <w:rsid w:val="00D15D07"/>
    <w:rsid w:val="00D160F2"/>
    <w:rsid w:val="00D32C2C"/>
    <w:rsid w:val="00D34B31"/>
    <w:rsid w:val="00D357E1"/>
    <w:rsid w:val="00D368A8"/>
    <w:rsid w:val="00D37CDC"/>
    <w:rsid w:val="00D45842"/>
    <w:rsid w:val="00D45BDF"/>
    <w:rsid w:val="00D50D8F"/>
    <w:rsid w:val="00D51426"/>
    <w:rsid w:val="00D55429"/>
    <w:rsid w:val="00D55EC0"/>
    <w:rsid w:val="00D57FDF"/>
    <w:rsid w:val="00D65D0C"/>
    <w:rsid w:val="00D666D4"/>
    <w:rsid w:val="00D7239D"/>
    <w:rsid w:val="00D75FAE"/>
    <w:rsid w:val="00D77F63"/>
    <w:rsid w:val="00D9114A"/>
    <w:rsid w:val="00D96166"/>
    <w:rsid w:val="00DA11C0"/>
    <w:rsid w:val="00DC4A9C"/>
    <w:rsid w:val="00DF3893"/>
    <w:rsid w:val="00DF47E7"/>
    <w:rsid w:val="00DF6CA0"/>
    <w:rsid w:val="00E11DB1"/>
    <w:rsid w:val="00E145E1"/>
    <w:rsid w:val="00E26123"/>
    <w:rsid w:val="00E26DFC"/>
    <w:rsid w:val="00E34559"/>
    <w:rsid w:val="00E345D1"/>
    <w:rsid w:val="00E41481"/>
    <w:rsid w:val="00E416F8"/>
    <w:rsid w:val="00E45036"/>
    <w:rsid w:val="00E472AD"/>
    <w:rsid w:val="00E51DD8"/>
    <w:rsid w:val="00E54506"/>
    <w:rsid w:val="00E656C1"/>
    <w:rsid w:val="00E72959"/>
    <w:rsid w:val="00E7538D"/>
    <w:rsid w:val="00E80551"/>
    <w:rsid w:val="00E82F77"/>
    <w:rsid w:val="00E834EC"/>
    <w:rsid w:val="00E83683"/>
    <w:rsid w:val="00E8492D"/>
    <w:rsid w:val="00E84D31"/>
    <w:rsid w:val="00E93F81"/>
    <w:rsid w:val="00EA7E26"/>
    <w:rsid w:val="00EB6F97"/>
    <w:rsid w:val="00EB7128"/>
    <w:rsid w:val="00EC6DDF"/>
    <w:rsid w:val="00EE29F6"/>
    <w:rsid w:val="00EF482C"/>
    <w:rsid w:val="00F011F6"/>
    <w:rsid w:val="00F14384"/>
    <w:rsid w:val="00F16606"/>
    <w:rsid w:val="00F3298A"/>
    <w:rsid w:val="00F32B83"/>
    <w:rsid w:val="00F4155E"/>
    <w:rsid w:val="00F43ECC"/>
    <w:rsid w:val="00F60843"/>
    <w:rsid w:val="00F70B1D"/>
    <w:rsid w:val="00F84FDF"/>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F006"/>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46EB"/>
  </w:style>
  <w:style w:type="paragraph" w:customStyle="1" w:styleId="paragraph">
    <w:name w:val="paragraph"/>
    <w:basedOn w:val="Normal"/>
    <w:rsid w:val="004D0F3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4D0F32"/>
  </w:style>
  <w:style w:type="character" w:customStyle="1" w:styleId="eop">
    <w:name w:val="eop"/>
    <w:basedOn w:val="Fuentedeprrafopredeter"/>
    <w:rsid w:val="004D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944994336">
      <w:bodyDiv w:val="1"/>
      <w:marLeft w:val="0"/>
      <w:marRight w:val="0"/>
      <w:marTop w:val="0"/>
      <w:marBottom w:val="0"/>
      <w:divBdr>
        <w:top w:val="none" w:sz="0" w:space="0" w:color="auto"/>
        <w:left w:val="none" w:sz="0" w:space="0" w:color="auto"/>
        <w:bottom w:val="none" w:sz="0" w:space="0" w:color="auto"/>
        <w:right w:val="none" w:sz="0" w:space="0" w:color="auto"/>
      </w:divBdr>
      <w:divsChild>
        <w:div w:id="1297641195">
          <w:marLeft w:val="0"/>
          <w:marRight w:val="0"/>
          <w:marTop w:val="0"/>
          <w:marBottom w:val="0"/>
          <w:divBdr>
            <w:top w:val="none" w:sz="0" w:space="0" w:color="auto"/>
            <w:left w:val="none" w:sz="0" w:space="0" w:color="auto"/>
            <w:bottom w:val="none" w:sz="0" w:space="0" w:color="auto"/>
            <w:right w:val="none" w:sz="0" w:space="0" w:color="auto"/>
          </w:divBdr>
        </w:div>
        <w:div w:id="1392382554">
          <w:marLeft w:val="0"/>
          <w:marRight w:val="0"/>
          <w:marTop w:val="0"/>
          <w:marBottom w:val="0"/>
          <w:divBdr>
            <w:top w:val="none" w:sz="0" w:space="0" w:color="auto"/>
            <w:left w:val="none" w:sz="0" w:space="0" w:color="auto"/>
            <w:bottom w:val="none" w:sz="0" w:space="0" w:color="auto"/>
            <w:right w:val="none" w:sz="0" w:space="0" w:color="auto"/>
          </w:divBdr>
        </w:div>
        <w:div w:id="494807453">
          <w:marLeft w:val="0"/>
          <w:marRight w:val="0"/>
          <w:marTop w:val="0"/>
          <w:marBottom w:val="0"/>
          <w:divBdr>
            <w:top w:val="none" w:sz="0" w:space="0" w:color="auto"/>
            <w:left w:val="none" w:sz="0" w:space="0" w:color="auto"/>
            <w:bottom w:val="none" w:sz="0" w:space="0" w:color="auto"/>
            <w:right w:val="none" w:sz="0" w:space="0" w:color="auto"/>
          </w:divBdr>
        </w:div>
        <w:div w:id="271130300">
          <w:marLeft w:val="0"/>
          <w:marRight w:val="0"/>
          <w:marTop w:val="0"/>
          <w:marBottom w:val="0"/>
          <w:divBdr>
            <w:top w:val="none" w:sz="0" w:space="0" w:color="auto"/>
            <w:left w:val="none" w:sz="0" w:space="0" w:color="auto"/>
            <w:bottom w:val="none" w:sz="0" w:space="0" w:color="auto"/>
            <w:right w:val="none" w:sz="0" w:space="0" w:color="auto"/>
          </w:divBdr>
        </w:div>
        <w:div w:id="654841557">
          <w:marLeft w:val="0"/>
          <w:marRight w:val="0"/>
          <w:marTop w:val="0"/>
          <w:marBottom w:val="0"/>
          <w:divBdr>
            <w:top w:val="none" w:sz="0" w:space="0" w:color="auto"/>
            <w:left w:val="none" w:sz="0" w:space="0" w:color="auto"/>
            <w:bottom w:val="none" w:sz="0" w:space="0" w:color="auto"/>
            <w:right w:val="none" w:sz="0" w:space="0" w:color="auto"/>
          </w:divBdr>
        </w:div>
        <w:div w:id="1789396953">
          <w:marLeft w:val="0"/>
          <w:marRight w:val="0"/>
          <w:marTop w:val="0"/>
          <w:marBottom w:val="0"/>
          <w:divBdr>
            <w:top w:val="none" w:sz="0" w:space="0" w:color="auto"/>
            <w:left w:val="none" w:sz="0" w:space="0" w:color="auto"/>
            <w:bottom w:val="none" w:sz="0" w:space="0" w:color="auto"/>
            <w:right w:val="none" w:sz="0" w:space="0" w:color="auto"/>
          </w:divBdr>
        </w:div>
        <w:div w:id="607541476">
          <w:marLeft w:val="0"/>
          <w:marRight w:val="0"/>
          <w:marTop w:val="0"/>
          <w:marBottom w:val="0"/>
          <w:divBdr>
            <w:top w:val="none" w:sz="0" w:space="0" w:color="auto"/>
            <w:left w:val="none" w:sz="0" w:space="0" w:color="auto"/>
            <w:bottom w:val="none" w:sz="0" w:space="0" w:color="auto"/>
            <w:right w:val="none" w:sz="0" w:space="0" w:color="auto"/>
          </w:divBdr>
        </w:div>
        <w:div w:id="1307123763">
          <w:marLeft w:val="0"/>
          <w:marRight w:val="0"/>
          <w:marTop w:val="0"/>
          <w:marBottom w:val="0"/>
          <w:divBdr>
            <w:top w:val="none" w:sz="0" w:space="0" w:color="auto"/>
            <w:left w:val="none" w:sz="0" w:space="0" w:color="auto"/>
            <w:bottom w:val="none" w:sz="0" w:space="0" w:color="auto"/>
            <w:right w:val="none" w:sz="0" w:space="0" w:color="auto"/>
          </w:divBdr>
        </w:div>
        <w:div w:id="1600719481">
          <w:marLeft w:val="0"/>
          <w:marRight w:val="0"/>
          <w:marTop w:val="0"/>
          <w:marBottom w:val="0"/>
          <w:divBdr>
            <w:top w:val="none" w:sz="0" w:space="0" w:color="auto"/>
            <w:left w:val="none" w:sz="0" w:space="0" w:color="auto"/>
            <w:bottom w:val="none" w:sz="0" w:space="0" w:color="auto"/>
            <w:right w:val="none" w:sz="0" w:space="0" w:color="auto"/>
          </w:divBdr>
        </w:div>
        <w:div w:id="1454641697">
          <w:marLeft w:val="0"/>
          <w:marRight w:val="0"/>
          <w:marTop w:val="0"/>
          <w:marBottom w:val="0"/>
          <w:divBdr>
            <w:top w:val="none" w:sz="0" w:space="0" w:color="auto"/>
            <w:left w:val="none" w:sz="0" w:space="0" w:color="auto"/>
            <w:bottom w:val="none" w:sz="0" w:space="0" w:color="auto"/>
            <w:right w:val="none" w:sz="0" w:space="0" w:color="auto"/>
          </w:divBdr>
        </w:div>
        <w:div w:id="443502415">
          <w:marLeft w:val="0"/>
          <w:marRight w:val="0"/>
          <w:marTop w:val="0"/>
          <w:marBottom w:val="0"/>
          <w:divBdr>
            <w:top w:val="none" w:sz="0" w:space="0" w:color="auto"/>
            <w:left w:val="none" w:sz="0" w:space="0" w:color="auto"/>
            <w:bottom w:val="none" w:sz="0" w:space="0" w:color="auto"/>
            <w:right w:val="none" w:sz="0" w:space="0" w:color="auto"/>
          </w:divBdr>
        </w:div>
        <w:div w:id="559438686">
          <w:marLeft w:val="0"/>
          <w:marRight w:val="0"/>
          <w:marTop w:val="0"/>
          <w:marBottom w:val="0"/>
          <w:divBdr>
            <w:top w:val="none" w:sz="0" w:space="0" w:color="auto"/>
            <w:left w:val="none" w:sz="0" w:space="0" w:color="auto"/>
            <w:bottom w:val="none" w:sz="0" w:space="0" w:color="auto"/>
            <w:right w:val="none" w:sz="0" w:space="0" w:color="auto"/>
          </w:divBdr>
        </w:div>
        <w:div w:id="1196309090">
          <w:marLeft w:val="0"/>
          <w:marRight w:val="0"/>
          <w:marTop w:val="0"/>
          <w:marBottom w:val="0"/>
          <w:divBdr>
            <w:top w:val="none" w:sz="0" w:space="0" w:color="auto"/>
            <w:left w:val="none" w:sz="0" w:space="0" w:color="auto"/>
            <w:bottom w:val="none" w:sz="0" w:space="0" w:color="auto"/>
            <w:right w:val="none" w:sz="0" w:space="0" w:color="auto"/>
          </w:divBdr>
        </w:div>
        <w:div w:id="1253851447">
          <w:marLeft w:val="0"/>
          <w:marRight w:val="0"/>
          <w:marTop w:val="0"/>
          <w:marBottom w:val="0"/>
          <w:divBdr>
            <w:top w:val="none" w:sz="0" w:space="0" w:color="auto"/>
            <w:left w:val="none" w:sz="0" w:space="0" w:color="auto"/>
            <w:bottom w:val="none" w:sz="0" w:space="0" w:color="auto"/>
            <w:right w:val="none" w:sz="0" w:space="0" w:color="auto"/>
          </w:divBdr>
        </w:div>
        <w:div w:id="1693534226">
          <w:marLeft w:val="0"/>
          <w:marRight w:val="0"/>
          <w:marTop w:val="0"/>
          <w:marBottom w:val="0"/>
          <w:divBdr>
            <w:top w:val="none" w:sz="0" w:space="0" w:color="auto"/>
            <w:left w:val="none" w:sz="0" w:space="0" w:color="auto"/>
            <w:bottom w:val="none" w:sz="0" w:space="0" w:color="auto"/>
            <w:right w:val="none" w:sz="0" w:space="0" w:color="auto"/>
          </w:divBdr>
        </w:div>
        <w:div w:id="1838839003">
          <w:marLeft w:val="0"/>
          <w:marRight w:val="0"/>
          <w:marTop w:val="0"/>
          <w:marBottom w:val="0"/>
          <w:divBdr>
            <w:top w:val="none" w:sz="0" w:space="0" w:color="auto"/>
            <w:left w:val="none" w:sz="0" w:space="0" w:color="auto"/>
            <w:bottom w:val="none" w:sz="0" w:space="0" w:color="auto"/>
            <w:right w:val="none" w:sz="0" w:space="0" w:color="auto"/>
          </w:divBdr>
        </w:div>
        <w:div w:id="684091819">
          <w:marLeft w:val="0"/>
          <w:marRight w:val="0"/>
          <w:marTop w:val="0"/>
          <w:marBottom w:val="0"/>
          <w:divBdr>
            <w:top w:val="none" w:sz="0" w:space="0" w:color="auto"/>
            <w:left w:val="none" w:sz="0" w:space="0" w:color="auto"/>
            <w:bottom w:val="none" w:sz="0" w:space="0" w:color="auto"/>
            <w:right w:val="none" w:sz="0" w:space="0" w:color="auto"/>
          </w:divBdr>
        </w:div>
        <w:div w:id="1874343708">
          <w:marLeft w:val="0"/>
          <w:marRight w:val="0"/>
          <w:marTop w:val="0"/>
          <w:marBottom w:val="0"/>
          <w:divBdr>
            <w:top w:val="none" w:sz="0" w:space="0" w:color="auto"/>
            <w:left w:val="none" w:sz="0" w:space="0" w:color="auto"/>
            <w:bottom w:val="none" w:sz="0" w:space="0" w:color="auto"/>
            <w:right w:val="none" w:sz="0" w:space="0" w:color="auto"/>
          </w:divBdr>
        </w:div>
        <w:div w:id="1107000755">
          <w:marLeft w:val="0"/>
          <w:marRight w:val="0"/>
          <w:marTop w:val="0"/>
          <w:marBottom w:val="0"/>
          <w:divBdr>
            <w:top w:val="none" w:sz="0" w:space="0" w:color="auto"/>
            <w:left w:val="none" w:sz="0" w:space="0" w:color="auto"/>
            <w:bottom w:val="none" w:sz="0" w:space="0" w:color="auto"/>
            <w:right w:val="none" w:sz="0" w:space="0" w:color="auto"/>
          </w:divBdr>
        </w:div>
        <w:div w:id="1900283830">
          <w:marLeft w:val="0"/>
          <w:marRight w:val="0"/>
          <w:marTop w:val="0"/>
          <w:marBottom w:val="0"/>
          <w:divBdr>
            <w:top w:val="none" w:sz="0" w:space="0" w:color="auto"/>
            <w:left w:val="none" w:sz="0" w:space="0" w:color="auto"/>
            <w:bottom w:val="none" w:sz="0" w:space="0" w:color="auto"/>
            <w:right w:val="none" w:sz="0" w:space="0" w:color="auto"/>
          </w:divBdr>
        </w:div>
        <w:div w:id="1768309884">
          <w:marLeft w:val="0"/>
          <w:marRight w:val="0"/>
          <w:marTop w:val="0"/>
          <w:marBottom w:val="0"/>
          <w:divBdr>
            <w:top w:val="none" w:sz="0" w:space="0" w:color="auto"/>
            <w:left w:val="none" w:sz="0" w:space="0" w:color="auto"/>
            <w:bottom w:val="none" w:sz="0" w:space="0" w:color="auto"/>
            <w:right w:val="none" w:sz="0" w:space="0" w:color="auto"/>
          </w:divBdr>
        </w:div>
        <w:div w:id="1790009395">
          <w:marLeft w:val="0"/>
          <w:marRight w:val="0"/>
          <w:marTop w:val="0"/>
          <w:marBottom w:val="0"/>
          <w:divBdr>
            <w:top w:val="none" w:sz="0" w:space="0" w:color="auto"/>
            <w:left w:val="none" w:sz="0" w:space="0" w:color="auto"/>
            <w:bottom w:val="none" w:sz="0" w:space="0" w:color="auto"/>
            <w:right w:val="none" w:sz="0" w:space="0" w:color="auto"/>
          </w:divBdr>
        </w:div>
      </w:divsChild>
    </w:div>
    <w:div w:id="195108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D1501-D3FE-438A-8A48-A7A7260F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2166</Words>
  <Characters>11919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3</cp:revision>
  <cp:lastPrinted>2021-07-05T15:15:00Z</cp:lastPrinted>
  <dcterms:created xsi:type="dcterms:W3CDTF">2021-10-02T00:29:00Z</dcterms:created>
  <dcterms:modified xsi:type="dcterms:W3CDTF">2021-10-04T20:46:00Z</dcterms:modified>
</cp:coreProperties>
</file>