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AA4E" w14:textId="1B390B60" w:rsidR="00F84B95" w:rsidRDefault="00F84B95" w:rsidP="00F84B95">
      <w:pPr>
        <w:pStyle w:val="Encabezado"/>
        <w:spacing w:line="360" w:lineRule="auto"/>
        <w:ind w:right="-250"/>
        <w:jc w:val="both"/>
        <w:rPr>
          <w:rFonts w:ascii="Palatino Linotype" w:hAnsi="Palatino Linotype" w:cs="Arial"/>
          <w:b/>
          <w:lang w:val="es-MX"/>
        </w:rPr>
      </w:pPr>
      <w:r w:rsidRPr="006A7606">
        <w:rPr>
          <w:rFonts w:ascii="Palatino Linotype" w:hAnsi="Palatino Linotype" w:cs="Tahoma"/>
          <w:b/>
        </w:rPr>
        <w:t xml:space="preserve">VOTO PARTICULAR QUE FORMULA EL COMISIONADO LUIS GUSTAVO PARRA NORIEGA, A LA RESOLUCIÓN DEL RECURSO DE REVISIÓN </w:t>
      </w:r>
      <w:r w:rsidRPr="00EB135A">
        <w:rPr>
          <w:rFonts w:ascii="Palatino Linotype" w:hAnsi="Palatino Linotype" w:cs="Arial"/>
          <w:b/>
          <w:bCs/>
          <w:lang w:val="es-MX" w:eastAsia="es-MX"/>
        </w:rPr>
        <w:t>0</w:t>
      </w:r>
      <w:r w:rsidR="00B73D42">
        <w:rPr>
          <w:rFonts w:ascii="Palatino Linotype" w:hAnsi="Palatino Linotype" w:cs="Arial"/>
          <w:b/>
          <w:bCs/>
          <w:lang w:val="es-MX" w:eastAsia="es-MX"/>
        </w:rPr>
        <w:t>3259</w:t>
      </w:r>
      <w:r w:rsidRPr="00EB135A">
        <w:rPr>
          <w:rFonts w:ascii="Palatino Linotype" w:hAnsi="Palatino Linotype" w:cs="Arial"/>
          <w:b/>
          <w:bCs/>
          <w:lang w:val="es-MX" w:eastAsia="es-MX"/>
        </w:rPr>
        <w:t>/INFOEM/IP/RR/2021</w:t>
      </w:r>
      <w:r w:rsidRPr="006A7606">
        <w:rPr>
          <w:rFonts w:ascii="Palatino Linotype" w:hAnsi="Palatino Linotype" w:cs="Tahoma"/>
          <w:b/>
        </w:rPr>
        <w:t>, PROMOVIDO EN CONTRA DE</w:t>
      </w:r>
      <w:r w:rsidR="00B73D42">
        <w:rPr>
          <w:rFonts w:ascii="Palatino Linotype" w:hAnsi="Palatino Linotype" w:cs="Tahoma"/>
          <w:b/>
        </w:rPr>
        <w:t>L</w:t>
      </w:r>
      <w:r w:rsidR="00601591">
        <w:rPr>
          <w:rFonts w:ascii="Palatino Linotype" w:hAnsi="Palatino Linotype" w:cs="Tahoma"/>
          <w:b/>
        </w:rPr>
        <w:t xml:space="preserve"> </w:t>
      </w:r>
      <w:r w:rsidR="00B73D42">
        <w:rPr>
          <w:rFonts w:ascii="Palatino Linotype" w:hAnsi="Palatino Linotype" w:cs="Arial"/>
          <w:b/>
        </w:rPr>
        <w:t>AYUNTAMIENTO DE NEXTLALPAN</w:t>
      </w:r>
      <w:r w:rsidR="00B73D42">
        <w:rPr>
          <w:rFonts w:ascii="Palatino Linotype" w:hAnsi="Palatino Linotype" w:cs="Arial"/>
          <w:b/>
          <w:lang w:val="es-MX"/>
        </w:rPr>
        <w:t>.</w:t>
      </w:r>
    </w:p>
    <w:p w14:paraId="1E7D3ADE" w14:textId="77777777" w:rsidR="00F84B95" w:rsidRPr="006A7606" w:rsidRDefault="00F84B95" w:rsidP="00F84B95">
      <w:pPr>
        <w:pStyle w:val="Encabezado"/>
        <w:spacing w:line="360" w:lineRule="auto"/>
        <w:ind w:right="-250"/>
        <w:jc w:val="both"/>
        <w:rPr>
          <w:rFonts w:ascii="Palatino Linotype" w:hAnsi="Palatino Linotype" w:cs="Tahoma"/>
        </w:rPr>
      </w:pPr>
    </w:p>
    <w:p w14:paraId="454829E5" w14:textId="2D4E7626" w:rsidR="00F84B95" w:rsidRDefault="00F84B95" w:rsidP="00F84B95">
      <w:pPr>
        <w:spacing w:after="0" w:line="360" w:lineRule="auto"/>
        <w:jc w:val="both"/>
        <w:rPr>
          <w:rFonts w:ascii="Palatino Linotype" w:hAnsi="Palatino Linotype" w:cs="Tahoma"/>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D1694F">
        <w:rPr>
          <w:rFonts w:ascii="Palatino Linotype" w:hAnsi="Palatino Linotype" w:cs="Tahoma"/>
          <w:b/>
        </w:rPr>
        <w:t>Voto Particular</w:t>
      </w:r>
      <w:r w:rsidRPr="00D1694F">
        <w:rPr>
          <w:rFonts w:ascii="Palatino Linotype" w:hAnsi="Palatino Linotype" w:cs="Tahoma"/>
        </w:rPr>
        <w:t xml:space="preserve"> por no compartir en su totalidad las consideraciones que sustentan la Resolución del Recurso de Revisión </w:t>
      </w:r>
      <w:r>
        <w:rPr>
          <w:rFonts w:ascii="Palatino Linotype" w:hAnsi="Palatino Linotype" w:cs="Tahoma"/>
          <w:b/>
          <w:bCs/>
        </w:rPr>
        <w:t>0</w:t>
      </w:r>
      <w:r w:rsidR="00B73D42">
        <w:rPr>
          <w:rFonts w:ascii="Palatino Linotype" w:hAnsi="Palatino Linotype" w:cs="Tahoma"/>
          <w:b/>
          <w:bCs/>
        </w:rPr>
        <w:t>3259</w:t>
      </w:r>
      <w:r w:rsidRPr="00DF229F">
        <w:rPr>
          <w:rFonts w:ascii="Palatino Linotype" w:hAnsi="Palatino Linotype" w:cs="Tahoma"/>
          <w:b/>
        </w:rPr>
        <w:t>/INFOEM/IP/RR/202</w:t>
      </w:r>
      <w:r>
        <w:rPr>
          <w:rFonts w:ascii="Palatino Linotype" w:hAnsi="Palatino Linotype" w:cs="Tahoma"/>
          <w:b/>
        </w:rPr>
        <w:t>1.</w:t>
      </w:r>
    </w:p>
    <w:p w14:paraId="7C7C0876" w14:textId="77777777" w:rsidR="00F84B95" w:rsidRPr="006A7606" w:rsidRDefault="00F84B95" w:rsidP="00F84B95">
      <w:pPr>
        <w:spacing w:after="0" w:line="360" w:lineRule="auto"/>
        <w:jc w:val="both"/>
        <w:rPr>
          <w:rFonts w:ascii="Palatino Linotype" w:hAnsi="Palatino Linotype" w:cs="Tahoma"/>
        </w:rPr>
      </w:pPr>
    </w:p>
    <w:p w14:paraId="0C75341D" w14:textId="20BF362D" w:rsidR="00060557" w:rsidRDefault="00F84B95" w:rsidP="00716333">
      <w:pPr>
        <w:spacing w:after="0" w:line="360" w:lineRule="auto"/>
        <w:jc w:val="both"/>
        <w:rPr>
          <w:rFonts w:ascii="Palatino Linotype" w:hAnsi="Palatino Linotype" w:cs="Tahoma"/>
        </w:rPr>
      </w:pPr>
      <w:r w:rsidRPr="006A7606">
        <w:rPr>
          <w:rFonts w:ascii="Palatino Linotype" w:hAnsi="Palatino Linotype" w:cs="Tahoma"/>
        </w:rPr>
        <w:t>Como se desprende de la Resolución que nos ocupa</w:t>
      </w:r>
      <w:r>
        <w:rPr>
          <w:rFonts w:ascii="Palatino Linotype" w:hAnsi="Palatino Linotype" w:cs="Tahoma"/>
        </w:rPr>
        <w:t>, el S</w:t>
      </w:r>
      <w:r w:rsidRPr="006A7606">
        <w:rPr>
          <w:rFonts w:ascii="Palatino Linotype" w:hAnsi="Palatino Linotype" w:cs="Tahoma"/>
        </w:rPr>
        <w:t>olicitante requirió</w:t>
      </w:r>
      <w:r>
        <w:rPr>
          <w:rFonts w:ascii="Palatino Linotype" w:hAnsi="Palatino Linotype" w:cs="Tahoma"/>
        </w:rPr>
        <w:t xml:space="preserve">, </w:t>
      </w:r>
      <w:r w:rsidR="00B73D42" w:rsidRPr="00B73D42">
        <w:rPr>
          <w:rFonts w:ascii="Palatino Linotype" w:hAnsi="Palatino Linotype" w:cs="Tahoma"/>
        </w:rPr>
        <w:t xml:space="preserve">los recibos de nómina de todos y cada uno de los empleados dados de alta en </w:t>
      </w:r>
      <w:r w:rsidR="00B73D42">
        <w:rPr>
          <w:rFonts w:ascii="Palatino Linotype" w:hAnsi="Palatino Linotype" w:cs="Tahoma"/>
        </w:rPr>
        <w:t>la administración 2019-2021</w:t>
      </w:r>
      <w:r w:rsidR="00B73D42" w:rsidRPr="00B73D42">
        <w:rPr>
          <w:rFonts w:ascii="Palatino Linotype" w:hAnsi="Palatino Linotype" w:cs="Tahoma"/>
        </w:rPr>
        <w:t xml:space="preserve"> correspondientes a la</w:t>
      </w:r>
      <w:r w:rsidR="00B73D42">
        <w:rPr>
          <w:rFonts w:ascii="Palatino Linotype" w:hAnsi="Palatino Linotype" w:cs="Tahoma"/>
        </w:rPr>
        <w:t xml:space="preserve"> segunda quincena del mes de abril del año dos mil veintiuno, así como,</w:t>
      </w:r>
      <w:r w:rsidR="00B73D42" w:rsidRPr="00B73D42">
        <w:rPr>
          <w:rFonts w:ascii="Palatino Linotype" w:hAnsi="Palatino Linotype" w:cs="Tahoma"/>
        </w:rPr>
        <w:t xml:space="preserve"> el nombre completo y cargo de todos y cada uno de los empleados dados de baja, que hayan renunciado y/o hayan solicitado algún tipo de licencia o permiso para ausentarse de su cargo en el periodo comprendido del </w:t>
      </w:r>
      <w:r w:rsidR="00B73D42">
        <w:rPr>
          <w:rFonts w:ascii="Palatino Linotype" w:hAnsi="Palatino Linotype" w:cs="Tahoma"/>
        </w:rPr>
        <w:t>primero de abril al tres de mayo de dos mil veintiuno</w:t>
      </w:r>
      <w:r w:rsidR="00716333">
        <w:rPr>
          <w:rFonts w:ascii="Palatino Linotype" w:hAnsi="Palatino Linotype" w:cs="Tahoma"/>
        </w:rPr>
        <w:t xml:space="preserve">; </w:t>
      </w:r>
      <w:r>
        <w:rPr>
          <w:rFonts w:ascii="Palatino Linotype" w:hAnsi="Palatino Linotype" w:cs="Tahoma"/>
        </w:rPr>
        <w:t xml:space="preserve">El Sujeto Obligado en respuesta </w:t>
      </w:r>
      <w:r w:rsidRPr="00756729">
        <w:rPr>
          <w:rFonts w:ascii="Palatino Linotype" w:hAnsi="Palatino Linotype" w:cs="Tahoma"/>
        </w:rPr>
        <w:t>señal</w:t>
      </w:r>
      <w:r>
        <w:rPr>
          <w:rFonts w:ascii="Palatino Linotype" w:hAnsi="Palatino Linotype" w:cs="Tahoma"/>
        </w:rPr>
        <w:t>ó</w:t>
      </w:r>
      <w:r w:rsidRPr="00756729">
        <w:rPr>
          <w:rFonts w:ascii="Palatino Linotype" w:hAnsi="Palatino Linotype" w:cs="Tahoma"/>
        </w:rPr>
        <w:t xml:space="preserve"> </w:t>
      </w:r>
      <w:r w:rsidR="00716333" w:rsidRPr="00716333">
        <w:rPr>
          <w:rFonts w:ascii="Palatino Linotype" w:hAnsi="Palatino Linotype" w:cs="Tahoma"/>
        </w:rPr>
        <w:t xml:space="preserve">que </w:t>
      </w:r>
      <w:r w:rsidR="005B19B4">
        <w:rPr>
          <w:rFonts w:ascii="Palatino Linotype" w:hAnsi="Palatino Linotype" w:cs="Arial"/>
        </w:rPr>
        <w:t>no era posible otorgar lo solicitado, por tratarse de información clasificada como reservada o confidencial, al hacer referencia a información privada y a datos personales concernientes a una persona física identificada o identificable</w:t>
      </w:r>
      <w:r w:rsidR="005B19B4">
        <w:rPr>
          <w:rFonts w:ascii="Palatino Linotype" w:hAnsi="Palatino Linotype" w:cs="Tahoma"/>
        </w:rPr>
        <w:t>;</w:t>
      </w:r>
      <w:r w:rsidR="00486BD3">
        <w:rPr>
          <w:rFonts w:ascii="Palatino Linotype" w:hAnsi="Palatino Linotype" w:cs="Tahoma"/>
        </w:rPr>
        <w:t xml:space="preserve"> </w:t>
      </w:r>
      <w:r w:rsidR="00486BD3" w:rsidRPr="00AE7479">
        <w:rPr>
          <w:rFonts w:ascii="Palatino Linotype" w:hAnsi="Palatino Linotype" w:cs="Arial"/>
          <w:color w:val="000000" w:themeColor="text1"/>
        </w:rPr>
        <w:t xml:space="preserve">es importante destacar que mediante Informe Justificado, </w:t>
      </w:r>
      <w:r w:rsidR="005B19B4">
        <w:rPr>
          <w:rFonts w:ascii="Palatino Linotype" w:hAnsi="Palatino Linotype" w:cs="Arial"/>
          <w:color w:val="000000" w:themeColor="text1"/>
        </w:rPr>
        <w:t xml:space="preserve">el Sujeto Obligado ratificó su respuesta y </w:t>
      </w:r>
      <w:r w:rsidR="005B19B4" w:rsidRPr="00C62657">
        <w:rPr>
          <w:rFonts w:ascii="Palatino Linotype" w:hAnsi="Palatino Linotype" w:cs="Arial"/>
          <w:color w:val="000000" w:themeColor="text1"/>
          <w:u w:val="single"/>
        </w:rPr>
        <w:t>a</w:t>
      </w:r>
      <w:r w:rsidR="00060557" w:rsidRPr="00C62657">
        <w:rPr>
          <w:rFonts w:ascii="Palatino Linotype" w:hAnsi="Palatino Linotype" w:cs="Arial"/>
          <w:color w:val="000000" w:themeColor="text1"/>
          <w:u w:val="single"/>
        </w:rPr>
        <w:t>d</w:t>
      </w:r>
      <w:r w:rsidR="005B19B4" w:rsidRPr="00C62657">
        <w:rPr>
          <w:rFonts w:ascii="Palatino Linotype" w:hAnsi="Palatino Linotype" w:cs="Arial"/>
          <w:color w:val="000000" w:themeColor="text1"/>
          <w:u w:val="single"/>
        </w:rPr>
        <w:t xml:space="preserve">juntó el Acta de Cabildo de la Décima Cuarta Sesión </w:t>
      </w:r>
      <w:r w:rsidR="005B19B4" w:rsidRPr="00C62657">
        <w:rPr>
          <w:rFonts w:ascii="Palatino Linotype" w:hAnsi="Palatino Linotype" w:cs="Arial"/>
          <w:color w:val="000000" w:themeColor="text1"/>
          <w:u w:val="single"/>
        </w:rPr>
        <w:lastRenderedPageBreak/>
        <w:t>Extraordinaria, en el que se encuentra el nombre completo y cargo de todos y cada uno de los empleados dados de baja, que hayan renunciado y/o hayan solicitado licencia, por el periodo del veintisiete de junio de dos mil veinte al quince de abril de dos mil veintiuno</w:t>
      </w:r>
      <w:r w:rsidR="00486BD3">
        <w:rPr>
          <w:rFonts w:ascii="Palatino Linotype" w:hAnsi="Palatino Linotype" w:cs="Tahoma"/>
        </w:rPr>
        <w:t>.</w:t>
      </w:r>
      <w:r w:rsidR="00716333">
        <w:rPr>
          <w:rFonts w:ascii="Palatino Linotype" w:hAnsi="Palatino Linotype" w:cs="Tahoma"/>
        </w:rPr>
        <w:t xml:space="preserve"> </w:t>
      </w:r>
    </w:p>
    <w:p w14:paraId="15E8D850" w14:textId="77777777" w:rsidR="00060557" w:rsidRDefault="00060557" w:rsidP="00716333">
      <w:pPr>
        <w:spacing w:after="0" w:line="360" w:lineRule="auto"/>
        <w:jc w:val="both"/>
        <w:rPr>
          <w:rFonts w:ascii="Palatino Linotype" w:hAnsi="Palatino Linotype" w:cs="Tahoma"/>
        </w:rPr>
      </w:pPr>
    </w:p>
    <w:p w14:paraId="7E6AD84A" w14:textId="1D276DC6" w:rsidR="00716333" w:rsidRPr="00C62657" w:rsidRDefault="00060557" w:rsidP="00716333">
      <w:pPr>
        <w:spacing w:after="0" w:line="360" w:lineRule="auto"/>
        <w:jc w:val="both"/>
        <w:rPr>
          <w:rFonts w:ascii="Palatino Linotype" w:hAnsi="Palatino Linotype" w:cs="Tahoma"/>
        </w:rPr>
      </w:pPr>
      <w:r>
        <w:rPr>
          <w:rFonts w:ascii="Palatino Linotype" w:hAnsi="Palatino Linotype" w:cs="Arial"/>
        </w:rPr>
        <w:t xml:space="preserve">Al respecto, si bien estoy de acuerdo, con </w:t>
      </w:r>
      <w:r>
        <w:rPr>
          <w:rFonts w:ascii="Palatino Linotype" w:hAnsi="Palatino Linotype"/>
        </w:rPr>
        <w:t>el sentido de la Resolución</w:t>
      </w:r>
      <w:r>
        <w:rPr>
          <w:rFonts w:ascii="Palatino Linotype" w:hAnsi="Palatino Linotype" w:cs="Arial"/>
        </w:rPr>
        <w:t xml:space="preserve"> también lo es que </w:t>
      </w:r>
      <w:r w:rsidR="00716333" w:rsidRPr="00C62657">
        <w:rPr>
          <w:rFonts w:ascii="Palatino Linotype" w:hAnsi="Palatino Linotype" w:cs="Tahoma"/>
          <w:b/>
        </w:rPr>
        <w:t xml:space="preserve">la </w:t>
      </w:r>
      <w:r w:rsidRPr="00C62657">
        <w:rPr>
          <w:rFonts w:ascii="Palatino Linotype" w:hAnsi="Palatino Linotype" w:cs="Tahoma"/>
          <w:b/>
        </w:rPr>
        <w:t xml:space="preserve"> </w:t>
      </w:r>
      <w:r w:rsidR="00716333" w:rsidRPr="00C62657">
        <w:rPr>
          <w:rFonts w:ascii="Palatino Linotype" w:hAnsi="Palatino Linotype" w:cs="Tahoma"/>
          <w:b/>
        </w:rPr>
        <w:t xml:space="preserve">Ponencia </w:t>
      </w:r>
      <w:r w:rsidR="005B19B4" w:rsidRPr="00C62657">
        <w:rPr>
          <w:rFonts w:ascii="Palatino Linotype" w:hAnsi="Palatino Linotype" w:cs="Tahoma"/>
          <w:b/>
        </w:rPr>
        <w:t>no dio vista del Informe Justificado que modificó la respuesta primigenia</w:t>
      </w:r>
      <w:r w:rsidR="00C62657">
        <w:rPr>
          <w:rFonts w:ascii="Palatino Linotype" w:hAnsi="Palatino Linotype" w:cs="Tahoma"/>
          <w:b/>
        </w:rPr>
        <w:t xml:space="preserve">, </w:t>
      </w:r>
      <w:r w:rsidR="00C62657">
        <w:rPr>
          <w:rFonts w:ascii="Palatino Linotype" w:hAnsi="Palatino Linotype" w:cs="Tahoma"/>
          <w:bCs/>
        </w:rPr>
        <w:t>adicional a que si bien coincido en que el nombre de los elementos operativos de las áreas de seguridad pública debe ser reservado, lo cierto es que dentro del estudio se debe acreditar la respectiva prueba de daño, situación que no aconteció es la especie:</w:t>
      </w:r>
    </w:p>
    <w:p w14:paraId="63F89873" w14:textId="77777777" w:rsidR="00716333" w:rsidRDefault="00716333" w:rsidP="00716333">
      <w:pPr>
        <w:spacing w:after="0" w:line="360" w:lineRule="auto"/>
        <w:jc w:val="both"/>
        <w:rPr>
          <w:rFonts w:ascii="Palatino Linotype" w:hAnsi="Palatino Linotype" w:cs="Tahoma"/>
        </w:rPr>
      </w:pPr>
    </w:p>
    <w:p w14:paraId="12041FDE" w14:textId="5CFED312" w:rsidR="00060557" w:rsidRPr="00060557" w:rsidRDefault="00060557" w:rsidP="00060557">
      <w:pPr>
        <w:tabs>
          <w:tab w:val="left" w:pos="4962"/>
        </w:tabs>
        <w:spacing w:after="0" w:line="360" w:lineRule="auto"/>
        <w:ind w:right="-93"/>
        <w:jc w:val="both"/>
        <w:rPr>
          <w:rFonts w:ascii="Palatino Linotype" w:eastAsia="Calibri" w:hAnsi="Palatino Linotype" w:cs="Arial"/>
        </w:rPr>
      </w:pPr>
      <w:r w:rsidRPr="00060557">
        <w:rPr>
          <w:rFonts w:ascii="Palatino Linotype" w:eastAsia="Calibri" w:hAnsi="Palatino Linotype" w:cs="Arial"/>
        </w:rPr>
        <w:t>En ese sentido, toda vez que durante la sustanciación del Medio de Impugnación el Sujeto Obligado realizó diversas manifestaciones sobre la solicitud de información, la respuesta inicial y el agravio emitido, tan es así que inform</w:t>
      </w:r>
      <w:r>
        <w:rPr>
          <w:rFonts w:ascii="Palatino Linotype" w:eastAsia="Calibri" w:hAnsi="Palatino Linotype" w:cs="Arial"/>
        </w:rPr>
        <w:t>ó</w:t>
      </w:r>
      <w:r w:rsidRPr="00060557">
        <w:rPr>
          <w:rFonts w:ascii="Palatino Linotype" w:eastAsia="Calibri" w:hAnsi="Palatino Linotype" w:cs="Arial"/>
        </w:rPr>
        <w:t xml:space="preserve"> que en el Acta de Cabildo de la Décima Cuarta Sesión Extraordinaria, se encuentra el nombre completo y cargo de todos y cada uno de los empleados dados de baja, que hayan renunciado y/o hayan solicitado licencia, por el periodo del </w:t>
      </w:r>
      <w:r>
        <w:rPr>
          <w:rFonts w:ascii="Palatino Linotype" w:eastAsia="Calibri" w:hAnsi="Palatino Linotype" w:cs="Arial"/>
        </w:rPr>
        <w:t xml:space="preserve">veintisiete </w:t>
      </w:r>
      <w:r w:rsidRPr="00060557">
        <w:rPr>
          <w:rFonts w:ascii="Palatino Linotype" w:eastAsia="Calibri" w:hAnsi="Palatino Linotype" w:cs="Arial"/>
        </w:rPr>
        <w:t>de junio</w:t>
      </w:r>
      <w:r>
        <w:rPr>
          <w:rFonts w:ascii="Palatino Linotype" w:eastAsia="Calibri" w:hAnsi="Palatino Linotype" w:cs="Arial"/>
        </w:rPr>
        <w:t xml:space="preserve"> de dos mil veinte al quince </w:t>
      </w:r>
      <w:r w:rsidRPr="00060557">
        <w:rPr>
          <w:rFonts w:ascii="Palatino Linotype" w:eastAsia="Calibri" w:hAnsi="Palatino Linotype" w:cs="Arial"/>
        </w:rPr>
        <w:t xml:space="preserve">de abril de </w:t>
      </w:r>
      <w:r>
        <w:rPr>
          <w:rFonts w:ascii="Palatino Linotype" w:eastAsia="Calibri" w:hAnsi="Palatino Linotype" w:cs="Arial"/>
        </w:rPr>
        <w:t>dos mil veintiuno</w:t>
      </w:r>
      <w:r w:rsidRPr="00060557">
        <w:rPr>
          <w:rFonts w:ascii="Palatino Linotype" w:eastAsia="Calibri" w:hAnsi="Palatino Linotype" w:cs="Arial"/>
        </w:rPr>
        <w:t>;</w:t>
      </w:r>
      <w:r>
        <w:rPr>
          <w:rFonts w:ascii="Palatino Linotype" w:eastAsia="Calibri" w:hAnsi="Palatino Linotype" w:cs="Arial"/>
        </w:rPr>
        <w:t xml:space="preserve"> </w:t>
      </w:r>
      <w:r w:rsidRPr="00060557">
        <w:rPr>
          <w:rFonts w:ascii="Palatino Linotype" w:eastAsia="Calibri" w:hAnsi="Palatino Linotype" w:cs="Arial"/>
        </w:rPr>
        <w:t xml:space="preserve">por lo que, era necesario ponerlo a disposición del Particular, con el fin de darle oportunidad a que brindara las manifestaciones que considerara pertinentes e inclusive de proporcionar pruebas; situación que toma sustento, en la fracción V, del artículo 185 de la Ley de Transparencia y Acceso a la Información Pública del Estado de México y Municipios, que establece que </w:t>
      </w:r>
      <w:r w:rsidRPr="00060557">
        <w:rPr>
          <w:rFonts w:ascii="Palatino Linotype" w:eastAsia="Calibri" w:hAnsi="Palatino Linotype" w:cs="Arial"/>
          <w:b/>
          <w:u w:val="single"/>
        </w:rPr>
        <w:t>cuando un Informe Justificado modifique la respuesta</w:t>
      </w:r>
      <w:r w:rsidRPr="00060557">
        <w:rPr>
          <w:rFonts w:ascii="Palatino Linotype" w:eastAsia="Calibri" w:hAnsi="Palatino Linotype" w:cs="Arial"/>
        </w:rPr>
        <w:t xml:space="preserve">, se le tendrá que poner a disposición del Recurrente, para que, en un plazo de tres días hábiles, manifieste lo que, a su derecho convenga, </w:t>
      </w:r>
      <w:r w:rsidRPr="00060557">
        <w:rPr>
          <w:rFonts w:ascii="Palatino Linotype" w:eastAsia="Calibri" w:hAnsi="Palatino Linotype" w:cs="Arial"/>
          <w:b/>
        </w:rPr>
        <w:t>destaca el hecho de que la Ley no restringe el derecho de acceder a los informes justificados, sólo en los casos en que este deje sin materia el recurso de revisión de que se trate.</w:t>
      </w:r>
    </w:p>
    <w:p w14:paraId="43474C6F" w14:textId="77777777" w:rsidR="00060557" w:rsidRPr="00060557" w:rsidRDefault="00060557" w:rsidP="00060557">
      <w:pPr>
        <w:tabs>
          <w:tab w:val="left" w:pos="4962"/>
        </w:tabs>
        <w:spacing w:after="0" w:line="360" w:lineRule="auto"/>
        <w:ind w:right="-93"/>
        <w:jc w:val="both"/>
        <w:rPr>
          <w:rFonts w:ascii="Palatino Linotype" w:eastAsia="Calibri" w:hAnsi="Palatino Linotype" w:cs="Arial"/>
        </w:rPr>
      </w:pPr>
    </w:p>
    <w:p w14:paraId="214C256E" w14:textId="77777777" w:rsidR="00060557" w:rsidRPr="00060557" w:rsidRDefault="00060557" w:rsidP="00060557">
      <w:pPr>
        <w:tabs>
          <w:tab w:val="left" w:pos="4962"/>
        </w:tabs>
        <w:spacing w:after="0" w:line="360" w:lineRule="auto"/>
        <w:ind w:right="-93"/>
        <w:jc w:val="both"/>
        <w:rPr>
          <w:rFonts w:ascii="Palatino Linotype" w:eastAsia="Calibri" w:hAnsi="Palatino Linotype" w:cs="Arial"/>
        </w:rPr>
      </w:pPr>
      <w:r w:rsidRPr="00060557">
        <w:rPr>
          <w:rFonts w:ascii="Palatino Linotype" w:eastAsia="Calibri" w:hAnsi="Palatino Linotype" w:cs="Arial"/>
        </w:rPr>
        <w:lastRenderedPageBreak/>
        <w:t>Sobre lo anterior, considero que la entrega del Informe Justificado, cuando contiene elementos adicionales que explican su actuar al momento de proporcionar la respuesta, es una modificación de la misma, pues a través de este, el Sujeto Obligado realiza diversas manifestaciones, incluso cuando proporciona documentos, no entregados en respuesta, que robustecen, cambian o ratifican la respuesta primigenia, al tratarse de información que no es del conocimiento del Recurrente; por lo que, la única manera de no poner a la vista el Informe Justificado, es que este contenga información clasificada como confidencial o reservada, en términos de alguna de las causales establecidos en los artículos 140 y 143 de la Ley referida.</w:t>
      </w:r>
    </w:p>
    <w:p w14:paraId="01449E0B" w14:textId="77777777" w:rsidR="00060557" w:rsidRPr="00060557" w:rsidRDefault="00060557" w:rsidP="00060557">
      <w:pPr>
        <w:tabs>
          <w:tab w:val="left" w:pos="4962"/>
        </w:tabs>
        <w:spacing w:after="0" w:line="360" w:lineRule="auto"/>
        <w:ind w:right="-93"/>
        <w:jc w:val="both"/>
        <w:rPr>
          <w:rFonts w:ascii="Palatino Linotype" w:eastAsia="Calibri" w:hAnsi="Palatino Linotype" w:cs="Arial"/>
        </w:rPr>
      </w:pPr>
    </w:p>
    <w:p w14:paraId="406FBE80" w14:textId="77777777" w:rsidR="00060557" w:rsidRPr="00060557" w:rsidRDefault="00060557" w:rsidP="00060557">
      <w:pPr>
        <w:tabs>
          <w:tab w:val="left" w:pos="4962"/>
        </w:tabs>
        <w:spacing w:after="0" w:line="360" w:lineRule="auto"/>
        <w:ind w:right="-93"/>
        <w:jc w:val="both"/>
        <w:rPr>
          <w:rFonts w:ascii="Palatino Linotype" w:eastAsia="Calibri" w:hAnsi="Palatino Linotype" w:cs="Arial"/>
        </w:rPr>
      </w:pPr>
      <w:r w:rsidRPr="00060557">
        <w:rPr>
          <w:rFonts w:ascii="Palatino Linotype" w:eastAsia="Calibri" w:hAnsi="Palatino Linotype" w:cs="Arial"/>
        </w:rPr>
        <w:t>En ese orden de ideas, la Ponencia al no poner a la vista el Informe Justificado que, en el presente caso, no tiene información clasificada, negó la oportunidad al ahora Recurrente, de pronunciarse sobre la información novedosa presentada por el Ente Recurrido, lo cual iría en contra del artículo 14 de la Constitución Política de los Estados Unidos Mexicanos, que establece lo siguiente:</w:t>
      </w:r>
    </w:p>
    <w:p w14:paraId="19EBF850" w14:textId="77777777" w:rsidR="00060557" w:rsidRPr="00060557" w:rsidRDefault="00060557" w:rsidP="00060557">
      <w:pPr>
        <w:tabs>
          <w:tab w:val="left" w:pos="4962"/>
        </w:tabs>
        <w:spacing w:after="0" w:line="360" w:lineRule="auto"/>
        <w:ind w:right="-93"/>
        <w:jc w:val="both"/>
        <w:rPr>
          <w:rFonts w:ascii="Palatino Linotype" w:eastAsia="Calibri" w:hAnsi="Palatino Linotype" w:cs="Arial"/>
        </w:rPr>
      </w:pPr>
    </w:p>
    <w:p w14:paraId="0CA1E2C4" w14:textId="77777777" w:rsidR="00060557" w:rsidRPr="00060557" w:rsidRDefault="00060557" w:rsidP="00060557">
      <w:pPr>
        <w:tabs>
          <w:tab w:val="left" w:pos="4962"/>
        </w:tabs>
        <w:spacing w:after="0" w:line="360" w:lineRule="auto"/>
        <w:ind w:left="567" w:right="567"/>
        <w:jc w:val="both"/>
        <w:rPr>
          <w:rFonts w:ascii="Palatino Linotype" w:eastAsia="Calibri" w:hAnsi="Palatino Linotype" w:cs="Arial"/>
          <w:i/>
          <w:iCs/>
          <w:sz w:val="20"/>
          <w:szCs w:val="20"/>
        </w:rPr>
      </w:pPr>
      <w:r w:rsidRPr="00060557">
        <w:rPr>
          <w:rFonts w:ascii="Palatino Linotype" w:eastAsia="Calibri" w:hAnsi="Palatino Linotype" w:cs="Arial"/>
          <w:b/>
          <w:bCs/>
          <w:i/>
          <w:iCs/>
          <w:sz w:val="20"/>
          <w:szCs w:val="20"/>
        </w:rPr>
        <w:t xml:space="preserve">“Artículo 14. </w:t>
      </w:r>
      <w:r w:rsidRPr="00060557">
        <w:rPr>
          <w:rFonts w:ascii="Palatino Linotype" w:eastAsia="Calibri" w:hAnsi="Palatino Linotype" w:cs="Arial"/>
          <w:i/>
          <w:iCs/>
          <w:sz w:val="20"/>
          <w:szCs w:val="20"/>
        </w:rPr>
        <w:t xml:space="preserve">A ninguna ley se dará efecto retroactivo en perjuicio de persona alguna. </w:t>
      </w:r>
    </w:p>
    <w:p w14:paraId="39853A8B" w14:textId="77777777" w:rsidR="00060557" w:rsidRPr="00060557" w:rsidRDefault="00060557" w:rsidP="00060557">
      <w:pPr>
        <w:tabs>
          <w:tab w:val="left" w:pos="4962"/>
        </w:tabs>
        <w:spacing w:after="0" w:line="360" w:lineRule="auto"/>
        <w:ind w:left="567" w:right="567"/>
        <w:jc w:val="both"/>
        <w:rPr>
          <w:rFonts w:ascii="Palatino Linotype" w:eastAsia="Calibri" w:hAnsi="Palatino Linotype" w:cs="Arial"/>
          <w:i/>
          <w:iCs/>
          <w:sz w:val="20"/>
          <w:szCs w:val="20"/>
        </w:rPr>
      </w:pPr>
    </w:p>
    <w:p w14:paraId="4723A8F5" w14:textId="77777777" w:rsidR="00060557" w:rsidRPr="00060557" w:rsidRDefault="00060557" w:rsidP="00060557">
      <w:pPr>
        <w:tabs>
          <w:tab w:val="left" w:pos="4962"/>
        </w:tabs>
        <w:spacing w:after="0" w:line="360" w:lineRule="auto"/>
        <w:ind w:left="567" w:right="567"/>
        <w:jc w:val="both"/>
        <w:rPr>
          <w:rFonts w:ascii="Palatino Linotype" w:eastAsia="Calibri" w:hAnsi="Palatino Linotype" w:cs="Arial"/>
          <w:i/>
          <w:iCs/>
          <w:sz w:val="20"/>
          <w:szCs w:val="20"/>
        </w:rPr>
      </w:pPr>
      <w:r w:rsidRPr="00060557">
        <w:rPr>
          <w:rFonts w:ascii="Palatino Linotype" w:eastAsia="Calibri" w:hAnsi="Palatino Linotype" w:cs="Arial"/>
          <w:i/>
          <w:iCs/>
          <w:sz w:val="20"/>
          <w:szCs w:val="20"/>
        </w:rPr>
        <w:t xml:space="preserve">Nadie podrá ser privado de la libertad o de sus propiedades, posesiones o derechos, </w:t>
      </w:r>
      <w:r w:rsidRPr="00060557">
        <w:rPr>
          <w:rFonts w:ascii="Palatino Linotype" w:eastAsia="Calibri" w:hAnsi="Palatino Linotype" w:cs="Arial"/>
          <w:b/>
          <w:bCs/>
          <w:i/>
          <w:iCs/>
          <w:sz w:val="20"/>
          <w:szCs w:val="20"/>
        </w:rPr>
        <w:t xml:space="preserve">sino mediante juicio seguido ante los tribunales previamente establecidos, en el que se cumplan las formalidades esenciales del procedimiento </w:t>
      </w:r>
      <w:r w:rsidRPr="00060557">
        <w:rPr>
          <w:rFonts w:ascii="Palatino Linotype" w:eastAsia="Calibri" w:hAnsi="Palatino Linotype" w:cs="Arial"/>
          <w:i/>
          <w:iCs/>
          <w:sz w:val="20"/>
          <w:szCs w:val="20"/>
        </w:rPr>
        <w:t>y conforme a las Leyes expedidas con anterioridad al hecho.”</w:t>
      </w:r>
    </w:p>
    <w:p w14:paraId="3E159D44" w14:textId="77777777" w:rsidR="00060557" w:rsidRPr="00060557" w:rsidRDefault="00060557" w:rsidP="00060557">
      <w:pPr>
        <w:tabs>
          <w:tab w:val="left" w:pos="4962"/>
        </w:tabs>
        <w:spacing w:after="0" w:line="360" w:lineRule="auto"/>
        <w:ind w:right="-93"/>
        <w:jc w:val="both"/>
        <w:rPr>
          <w:rFonts w:ascii="Palatino Linotype" w:eastAsia="Calibri" w:hAnsi="Palatino Linotype" w:cs="Arial"/>
        </w:rPr>
      </w:pPr>
    </w:p>
    <w:p w14:paraId="5E3F0082" w14:textId="77777777" w:rsidR="00060557" w:rsidRPr="00060557" w:rsidRDefault="00060557" w:rsidP="00060557">
      <w:pPr>
        <w:tabs>
          <w:tab w:val="left" w:pos="4962"/>
        </w:tabs>
        <w:spacing w:after="0" w:line="360" w:lineRule="auto"/>
        <w:ind w:right="-93"/>
        <w:jc w:val="both"/>
        <w:rPr>
          <w:rFonts w:ascii="Palatino Linotype" w:eastAsia="Calibri" w:hAnsi="Palatino Linotype" w:cs="Times New Roman"/>
          <w:noProof/>
          <w:lang w:eastAsia="es-MX"/>
        </w:rPr>
      </w:pPr>
      <w:r w:rsidRPr="00060557">
        <w:rPr>
          <w:rFonts w:ascii="Palatino Linotype" w:eastAsia="Calibri" w:hAnsi="Palatino Linotype" w:cs="Arial"/>
        </w:rPr>
        <w:t xml:space="preserve">Como se logra observar, el texto constitucional, establece un eje principal que es la protección a los derechos de los individuos; por lo que, las autoridades deben seguir las formalidades esenciales del proceso; </w:t>
      </w:r>
      <w:r w:rsidRPr="00060557">
        <w:rPr>
          <w:rFonts w:ascii="Palatino Linotype" w:eastAsia="Calibri" w:hAnsi="Palatino Linotype" w:cs="Times New Roman"/>
          <w:noProof/>
          <w:lang w:eastAsia="es-MX"/>
        </w:rPr>
        <w:t>situación que se robustece con la Tesis Aislada número 1a. CCLXXVI/2013 (10a.), (Semanario Judicial de la Federación y su Gaceta, Libro XXIV, Septiembre de 2013, Tomo 1, Décima Época, Pag. 986), que establece lo siguiente:</w:t>
      </w:r>
    </w:p>
    <w:p w14:paraId="32036E05" w14:textId="77777777" w:rsidR="00060557" w:rsidRPr="00060557" w:rsidRDefault="00060557" w:rsidP="00060557">
      <w:pPr>
        <w:tabs>
          <w:tab w:val="left" w:pos="4962"/>
        </w:tabs>
        <w:spacing w:after="0" w:line="360" w:lineRule="auto"/>
        <w:ind w:right="-93"/>
        <w:jc w:val="both"/>
        <w:rPr>
          <w:rFonts w:ascii="Palatino Linotype" w:eastAsia="Calibri" w:hAnsi="Palatino Linotype" w:cs="Arial"/>
        </w:rPr>
      </w:pPr>
    </w:p>
    <w:p w14:paraId="48A073C8" w14:textId="77777777" w:rsidR="00060557" w:rsidRPr="00060557" w:rsidRDefault="00060557" w:rsidP="00060557">
      <w:pPr>
        <w:tabs>
          <w:tab w:val="left" w:pos="4962"/>
        </w:tabs>
        <w:spacing w:after="0" w:line="360" w:lineRule="auto"/>
        <w:ind w:left="567" w:right="567"/>
        <w:jc w:val="both"/>
        <w:rPr>
          <w:rFonts w:ascii="Palatino Linotype" w:eastAsia="Calibri" w:hAnsi="Palatino Linotype" w:cs="Arial"/>
          <w:i/>
          <w:iCs/>
          <w:sz w:val="20"/>
          <w:szCs w:val="20"/>
        </w:rPr>
      </w:pPr>
      <w:r w:rsidRPr="00060557">
        <w:rPr>
          <w:rFonts w:ascii="Palatino Linotype" w:eastAsia="Calibri" w:hAnsi="Palatino Linotype" w:cs="Arial"/>
          <w:b/>
          <w:bCs/>
          <w:i/>
          <w:iCs/>
          <w:sz w:val="20"/>
          <w:szCs w:val="20"/>
        </w:rPr>
        <w:t xml:space="preserve">“DERECHO AL DEBIDO PROCESO. EL ARTÍCULO 14 CONSTITUCIONAL PREVÉ DOS ÁMBITOS DE APLICACIÓN DIFERENCIADOS. </w:t>
      </w:r>
      <w:r w:rsidRPr="00060557">
        <w:rPr>
          <w:rFonts w:ascii="Palatino Linotype" w:eastAsia="Calibri" w:hAnsi="Palatino Linotype" w:cs="Arial"/>
          <w:i/>
          <w:iCs/>
          <w:sz w:val="20"/>
          <w:szCs w:val="20"/>
        </w:rPr>
        <w:t>La Primera Sala de la Suprema Corte de Justicia de la Nación, en la tesis aislada 1a. LXXV/2013 (10a.), publicada en el Semanario Judicial de la Federación y su Gaceta, Décima Época, Libro XVIII, Tomo 1, marzo de 2013, página 881, de rubro: DERECHO AL DEBIDO PROCESO. SU CONTENIDO.´, estableció que el citado precepto constitucional contiene el derecho humano al debido proceso, integrado por un núcleo duro de formalidades esenciales del procedimiento, las cuales permiten que los gobernados ejerzan sus defensas antes de que las autoridades modifiquen su esfera jurídica en forma definitiva. Sin embargo, entendido como derecho esencialmente destinado a otorgar un derecho de defensa, es posible identificar en los precedentes de esta Suprema Corte de Justicia de la Nación, dos ámbitos de aplicación diferenciados. Desde una primera perspectiva, dicho derecho se ocupa del ciudadano, que es sometido a un proceso jurisdiccional al ser destinatario del ejercicio de una acción que, de resultar procedente y fundada, llevaría a la autoridad judicial a emitir un acto privativo en su contra, en cuyo caso la autoridad debe verificar que se cumpla con las formalidades esenciales del procedimiento, a fin de otorgar al sujeto pasivo de la relación procesal la posibilidad de una defensa efectiva, por lo cual se debe garantizar que se le notifique del inicio del procedimiento y de sus consecuencias; se le dé el derecho de alegar y ofrecer pruebas</w:t>
      </w:r>
      <w:r w:rsidRPr="00060557">
        <w:rPr>
          <w:rFonts w:ascii="Palatino Linotype" w:eastAsia="Calibri" w:hAnsi="Palatino Linotype" w:cs="Arial"/>
          <w:b/>
          <w:bCs/>
          <w:i/>
          <w:iCs/>
          <w:sz w:val="20"/>
          <w:szCs w:val="20"/>
          <w:u w:val="single"/>
        </w:rPr>
        <w:t>,</w:t>
      </w:r>
      <w:r w:rsidRPr="00060557">
        <w:rPr>
          <w:rFonts w:ascii="Palatino Linotype" w:eastAsia="Calibri" w:hAnsi="Palatino Linotype" w:cs="Arial"/>
          <w:i/>
          <w:iCs/>
          <w:sz w:val="20"/>
          <w:szCs w:val="20"/>
        </w:rPr>
        <w:t xml:space="preserve"> y se le asegure la emisión de una resolución que dirima las cuestiones debatidas. Sin embargo, el debido proceso también puede entenderse desde la perspectiva de quien insta la función jurisdiccional del Estado para lograr reivindicar un derecho y no tanto defenderse del mismo, en cuyo caso </w:t>
      </w:r>
      <w:r w:rsidRPr="00060557">
        <w:rPr>
          <w:rFonts w:ascii="Palatino Linotype" w:eastAsia="Calibri" w:hAnsi="Palatino Linotype" w:cs="Arial"/>
          <w:b/>
          <w:bCs/>
          <w:i/>
          <w:iCs/>
          <w:sz w:val="20"/>
          <w:szCs w:val="20"/>
          <w:u w:val="single"/>
        </w:rPr>
        <w:t>se ubica en una posición, al interior de un juicio, de cuya suerte depende el ejercicio de un derecho, el cual en caso de no dirimirse adecuadamente podría tornar nugatorio su derecho</w:t>
      </w:r>
      <w:r w:rsidRPr="00060557">
        <w:rPr>
          <w:rFonts w:ascii="Palatino Linotype" w:eastAsia="Calibri" w:hAnsi="Palatino Linotype" w:cs="Arial"/>
          <w:i/>
          <w:iCs/>
          <w:sz w:val="20"/>
          <w:szCs w:val="20"/>
        </w:rPr>
        <w:t xml:space="preserve">. Así, bajo esta segunda perspectiva, se entiende que dicho derecho humano permite a los justiciables acceder a los órganos jurisdiccionales para hacer valer sus derechos y </w:t>
      </w:r>
      <w:r w:rsidRPr="00060557">
        <w:rPr>
          <w:rFonts w:ascii="Palatino Linotype" w:eastAsia="Calibri" w:hAnsi="Palatino Linotype" w:cs="Arial"/>
          <w:b/>
          <w:bCs/>
          <w:i/>
          <w:iCs/>
          <w:sz w:val="20"/>
          <w:szCs w:val="20"/>
          <w:u w:val="single"/>
        </w:rPr>
        <w:t>defender sus intereses de forma efectiva y en condiciones de igualdad procesal, esto es, exige un procedimiento que otorgue a las partes igual oportunidad de defender sus puntos de vista y ofrecer pruebas en apoyo de sus pretensiones</w:t>
      </w:r>
      <w:r w:rsidRPr="00060557">
        <w:rPr>
          <w:rFonts w:ascii="Palatino Linotype" w:eastAsia="Calibri" w:hAnsi="Palatino Linotype" w:cs="Arial"/>
          <w:i/>
          <w:iCs/>
          <w:sz w:val="20"/>
          <w:szCs w:val="20"/>
        </w:rPr>
        <w:t>.</w:t>
      </w:r>
    </w:p>
    <w:p w14:paraId="1DFA8075" w14:textId="77777777" w:rsidR="00060557" w:rsidRPr="00060557" w:rsidRDefault="00060557" w:rsidP="00060557">
      <w:pPr>
        <w:tabs>
          <w:tab w:val="left" w:pos="4962"/>
        </w:tabs>
        <w:spacing w:after="0" w:line="360" w:lineRule="auto"/>
        <w:ind w:right="-93"/>
        <w:jc w:val="both"/>
        <w:rPr>
          <w:rFonts w:ascii="Palatino Linotype" w:eastAsia="Calibri" w:hAnsi="Palatino Linotype" w:cs="Times New Roman"/>
          <w:noProof/>
          <w:lang w:eastAsia="es-MX"/>
        </w:rPr>
      </w:pPr>
      <w:r w:rsidRPr="00060557">
        <w:rPr>
          <w:rFonts w:ascii="Palatino Linotype" w:eastAsia="Calibri" w:hAnsi="Palatino Linotype" w:cs="Arial"/>
        </w:rPr>
        <w:lastRenderedPageBreak/>
        <w:t xml:space="preserve">Conforme a lo anterior, se considera que el debido proceso, es la conducción del propio procedimiento con las condiciones legales que debe guiar todo proceso; con el fin, de otorgar al posible afectado una oportunidad de defensa, para dar cabal cumplimiento al principio de certeza, que es aquel mediante al cual se otorga seguridad y certidumbre jurídica, a los particulares, además permite conocer que las actuaciones son apegadas a derecho y garantiza que los procedimientos, sean verificables; </w:t>
      </w:r>
      <w:r w:rsidRPr="00060557">
        <w:rPr>
          <w:rFonts w:ascii="Palatino Linotype" w:eastAsia="Calibri" w:hAnsi="Palatino Linotype" w:cs="Times New Roman"/>
          <w:noProof/>
          <w:lang w:eastAsia="es-MX"/>
        </w:rPr>
        <w:t>situación que encuentra sustento con lo señalado en la Tesis 1a./J. 103/2017 (10a.), (Gaceta del Semanario Judicial de la Federación, Libro 48, Noviembre de 2017, Tomo I, Décima Época, Pag. 151) como se muestra a continuación:</w:t>
      </w:r>
    </w:p>
    <w:p w14:paraId="2E1EBE74" w14:textId="77777777" w:rsidR="00060557" w:rsidRPr="00060557" w:rsidRDefault="00060557" w:rsidP="00060557">
      <w:pPr>
        <w:tabs>
          <w:tab w:val="left" w:pos="4962"/>
        </w:tabs>
        <w:spacing w:after="0" w:line="360" w:lineRule="auto"/>
        <w:ind w:right="-93"/>
        <w:jc w:val="both"/>
        <w:rPr>
          <w:rFonts w:ascii="Palatino Linotype" w:eastAsia="Calibri" w:hAnsi="Palatino Linotype" w:cs="Arial"/>
          <w:b/>
          <w:bCs/>
          <w:i/>
          <w:iCs/>
          <w:sz w:val="20"/>
          <w:szCs w:val="20"/>
        </w:rPr>
      </w:pPr>
    </w:p>
    <w:p w14:paraId="6C7D3996" w14:textId="77777777" w:rsidR="00060557" w:rsidRPr="00060557" w:rsidRDefault="00060557" w:rsidP="00060557">
      <w:pPr>
        <w:tabs>
          <w:tab w:val="left" w:pos="4962"/>
        </w:tabs>
        <w:spacing w:after="0" w:line="360" w:lineRule="auto"/>
        <w:ind w:left="567" w:right="567"/>
        <w:jc w:val="both"/>
        <w:rPr>
          <w:rFonts w:ascii="Palatino Linotype" w:eastAsia="Calibri" w:hAnsi="Palatino Linotype" w:cs="Arial"/>
          <w:b/>
          <w:bCs/>
          <w:i/>
          <w:iCs/>
          <w:sz w:val="20"/>
          <w:szCs w:val="20"/>
          <w:u w:val="single"/>
        </w:rPr>
      </w:pPr>
      <w:r w:rsidRPr="00060557">
        <w:rPr>
          <w:rFonts w:ascii="Palatino Linotype" w:eastAsia="Calibri" w:hAnsi="Palatino Linotype" w:cs="Arial"/>
          <w:b/>
          <w:bCs/>
          <w:i/>
          <w:iCs/>
          <w:sz w:val="20"/>
          <w:szCs w:val="20"/>
        </w:rPr>
        <w:t xml:space="preserve">“DERECHO DE ACCESO EFECTIVO A LA JUSTICIA. ETAPAS Y DERECHOS QUE LE CORRESPONDEN. </w:t>
      </w:r>
      <w:r w:rsidRPr="00060557">
        <w:rPr>
          <w:rFonts w:ascii="Palatino Linotype" w:eastAsia="Calibri" w:hAnsi="Palatino Linotype" w:cs="Arial"/>
          <w:i/>
          <w:iCs/>
          <w:sz w:val="20"/>
          <w:szCs w:val="20"/>
        </w:rPr>
        <w:t>De los artículos 14, 17 y 20, apartados B y C, de la Constitución Política de los Estados Unidos Mexicanos y 8 de la Convención Americana sobre Derechos Humanos, deriva el derecho de acceso efectivo a la justicia, el cual comprende, en adición a determinados factores socioeconómicos y políticos, el derecho a una tutela jurisdiccional efectiva y los mecanismos de tutela no jurisdiccional que también deben ser efectivos y estar fundamentados constitucional y legalmente. Ahora bien, en la jurisprudencia 1a./J. 42/2007, de rubro: ‘GARANTÍA A LA TUTELA JURISDICCIONAL PREVISTA EN EL ARTÍCULO 17 DE LA CONSTITUCIÓN POLÍTICA DE LOS ESTADOS UNIDOS MEXICANOS. SUS ALCANCES’, la Primera Sala de la Suprema Corte de Justicia de la Nación definió el acceso a la tutela jurisdiccional como el derecho público subjetivo que toda persona tiene, dentro de los plazos y términos que fijen las leyes, para acceder de manera expedita a tribunales independientes e imparciales, a plantear una pretensión o a defenderse de ella, con el fin de que, a través de un proceso en el que se respeten ciertas formalidades, se decida sobre la pretensión o la defensa y, en su caso, se ejecute tal decisión; de ahí que este derecho comprenda tres etapas, a las que corresponden tres derechos: (i) una previa al juicio, a la que le corresponde el derecho de acceso a la jurisdicción, que parte del derecho de acción como una especie del de petición dirigido a las autoridades jurisdiccionales y que motiva un pronunciamiento por su parte</w:t>
      </w:r>
      <w:r w:rsidRPr="00060557">
        <w:rPr>
          <w:rFonts w:ascii="Palatino Linotype" w:eastAsia="Calibri" w:hAnsi="Palatino Linotype" w:cs="Arial"/>
          <w:b/>
          <w:bCs/>
          <w:i/>
          <w:iCs/>
          <w:sz w:val="20"/>
          <w:szCs w:val="20"/>
          <w:u w:val="single"/>
        </w:rPr>
        <w:t xml:space="preserve">; (ii) una judicial, que va desde el inicio del procedimiento hasta la última actuación y a la que concierne </w:t>
      </w:r>
      <w:r w:rsidRPr="00060557">
        <w:rPr>
          <w:rFonts w:ascii="Palatino Linotype" w:eastAsia="Calibri" w:hAnsi="Palatino Linotype" w:cs="Arial"/>
          <w:b/>
          <w:bCs/>
          <w:i/>
          <w:iCs/>
          <w:sz w:val="20"/>
          <w:szCs w:val="20"/>
          <w:u w:val="single"/>
        </w:rPr>
        <w:lastRenderedPageBreak/>
        <w:t>el derecho al debido proceso; y,</w:t>
      </w:r>
      <w:r w:rsidRPr="00060557">
        <w:rPr>
          <w:rFonts w:ascii="Palatino Linotype" w:eastAsia="Calibri" w:hAnsi="Palatino Linotype" w:cs="Arial"/>
          <w:i/>
          <w:iCs/>
          <w:sz w:val="20"/>
          <w:szCs w:val="20"/>
        </w:rPr>
        <w:t xml:space="preserve"> (iii) una posterior al juicio, identificada con la eficacia de las resoluciones emitidas. Ahora, los derechos mencionados alcanzan no solamente a los procedimientos ventilados ante Jueces y tribunales del Poder Judicial, </w:t>
      </w:r>
      <w:r w:rsidRPr="00060557">
        <w:rPr>
          <w:rFonts w:ascii="Palatino Linotype" w:eastAsia="Calibri" w:hAnsi="Palatino Linotype" w:cs="Arial"/>
          <w:b/>
          <w:bCs/>
          <w:i/>
          <w:iCs/>
          <w:sz w:val="20"/>
          <w:szCs w:val="20"/>
          <w:u w:val="single"/>
        </w:rPr>
        <w:t>sino también a todos aquellos seguidos ante autoridades que, al pronunciarse sobre la determinación de derechos y obligaciones, realicen funciones materialmente jurisdiccionales.</w:t>
      </w:r>
    </w:p>
    <w:p w14:paraId="1B171A58" w14:textId="77777777" w:rsidR="00060557" w:rsidRPr="00060557" w:rsidRDefault="00060557" w:rsidP="00060557">
      <w:pPr>
        <w:tabs>
          <w:tab w:val="left" w:pos="4962"/>
        </w:tabs>
        <w:spacing w:after="0" w:line="360" w:lineRule="auto"/>
        <w:ind w:right="-93"/>
        <w:jc w:val="both"/>
        <w:rPr>
          <w:rFonts w:ascii="Palatino Linotype" w:eastAsia="Calibri" w:hAnsi="Palatino Linotype" w:cs="Arial"/>
          <w:i/>
          <w:iCs/>
          <w:sz w:val="20"/>
          <w:szCs w:val="20"/>
        </w:rPr>
      </w:pPr>
    </w:p>
    <w:p w14:paraId="605A5658" w14:textId="77777777" w:rsidR="00060557" w:rsidRPr="00060557" w:rsidRDefault="00060557" w:rsidP="00060557">
      <w:pPr>
        <w:spacing w:after="0" w:line="360" w:lineRule="auto"/>
        <w:ind w:right="-93"/>
        <w:jc w:val="both"/>
        <w:rPr>
          <w:rFonts w:ascii="Palatino Linotype" w:eastAsia="Calibri" w:hAnsi="Palatino Linotype" w:cs="Arial"/>
          <w:lang w:val="es-MX"/>
        </w:rPr>
      </w:pPr>
      <w:r w:rsidRPr="00060557">
        <w:rPr>
          <w:rFonts w:ascii="Palatino Linotype" w:eastAsia="Calibri" w:hAnsi="Palatino Linotype" w:cs="Arial"/>
          <w:lang w:val="es-MX"/>
        </w:rPr>
        <w:t>En ese contexto, considero que no poner a la vista el Informe Justificado presentado por el Sujeto Obligado, no permitió que el ahora Recurrente, manifestará lo que a su derecho conviniera y, por lo tanto, tampoco se garantizó el principio de certeza que tienen todos los gobernados, pues no se le dio la oportunidad de controvertir las actuaciones que emitió el Sujeto Obligado y, por otra parte, forman parte del expediente respectivo.</w:t>
      </w:r>
    </w:p>
    <w:p w14:paraId="04AF468A" w14:textId="77777777" w:rsidR="00060557" w:rsidRPr="00060557" w:rsidRDefault="00060557" w:rsidP="00060557">
      <w:pPr>
        <w:spacing w:after="0" w:line="360" w:lineRule="auto"/>
        <w:ind w:right="-93"/>
        <w:jc w:val="both"/>
        <w:rPr>
          <w:rFonts w:ascii="Palatino Linotype" w:eastAsia="Calibri" w:hAnsi="Palatino Linotype" w:cs="Arial"/>
          <w:lang w:val="es-MX"/>
        </w:rPr>
      </w:pPr>
    </w:p>
    <w:p w14:paraId="5331C412" w14:textId="1BED9D46" w:rsidR="00060557" w:rsidRPr="00060557" w:rsidRDefault="00060557" w:rsidP="00060557">
      <w:pPr>
        <w:spacing w:after="0" w:line="360" w:lineRule="auto"/>
        <w:ind w:right="-93"/>
        <w:jc w:val="both"/>
        <w:rPr>
          <w:rFonts w:ascii="Palatino Linotype" w:eastAsia="Calibri" w:hAnsi="Palatino Linotype" w:cs="Arial"/>
          <w:lang w:val="es-MX"/>
        </w:rPr>
      </w:pPr>
      <w:r w:rsidRPr="00060557">
        <w:rPr>
          <w:rFonts w:ascii="Palatino Linotype" w:eastAsia="Calibri" w:hAnsi="Palatino Linotype" w:cs="Arial"/>
          <w:lang w:val="es-MX"/>
        </w:rPr>
        <w:t xml:space="preserve">Aunado al hecho </w:t>
      </w:r>
      <w:r w:rsidR="00E204A6">
        <w:rPr>
          <w:rFonts w:ascii="Palatino Linotype" w:eastAsia="Calibri" w:hAnsi="Palatino Linotype" w:cs="Arial"/>
          <w:lang w:val="es-MX"/>
        </w:rPr>
        <w:t>expuesto</w:t>
      </w:r>
      <w:r w:rsidRPr="00060557">
        <w:rPr>
          <w:rFonts w:ascii="Palatino Linotype" w:eastAsia="Calibri" w:hAnsi="Palatino Linotype" w:cs="Arial"/>
          <w:lang w:val="es-MX"/>
        </w:rPr>
        <w:t xml:space="preserve">, es menester tomar en cuenta, que el artículo </w:t>
      </w:r>
      <w:r w:rsidRPr="00060557">
        <w:rPr>
          <w:rFonts w:ascii="Palatino Linotype" w:eastAsia="Calibri" w:hAnsi="Palatino Linotype" w:cs="Arial"/>
          <w:b/>
          <w:lang w:val="es-MX"/>
        </w:rPr>
        <w:t>185, fracción II, de la Ley de Transparencia y Acceso a la Información Pública del Estado de México y Municipios, establece que, admitido el Recurso de Revisión, se deberá integrar un expediente, y ponerlo a disposición de las Partes;</w:t>
      </w:r>
      <w:r w:rsidRPr="00060557">
        <w:rPr>
          <w:rFonts w:ascii="Palatino Linotype" w:eastAsia="Calibri" w:hAnsi="Palatino Linotype" w:cs="Arial"/>
          <w:lang w:val="es-MX"/>
        </w:rPr>
        <w:t xml:space="preserve"> con lo cual, se robustece la importancia de hacerle del conocimiento a los particulares los Informes Justificados de los sujetos obligados, pues dichos entes, tienen acceso a todas las actuaciones que se realizan, a través del Sistema de Acceso a la Información Mexiquense (SAIMEX), inclusive a las manifestaciones realizadas por los Particulares a los medios de impugnación, situación que no acontece con los Solicitantes, pues estos no tiene acceso al Informe Justificado, a menos que se le de vista de este por parte de la Ponencia Resolutora.</w:t>
      </w:r>
    </w:p>
    <w:p w14:paraId="373BB943" w14:textId="77777777" w:rsidR="00060557" w:rsidRPr="00060557" w:rsidRDefault="00060557" w:rsidP="00060557">
      <w:pPr>
        <w:spacing w:after="0" w:line="360" w:lineRule="auto"/>
        <w:ind w:right="-93"/>
        <w:jc w:val="both"/>
        <w:rPr>
          <w:rFonts w:ascii="Palatino Linotype" w:eastAsia="Calibri" w:hAnsi="Palatino Linotype" w:cs="Arial"/>
          <w:lang w:val="es-MX"/>
        </w:rPr>
      </w:pPr>
    </w:p>
    <w:p w14:paraId="093F0733" w14:textId="77777777" w:rsidR="00060557" w:rsidRPr="00060557" w:rsidRDefault="00060557" w:rsidP="00060557">
      <w:pPr>
        <w:spacing w:after="0" w:line="360" w:lineRule="auto"/>
        <w:ind w:right="-93"/>
        <w:jc w:val="both"/>
        <w:rPr>
          <w:rFonts w:ascii="Palatino Linotype" w:eastAsia="Calibri" w:hAnsi="Palatino Linotype" w:cs="Arial"/>
          <w:lang w:val="es-MX"/>
        </w:rPr>
      </w:pPr>
      <w:r w:rsidRPr="00060557">
        <w:rPr>
          <w:rFonts w:ascii="Palatino Linotype" w:eastAsia="Calibri" w:hAnsi="Palatino Linotype" w:cs="Arial"/>
          <w:lang w:val="es-MX"/>
        </w:rPr>
        <w:t xml:space="preserve">En ese sentido, al no darse a conocer el Informe Justificado emitido por el Ente Recurrido, se violenta el Principio de Imparcialidad, establecido en el artículo 9°, fracción IV, de la Ley de Transparencia y Acceso a la Información Pública del Estado de México y Municipios, al colocar en desigualdad, al Particular, pues este no tuvo conocimiento del expediente motivo </w:t>
      </w:r>
      <w:r w:rsidRPr="00060557">
        <w:rPr>
          <w:rFonts w:ascii="Palatino Linotype" w:eastAsia="Calibri" w:hAnsi="Palatino Linotype" w:cs="Arial"/>
          <w:lang w:val="es-MX"/>
        </w:rPr>
        <w:lastRenderedPageBreak/>
        <w:t>del Medio de Impugnación de manera completa, adicional a que, en aquellos casos en donde dentro del Informe Justificado se proporciona parte de la información solicitada, pues se retarda aún más el acceso a la información para el Recurrente, hasta que el Sujeto Obligado cumple la resolución y se ordena nuevamente la entrega del contenido del Informe Justificado, cuando esto pudo ser de acceso, en beneficio del Recurrente, con anterioridad.</w:t>
      </w:r>
    </w:p>
    <w:p w14:paraId="5203EA6C" w14:textId="77777777" w:rsidR="00060557" w:rsidRPr="00060557" w:rsidRDefault="00060557" w:rsidP="00060557">
      <w:pPr>
        <w:spacing w:after="0" w:line="360" w:lineRule="auto"/>
        <w:ind w:right="-93"/>
        <w:jc w:val="both"/>
        <w:rPr>
          <w:rFonts w:ascii="Palatino Linotype" w:eastAsia="Calibri" w:hAnsi="Palatino Linotype" w:cs="Arial"/>
          <w:lang w:val="es-MX"/>
        </w:rPr>
      </w:pPr>
    </w:p>
    <w:p w14:paraId="7B45023B" w14:textId="77777777" w:rsidR="00060557" w:rsidRPr="00060557" w:rsidRDefault="00060557" w:rsidP="00060557">
      <w:pPr>
        <w:spacing w:after="0" w:line="360" w:lineRule="auto"/>
        <w:ind w:right="-93"/>
        <w:jc w:val="both"/>
        <w:rPr>
          <w:rFonts w:ascii="Palatino Linotype" w:eastAsia="Calibri" w:hAnsi="Palatino Linotype" w:cs="Arial"/>
        </w:rPr>
      </w:pPr>
      <w:r w:rsidRPr="00060557">
        <w:rPr>
          <w:rFonts w:ascii="Palatino Linotype" w:eastAsia="Calibri" w:hAnsi="Palatino Linotype" w:cs="Arial"/>
          <w:lang w:val="es-MX"/>
        </w:rPr>
        <w:t xml:space="preserve">Además, es de señalarse que </w:t>
      </w:r>
      <w:r w:rsidRPr="00060557">
        <w:rPr>
          <w:rFonts w:ascii="Palatino Linotype" w:eastAsia="Calibri" w:hAnsi="Palatino Linotype" w:cs="Arial"/>
        </w:rPr>
        <w:t>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 lo cual, no acontece en el presente caso, pues como se precisó no se le hizo del conocimiento al Recurrente, de los alegatos presentados por el Ente Recurrido.</w:t>
      </w:r>
    </w:p>
    <w:p w14:paraId="217378D6" w14:textId="77777777" w:rsidR="00060557" w:rsidRPr="00060557" w:rsidRDefault="00060557" w:rsidP="00060557">
      <w:pPr>
        <w:spacing w:after="0" w:line="360" w:lineRule="auto"/>
        <w:ind w:right="-93"/>
        <w:jc w:val="both"/>
        <w:rPr>
          <w:rFonts w:ascii="Palatino Linotype" w:eastAsia="Calibri" w:hAnsi="Palatino Linotype" w:cs="Arial"/>
          <w:lang w:val="es-MX"/>
        </w:rPr>
      </w:pPr>
    </w:p>
    <w:p w14:paraId="65EF76B1" w14:textId="14499D8B" w:rsidR="00060557" w:rsidRPr="00060557" w:rsidRDefault="000D620C" w:rsidP="00060557">
      <w:pPr>
        <w:spacing w:after="0" w:line="360" w:lineRule="auto"/>
        <w:ind w:right="-93"/>
        <w:jc w:val="both"/>
        <w:rPr>
          <w:rFonts w:ascii="Palatino Linotype" w:eastAsia="Calibri" w:hAnsi="Palatino Linotype" w:cs="Arial"/>
          <w:lang w:val="es-MX"/>
        </w:rPr>
      </w:pPr>
      <w:r>
        <w:rPr>
          <w:rFonts w:ascii="Palatino Linotype" w:eastAsia="Calibri" w:hAnsi="Palatino Linotype" w:cs="Arial"/>
          <w:lang w:val="es-MX"/>
        </w:rPr>
        <w:t>Por lo que</w:t>
      </w:r>
      <w:r w:rsidR="00060557" w:rsidRPr="00060557">
        <w:rPr>
          <w:rFonts w:ascii="Palatino Linotype" w:eastAsia="Calibri" w:hAnsi="Palatino Linotype" w:cs="Arial"/>
          <w:lang w:val="es-MX"/>
        </w:rPr>
        <w:t>, se debió poner a la vista del Particular el Informe Justificado remitido por parte del Sujeto Obligado, con el fin de darle oportunidad a que realizara las manifestaciones que en derecho conviniera y, con ello garantizar el acceso al contenido completo del expediente formado, en el Sistema de Acceso a la Información Mexiquense (SAIMEX).</w:t>
      </w:r>
    </w:p>
    <w:p w14:paraId="0485A879" w14:textId="77777777" w:rsidR="00060557" w:rsidRPr="00716333" w:rsidRDefault="00060557" w:rsidP="00716333">
      <w:pPr>
        <w:spacing w:after="0" w:line="360" w:lineRule="auto"/>
        <w:jc w:val="both"/>
        <w:rPr>
          <w:rFonts w:ascii="Palatino Linotype" w:hAnsi="Palatino Linotype" w:cs="Tahoma"/>
        </w:rPr>
      </w:pPr>
    </w:p>
    <w:p w14:paraId="3E8D69A0" w14:textId="0D5C1898" w:rsidR="00F84B95" w:rsidRDefault="000D620C" w:rsidP="00F84B95">
      <w:pPr>
        <w:spacing w:after="0" w:line="360" w:lineRule="auto"/>
        <w:jc w:val="both"/>
        <w:rPr>
          <w:rFonts w:ascii="Palatino Linotype" w:hAnsi="Palatino Linotype" w:cs="Tahoma"/>
        </w:rPr>
      </w:pPr>
      <w:r w:rsidRPr="000D620C">
        <w:rPr>
          <w:rFonts w:ascii="Palatino Linotype" w:hAnsi="Palatino Linotype" w:cs="Tahoma"/>
        </w:rPr>
        <w:t>Ahora bien,</w:t>
      </w:r>
      <w:r w:rsidR="00F84B95" w:rsidRPr="000D620C">
        <w:rPr>
          <w:rFonts w:ascii="Palatino Linotype" w:hAnsi="Palatino Linotype" w:cs="Tahoma"/>
        </w:rPr>
        <w:t xml:space="preserve"> respecto</w:t>
      </w:r>
      <w:r w:rsidR="00261FCA">
        <w:rPr>
          <w:rFonts w:ascii="Palatino Linotype" w:hAnsi="Palatino Linotype" w:cs="Tahoma"/>
        </w:rPr>
        <w:t xml:space="preserve"> a lo remitido por el Sujeto Obligado, se advierte que reservó la información solicitada por un periodo de cinco años, sin embargo</w:t>
      </w:r>
      <w:r w:rsidR="00F84B95" w:rsidRPr="00533547">
        <w:rPr>
          <w:rFonts w:ascii="Palatino Linotype" w:hAnsi="Palatino Linotype" w:cs="Tahoma"/>
        </w:rPr>
        <w:t>,</w:t>
      </w:r>
      <w:r w:rsidR="00261FCA">
        <w:rPr>
          <w:rFonts w:ascii="Palatino Linotype" w:hAnsi="Palatino Linotype" w:cs="Tahoma"/>
        </w:rPr>
        <w:t xml:space="preserve"> la Ponencia Resoluto</w:t>
      </w:r>
      <w:r w:rsidR="00261FCA" w:rsidRPr="00261FCA">
        <w:rPr>
          <w:rFonts w:ascii="Palatino Linotype" w:hAnsi="Palatino Linotype" w:cs="Tahoma"/>
          <w:b/>
          <w:u w:val="single"/>
        </w:rPr>
        <w:t xml:space="preserve"> </w:t>
      </w:r>
      <w:r w:rsidR="00E204A6">
        <w:rPr>
          <w:rFonts w:ascii="Palatino Linotype" w:hAnsi="Palatino Linotype" w:cs="Tahoma"/>
          <w:b/>
          <w:u w:val="single"/>
        </w:rPr>
        <w:t>debió</w:t>
      </w:r>
      <w:r w:rsidR="00261FCA" w:rsidRPr="00060557">
        <w:rPr>
          <w:rFonts w:ascii="Palatino Linotype" w:hAnsi="Palatino Linotype" w:cs="Tahoma"/>
          <w:b/>
          <w:u w:val="single"/>
        </w:rPr>
        <w:t xml:space="preserve"> </w:t>
      </w:r>
      <w:r w:rsidR="00261FCA" w:rsidRPr="00060557">
        <w:rPr>
          <w:rFonts w:ascii="Palatino Linotype" w:eastAsia="Times New Roman" w:hAnsi="Palatino Linotype" w:cs="Calibri"/>
          <w:b/>
          <w:bCs/>
          <w:color w:val="000000"/>
          <w:szCs w:val="24"/>
          <w:u w:val="single"/>
          <w:lang w:eastAsia="es-MX"/>
        </w:rPr>
        <w:t>acredit</w:t>
      </w:r>
      <w:r w:rsidR="00E204A6">
        <w:rPr>
          <w:rFonts w:ascii="Palatino Linotype" w:eastAsia="Times New Roman" w:hAnsi="Palatino Linotype" w:cs="Calibri"/>
          <w:b/>
          <w:bCs/>
          <w:color w:val="000000"/>
          <w:szCs w:val="24"/>
          <w:u w:val="single"/>
          <w:lang w:eastAsia="es-MX"/>
        </w:rPr>
        <w:t>ar</w:t>
      </w:r>
      <w:r w:rsidR="00261FCA" w:rsidRPr="00060557">
        <w:rPr>
          <w:rFonts w:ascii="Palatino Linotype" w:eastAsia="Times New Roman" w:hAnsi="Palatino Linotype" w:cs="Calibri"/>
          <w:b/>
          <w:bCs/>
          <w:color w:val="000000"/>
          <w:szCs w:val="24"/>
          <w:u w:val="single"/>
          <w:lang w:eastAsia="es-MX"/>
        </w:rPr>
        <w:t xml:space="preserve"> la reserva</w:t>
      </w:r>
      <w:r w:rsidR="00E204A6">
        <w:rPr>
          <w:rFonts w:ascii="Palatino Linotype" w:eastAsia="Times New Roman" w:hAnsi="Palatino Linotype" w:cs="Calibri"/>
          <w:b/>
          <w:bCs/>
          <w:color w:val="000000"/>
          <w:szCs w:val="24"/>
          <w:u w:val="single"/>
          <w:lang w:eastAsia="es-MX"/>
        </w:rPr>
        <w:t xml:space="preserve"> de la información</w:t>
      </w:r>
      <w:r w:rsidR="00261FCA" w:rsidRPr="00060557">
        <w:rPr>
          <w:rFonts w:ascii="Palatino Linotype" w:eastAsia="Times New Roman" w:hAnsi="Palatino Linotype" w:cs="Calibri"/>
          <w:b/>
          <w:bCs/>
          <w:color w:val="000000"/>
          <w:szCs w:val="24"/>
          <w:u w:val="single"/>
          <w:lang w:eastAsia="es-MX"/>
        </w:rPr>
        <w:t xml:space="preserve"> con</w:t>
      </w:r>
      <w:r w:rsidR="00E204A6">
        <w:rPr>
          <w:rFonts w:ascii="Palatino Linotype" w:eastAsia="Times New Roman" w:hAnsi="Palatino Linotype" w:cs="Calibri"/>
          <w:b/>
          <w:bCs/>
          <w:color w:val="000000"/>
          <w:szCs w:val="24"/>
          <w:u w:val="single"/>
          <w:lang w:eastAsia="es-MX"/>
        </w:rPr>
        <w:t xml:space="preserve"> la respectiva</w:t>
      </w:r>
      <w:r w:rsidR="00261FCA" w:rsidRPr="00060557">
        <w:rPr>
          <w:rFonts w:ascii="Palatino Linotype" w:eastAsia="Times New Roman" w:hAnsi="Palatino Linotype" w:cs="Calibri"/>
          <w:b/>
          <w:bCs/>
          <w:color w:val="000000"/>
          <w:szCs w:val="24"/>
          <w:u w:val="single"/>
          <w:lang w:eastAsia="es-MX"/>
        </w:rPr>
        <w:t xml:space="preserve"> prueba de daño, por lo que hace a los elementos operativos</w:t>
      </w:r>
      <w:r w:rsidR="00261FCA">
        <w:rPr>
          <w:rFonts w:ascii="Palatino Linotype" w:eastAsia="Times New Roman" w:hAnsi="Palatino Linotype" w:cs="Calibri"/>
          <w:b/>
          <w:bCs/>
          <w:color w:val="000000"/>
          <w:szCs w:val="24"/>
          <w:u w:val="single"/>
          <w:lang w:eastAsia="es-MX"/>
        </w:rPr>
        <w:t>,</w:t>
      </w:r>
      <w:r w:rsidR="00261FCA" w:rsidRPr="00261FCA">
        <w:rPr>
          <w:rFonts w:ascii="Palatino Linotype" w:eastAsia="Times New Roman" w:hAnsi="Palatino Linotype" w:cs="Calibri"/>
          <w:b/>
          <w:bCs/>
          <w:color w:val="000000"/>
          <w:szCs w:val="24"/>
          <w:lang w:eastAsia="es-MX"/>
        </w:rPr>
        <w:t xml:space="preserve"> </w:t>
      </w:r>
      <w:r w:rsidR="00261FCA">
        <w:rPr>
          <w:rFonts w:ascii="Palatino Linotype" w:hAnsi="Palatino Linotype" w:cs="Tahoma"/>
        </w:rPr>
        <w:t>pues</w:t>
      </w:r>
      <w:r w:rsidR="00F84B95" w:rsidRPr="00533547">
        <w:rPr>
          <w:rFonts w:ascii="Palatino Linotype" w:hAnsi="Palatino Linotype" w:cs="Tahoma"/>
        </w:rPr>
        <w:t xml:space="preserve"> dentro de la Resolución se debió justificar </w:t>
      </w:r>
      <w:r w:rsidR="00F84B95">
        <w:rPr>
          <w:rFonts w:ascii="Palatino Linotype" w:hAnsi="Palatino Linotype" w:cs="Tahoma"/>
        </w:rPr>
        <w:t xml:space="preserve">de manera fundada y motivada </w:t>
      </w:r>
      <w:r w:rsidR="00F84B95" w:rsidRPr="00533547">
        <w:rPr>
          <w:rFonts w:ascii="Palatino Linotype" w:hAnsi="Palatino Linotype" w:cs="Tahoma"/>
        </w:rPr>
        <w:t xml:space="preserve">la información que se ordena reservar y </w:t>
      </w:r>
      <w:r w:rsidR="00F84B95">
        <w:rPr>
          <w:rFonts w:ascii="Palatino Linotype" w:hAnsi="Palatino Linotype" w:cs="Tahoma"/>
        </w:rPr>
        <w:t>ordenar que el Sujeto Obligado acredite haber realizado</w:t>
      </w:r>
      <w:r w:rsidR="00F84B95" w:rsidRPr="00533547">
        <w:rPr>
          <w:rFonts w:ascii="Palatino Linotype" w:hAnsi="Palatino Linotype" w:cs="Tahoma"/>
        </w:rPr>
        <w:t xml:space="preserve"> la prueba de daño que exige la Ley de Transparencia y Acceso a la Información Pública del Estado de México y Municipios.</w:t>
      </w:r>
    </w:p>
    <w:p w14:paraId="521A003B" w14:textId="77777777" w:rsidR="00F84B95" w:rsidRDefault="00F84B95" w:rsidP="00F84B95">
      <w:pPr>
        <w:spacing w:after="0" w:line="360" w:lineRule="auto"/>
        <w:jc w:val="both"/>
        <w:rPr>
          <w:rFonts w:ascii="Palatino Linotype" w:hAnsi="Palatino Linotype" w:cs="Tahoma"/>
        </w:rPr>
      </w:pPr>
    </w:p>
    <w:p w14:paraId="4A87C0DB" w14:textId="77777777" w:rsidR="00F84B95" w:rsidRPr="00885189" w:rsidRDefault="00F84B95" w:rsidP="00F84B95">
      <w:pPr>
        <w:spacing w:after="0" w:line="360" w:lineRule="auto"/>
        <w:jc w:val="both"/>
        <w:rPr>
          <w:rFonts w:ascii="Palatino Linotype" w:hAnsi="Palatino Linotype" w:cs="Tahoma"/>
        </w:rPr>
      </w:pPr>
      <w:r>
        <w:rPr>
          <w:rFonts w:ascii="Palatino Linotype" w:hAnsi="Palatino Linotype" w:cs="Tahoma"/>
        </w:rPr>
        <w:lastRenderedPageBreak/>
        <w:t xml:space="preserve">En este sentido, el presente voto se emite en virtud de que la Resolución que nos ocupa, debió considerar </w:t>
      </w:r>
      <w:r w:rsidRPr="00885189">
        <w:rPr>
          <w:rFonts w:ascii="Palatino Linotype" w:hAnsi="Palatino Linotype" w:cs="Tahoma"/>
        </w:rPr>
        <w:t xml:space="preserve">lo resuelto por el Instituto Nacional de Transparencia, Acceso a la Información Pública y Protección de Datos Personales, en el Recurso de Inconformidad número </w:t>
      </w:r>
      <w:r w:rsidRPr="00885189">
        <w:rPr>
          <w:rFonts w:ascii="Palatino Linotype" w:hAnsi="Palatino Linotype" w:cs="Tahoma"/>
          <w:b/>
        </w:rPr>
        <w:t>RIA 0118/18,</w:t>
      </w:r>
      <w:r w:rsidRPr="00885189">
        <w:rPr>
          <w:rFonts w:ascii="Palatino Linotype" w:hAnsi="Palatino Linotype" w:cs="Tahoma"/>
        </w:rPr>
        <w:t xml:space="preserve"> </w:t>
      </w:r>
      <w:r>
        <w:rPr>
          <w:rFonts w:ascii="Palatino Linotype" w:hAnsi="Palatino Linotype" w:cs="Tahoma"/>
        </w:rPr>
        <w:t xml:space="preserve">en el sentido de que </w:t>
      </w:r>
      <w:r w:rsidRPr="00885189">
        <w:rPr>
          <w:rFonts w:ascii="Palatino Linotype" w:hAnsi="Palatino Linotype" w:cs="Tahoma"/>
        </w:rPr>
        <w:t>este Órgano Garante no debe ceñirse únicamente a verificar cuestiones de forma, sino también argumentar por qué la información solicitada se adecua a la o las hipótesis señaladas.</w:t>
      </w:r>
    </w:p>
    <w:p w14:paraId="54FE8133" w14:textId="77777777" w:rsidR="00F84B95" w:rsidRPr="00885189" w:rsidRDefault="00F84B95" w:rsidP="00F84B95">
      <w:pPr>
        <w:spacing w:after="0" w:line="360" w:lineRule="auto"/>
        <w:jc w:val="both"/>
        <w:rPr>
          <w:rFonts w:ascii="Palatino Linotype" w:hAnsi="Palatino Linotype" w:cs="Tahoma"/>
        </w:rPr>
      </w:pPr>
    </w:p>
    <w:p w14:paraId="42AF7418" w14:textId="21282D01" w:rsidR="00F84B95" w:rsidRDefault="00F84B95" w:rsidP="00F84B95">
      <w:pPr>
        <w:spacing w:after="0" w:line="360" w:lineRule="auto"/>
        <w:jc w:val="both"/>
        <w:rPr>
          <w:rFonts w:ascii="Palatino Linotype" w:hAnsi="Palatino Linotype" w:cs="Tahoma"/>
        </w:rPr>
      </w:pPr>
      <w:r>
        <w:rPr>
          <w:rFonts w:ascii="Palatino Linotype" w:hAnsi="Palatino Linotype" w:cs="Tahoma"/>
        </w:rPr>
        <w:t>Tratándose de información reservada, s</w:t>
      </w:r>
      <w:r w:rsidRPr="00885189">
        <w:rPr>
          <w:rFonts w:ascii="Palatino Linotype" w:hAnsi="Palatino Linotype" w:cs="Tahoma"/>
        </w:rPr>
        <w:t>e debe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1D53322B" w14:textId="77777777" w:rsidR="00E204A6" w:rsidRPr="00885189" w:rsidRDefault="00E204A6" w:rsidP="00F84B95">
      <w:pPr>
        <w:spacing w:after="0" w:line="360" w:lineRule="auto"/>
        <w:jc w:val="both"/>
        <w:rPr>
          <w:rFonts w:ascii="Palatino Linotype" w:hAnsi="Palatino Linotype" w:cs="Tahoma"/>
        </w:rPr>
      </w:pPr>
    </w:p>
    <w:p w14:paraId="4FDE2F99" w14:textId="77777777" w:rsidR="00F84B95" w:rsidRDefault="00F84B95" w:rsidP="00F84B95">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de la postura expuesta por el Sujeto Obligado se puede desprender que la información puede actualizar alguna causal de reserva establecida en el </w:t>
      </w:r>
      <w:r w:rsidRPr="00DF675F">
        <w:rPr>
          <w:rFonts w:ascii="Palatino Linotype" w:hAnsi="Palatino Linotype" w:cs="Tahoma"/>
        </w:rPr>
        <w:t>artículo 140</w:t>
      </w:r>
      <w:r w:rsidRPr="00885189">
        <w:rPr>
          <w:rFonts w:ascii="Palatino Linotype" w:hAnsi="Palatino Linotype" w:cs="Tahoma"/>
        </w:rPr>
        <w:t xml:space="preserve"> de la Ley de Transparencia y Acceso a la Información Pública del Estado de México y Municipios, para convalidar la clasificación como</w:t>
      </w:r>
      <w:r>
        <w:rPr>
          <w:rFonts w:ascii="Palatino Linotype" w:hAnsi="Palatino Linotype" w:cs="Tahoma"/>
        </w:rPr>
        <w:t xml:space="preserve"> información reservada, se 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19D4D75A" w14:textId="77777777" w:rsidR="00F84B95" w:rsidRPr="00885189" w:rsidRDefault="00F84B95" w:rsidP="00F84B95">
      <w:pPr>
        <w:spacing w:after="0" w:line="360" w:lineRule="auto"/>
        <w:jc w:val="both"/>
        <w:rPr>
          <w:rFonts w:ascii="Palatino Linotype" w:hAnsi="Palatino Linotype" w:cs="Tahoma"/>
        </w:rPr>
      </w:pPr>
    </w:p>
    <w:p w14:paraId="15565836" w14:textId="77777777" w:rsidR="00F84B95" w:rsidRPr="00010F30" w:rsidRDefault="00F84B95" w:rsidP="00F84B95">
      <w:pPr>
        <w:spacing w:after="0" w:line="360" w:lineRule="auto"/>
        <w:jc w:val="both"/>
        <w:rPr>
          <w:rFonts w:ascii="Palatino Linotype" w:eastAsia="Calibri" w:hAnsi="Palatino Linotype" w:cs="Tahoma"/>
          <w:i/>
          <w:iCs/>
          <w:lang w:eastAsia="es-ES_tradnl"/>
        </w:rPr>
      </w:pPr>
      <w:r w:rsidRPr="00010F30">
        <w:rPr>
          <w:rFonts w:ascii="Palatino Linotype" w:hAnsi="Palatino Linotype" w:cs="Tahoma"/>
        </w:rPr>
        <w:lastRenderedPageBreak/>
        <w:t xml:space="preserve">Pues sólo de esta forma, el Instituto como máxima autoridad en materia de derecho de acceso a la información y protección de datos personales, garantiza que los particulares puedan ejercer sus derechos y ser partícipes de la vida democrática de nuestro Estado y nuestro país. </w:t>
      </w:r>
    </w:p>
    <w:p w14:paraId="2C82D228" w14:textId="77777777" w:rsidR="00F84B95" w:rsidRPr="00010F30" w:rsidRDefault="00F84B95" w:rsidP="00F84B95">
      <w:pPr>
        <w:tabs>
          <w:tab w:val="left" w:pos="4962"/>
        </w:tabs>
        <w:spacing w:after="0" w:line="360" w:lineRule="auto"/>
        <w:ind w:left="567" w:right="567"/>
        <w:jc w:val="both"/>
        <w:rPr>
          <w:rFonts w:ascii="Palatino Linotype" w:eastAsia="Calibri" w:hAnsi="Palatino Linotype" w:cs="Tahoma"/>
          <w:iCs/>
          <w:lang w:eastAsia="es-ES_tradnl"/>
        </w:rPr>
      </w:pPr>
    </w:p>
    <w:p w14:paraId="31C50766" w14:textId="77777777" w:rsidR="00F84B95" w:rsidRPr="00010F30" w:rsidRDefault="00F84B95" w:rsidP="00F84B95">
      <w:pPr>
        <w:spacing w:after="0" w:line="360" w:lineRule="auto"/>
        <w:jc w:val="both"/>
        <w:rPr>
          <w:rFonts w:ascii="Palatino Linotype" w:hAnsi="Palatino Linotype" w:cs="Tahoma"/>
        </w:rPr>
      </w:pPr>
      <w:r w:rsidRPr="00010F30">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para verificar que se acredita la prueba de daño </w:t>
      </w:r>
      <w:r>
        <w:rPr>
          <w:rFonts w:ascii="Palatino Linotype" w:hAnsi="Palatino Linotype" w:cs="Tahoma"/>
        </w:rPr>
        <w:t xml:space="preserve">y no sólo indicar que se entregue </w:t>
      </w:r>
      <w:r w:rsidRPr="00010F30">
        <w:rPr>
          <w:rFonts w:ascii="Palatino Linotype" w:hAnsi="Palatino Linotype" w:cs="Tahoma"/>
        </w:rPr>
        <w:t xml:space="preserve"> el Acuerdo de Clasificación.</w:t>
      </w:r>
    </w:p>
    <w:p w14:paraId="6EB996BD" w14:textId="77777777" w:rsidR="00F84B95" w:rsidRPr="00010F30" w:rsidRDefault="00F84B95" w:rsidP="00F84B95">
      <w:pPr>
        <w:pStyle w:val="NormalWeb"/>
        <w:spacing w:before="0" w:beforeAutospacing="0" w:after="0" w:afterAutospacing="0" w:line="360" w:lineRule="auto"/>
        <w:jc w:val="both"/>
        <w:rPr>
          <w:rFonts w:ascii="Palatino Linotype" w:hAnsi="Palatino Linotype"/>
          <w:color w:val="000000"/>
          <w:sz w:val="22"/>
          <w:szCs w:val="22"/>
        </w:rPr>
      </w:pPr>
    </w:p>
    <w:p w14:paraId="7FFFC4FF" w14:textId="60D8C3D3" w:rsidR="00F84B95" w:rsidRDefault="00F84B95" w:rsidP="00F84B95">
      <w:pPr>
        <w:rPr>
          <w:rFonts w:ascii="Palatino Linotype" w:hAnsi="Palatino Linotype" w:cs="Tahoma"/>
        </w:rPr>
      </w:pPr>
      <w:r w:rsidRPr="006A7606">
        <w:rPr>
          <w:rFonts w:ascii="Palatino Linotype" w:hAnsi="Palatino Linotype" w:cs="Tahoma"/>
        </w:rPr>
        <w:t xml:space="preserve">Así, con base en los razonamientos expuestos, </w:t>
      </w:r>
      <w:r w:rsidRPr="006A7606">
        <w:rPr>
          <w:rFonts w:ascii="Palatino Linotype" w:hAnsi="Palatino Linotype" w:cs="Tahoma"/>
          <w:b/>
        </w:rPr>
        <w:t>se emite el presente Voto Particular</w:t>
      </w:r>
      <w:r w:rsidRPr="006A7606">
        <w:rPr>
          <w:rFonts w:ascii="Palatino Linotype" w:hAnsi="Palatino Linotype" w:cs="Tahoma"/>
        </w:rPr>
        <w:t>.</w:t>
      </w:r>
      <w:r>
        <w:rPr>
          <w:rFonts w:ascii="Palatino Linotype" w:hAnsi="Palatino Linotype" w:cs="Tahoma"/>
        </w:rPr>
        <w:t>---------------------------------------------------------------------------------------------------------------------------------</w:t>
      </w:r>
    </w:p>
    <w:p w14:paraId="76DD5688" w14:textId="77777777" w:rsidR="00F84B95" w:rsidRDefault="00F84B95" w:rsidP="00F84B95">
      <w:pPr>
        <w:rPr>
          <w:rFonts w:ascii="Palatino Linotype" w:hAnsi="Palatino Linotype" w:cs="Tahoma"/>
        </w:rPr>
      </w:pPr>
    </w:p>
    <w:p w14:paraId="244D9A4A" w14:textId="77777777" w:rsidR="00F84B95" w:rsidRDefault="00F84B95" w:rsidP="00F84B95">
      <w:pPr>
        <w:rPr>
          <w:rFonts w:ascii="Palatino Linotype" w:hAnsi="Palatino Linotype" w:cs="Tahoma"/>
        </w:rPr>
      </w:pPr>
    </w:p>
    <w:p w14:paraId="5024DE86" w14:textId="77777777" w:rsidR="00F84B95" w:rsidRDefault="00F84B95" w:rsidP="00F84B95">
      <w:pPr>
        <w:rPr>
          <w:rFonts w:ascii="Palatino Linotype" w:hAnsi="Palatino Linotype" w:cs="Tahoma"/>
        </w:rPr>
      </w:pPr>
    </w:p>
    <w:p w14:paraId="3179AC1F" w14:textId="77777777" w:rsidR="00F84B95" w:rsidRDefault="00F84B95" w:rsidP="00F84B95">
      <w:pPr>
        <w:rPr>
          <w:rFonts w:ascii="Palatino Linotype" w:hAnsi="Palatino Linotype" w:cs="Tahoma"/>
        </w:rPr>
      </w:pPr>
    </w:p>
    <w:p w14:paraId="23CCFB41" w14:textId="77777777" w:rsidR="00F84B95" w:rsidRDefault="00F84B95" w:rsidP="00F84B95">
      <w:pPr>
        <w:rPr>
          <w:rFonts w:ascii="Palatino Linotype" w:hAnsi="Palatino Linotype" w:cs="Tahoma"/>
        </w:rPr>
      </w:pPr>
    </w:p>
    <w:p w14:paraId="09CFA5DD" w14:textId="77777777" w:rsidR="00F84B95" w:rsidRDefault="00F84B95" w:rsidP="00F84B95">
      <w:pPr>
        <w:rPr>
          <w:rFonts w:ascii="Palatino Linotype" w:hAnsi="Palatino Linotype" w:cs="Tahoma"/>
        </w:rPr>
      </w:pPr>
    </w:p>
    <w:p w14:paraId="7E1ABA11" w14:textId="77777777" w:rsidR="00F84B95" w:rsidRDefault="00F84B95" w:rsidP="00F84B95">
      <w:pPr>
        <w:rPr>
          <w:rFonts w:ascii="Palatino Linotype" w:hAnsi="Palatino Linotype" w:cs="Tahoma"/>
        </w:rPr>
      </w:pPr>
    </w:p>
    <w:p w14:paraId="62611383" w14:textId="77777777" w:rsidR="00F84B95" w:rsidRDefault="00F84B95" w:rsidP="00F84B95">
      <w:pPr>
        <w:rPr>
          <w:rFonts w:ascii="Palatino Linotype" w:hAnsi="Palatino Linotype" w:cs="Tahoma"/>
        </w:rPr>
      </w:pPr>
    </w:p>
    <w:p w14:paraId="413673D0" w14:textId="77777777" w:rsidR="00F84B95" w:rsidRDefault="00F84B95" w:rsidP="00F84B95">
      <w:pPr>
        <w:rPr>
          <w:rFonts w:ascii="Palatino Linotype" w:hAnsi="Palatino Linotype" w:cs="Tahoma"/>
        </w:rPr>
      </w:pPr>
    </w:p>
    <w:p w14:paraId="6105C9A1" w14:textId="77777777" w:rsidR="00F84B95" w:rsidRDefault="00F84B95" w:rsidP="00F84B95">
      <w:pPr>
        <w:rPr>
          <w:rFonts w:ascii="Palatino Linotype" w:hAnsi="Palatino Linotype" w:cs="Tahoma"/>
        </w:rPr>
      </w:pPr>
    </w:p>
    <w:p w14:paraId="361501E0" w14:textId="77777777" w:rsidR="00F84B95" w:rsidRDefault="00F84B95" w:rsidP="00F84B95">
      <w:pPr>
        <w:rPr>
          <w:rFonts w:ascii="Palatino Linotype" w:hAnsi="Palatino Linotype" w:cs="Tahoma"/>
        </w:rPr>
      </w:pPr>
    </w:p>
    <w:p w14:paraId="5EF5C6CA" w14:textId="77777777" w:rsidR="00F84B95" w:rsidRDefault="00F84B95" w:rsidP="00F84B95">
      <w:pPr>
        <w:rPr>
          <w:rFonts w:ascii="Palatino Linotype" w:hAnsi="Palatino Linotype" w:cs="Tahoma"/>
        </w:rPr>
      </w:pPr>
    </w:p>
    <w:p w14:paraId="15D81A1D" w14:textId="77777777" w:rsidR="00F84B95" w:rsidRDefault="00F84B95" w:rsidP="00F84B95"/>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7570" w14:textId="77777777" w:rsidR="00410C39" w:rsidRDefault="00410C39" w:rsidP="00A80C30">
      <w:pPr>
        <w:spacing w:after="0" w:line="240" w:lineRule="auto"/>
      </w:pPr>
      <w:r>
        <w:separator/>
      </w:r>
    </w:p>
  </w:endnote>
  <w:endnote w:type="continuationSeparator" w:id="0">
    <w:p w14:paraId="10E616CA" w14:textId="77777777" w:rsidR="00410C39" w:rsidRDefault="00410C39"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61FCA">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61FCA">
              <w:rPr>
                <w:b/>
                <w:bCs/>
                <w:noProof/>
              </w:rPr>
              <w:t>10</w:t>
            </w:r>
            <w:r>
              <w:rPr>
                <w:b/>
                <w:bCs/>
                <w:sz w:val="24"/>
                <w:szCs w:val="24"/>
              </w:rPr>
              <w:fldChar w:fldCharType="end"/>
            </w:r>
          </w:p>
        </w:sdtContent>
      </w:sdt>
    </w:sdtContent>
  </w:sdt>
  <w:p w14:paraId="0581D3D8" w14:textId="77777777" w:rsidR="00AC333A" w:rsidRDefault="00410C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9DBD" w14:textId="77777777" w:rsidR="00410C39" w:rsidRDefault="00410C39" w:rsidP="00A80C30">
      <w:pPr>
        <w:spacing w:after="0" w:line="240" w:lineRule="auto"/>
      </w:pPr>
      <w:r>
        <w:separator/>
      </w:r>
    </w:p>
  </w:footnote>
  <w:footnote w:type="continuationSeparator" w:id="0">
    <w:p w14:paraId="52B09F60" w14:textId="77777777" w:rsidR="00410C39" w:rsidRDefault="00410C39"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410C39">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378"/>
    </w:tblGrid>
    <w:tr w:rsidR="0077694E" w:rsidRPr="001106EA" w14:paraId="1FC3852C" w14:textId="77777777" w:rsidTr="00C623B1">
      <w:trPr>
        <w:trHeight w:val="1843"/>
      </w:trPr>
      <w:tc>
        <w:tcPr>
          <w:tcW w:w="3686" w:type="dxa"/>
          <w:vAlign w:val="bottom"/>
        </w:tcPr>
        <w:p w14:paraId="65B4A667" w14:textId="77777777" w:rsidR="0077694E" w:rsidRDefault="001F75E5" w:rsidP="0077694E">
          <w:pPr>
            <w:pStyle w:val="Encabezado"/>
            <w:tabs>
              <w:tab w:val="clear" w:pos="4252"/>
              <w:tab w:val="center" w:pos="2614"/>
            </w:tabs>
            <w:ind w:left="-255"/>
          </w:pPr>
          <w:r>
            <w:rPr>
              <w:noProof/>
              <w:sz w:val="10"/>
              <w:szCs w:val="10"/>
              <w:lang w:eastAsia="es-ES"/>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77777777" w:rsidR="0077694E" w:rsidRDefault="00410C39" w:rsidP="0077694E">
          <w:pPr>
            <w:pStyle w:val="Encabezado"/>
            <w:tabs>
              <w:tab w:val="clear" w:pos="4252"/>
              <w:tab w:val="center" w:pos="2614"/>
            </w:tabs>
          </w:pPr>
        </w:p>
      </w:tc>
      <w:tc>
        <w:tcPr>
          <w:tcW w:w="6378" w:type="dxa"/>
          <w:vAlign w:val="center"/>
        </w:tcPr>
        <w:p w14:paraId="3C4C7CFE" w14:textId="77777777" w:rsidR="001106EA" w:rsidRPr="00B9745A" w:rsidRDefault="00410C39" w:rsidP="001106EA">
          <w:pPr>
            <w:pStyle w:val="Encabezado"/>
            <w:ind w:left="-108" w:right="-250"/>
            <w:jc w:val="both"/>
            <w:rPr>
              <w:rFonts w:ascii="Palatino Linotype" w:hAnsi="Palatino Linotype" w:cs="Tahoma"/>
            </w:rPr>
          </w:pPr>
        </w:p>
        <w:p w14:paraId="5D63E913" w14:textId="77777777" w:rsidR="001106EA" w:rsidRPr="00B9745A" w:rsidRDefault="001F75E5"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34F0AAA1" w:rsidR="009D36B8" w:rsidRDefault="001F75E5" w:rsidP="009D36B8">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EB135A" w:rsidRPr="00EB135A">
            <w:rPr>
              <w:rFonts w:ascii="Palatino Linotype" w:hAnsi="Palatino Linotype"/>
              <w:lang w:val="es-MX"/>
            </w:rPr>
            <w:t>0</w:t>
          </w:r>
          <w:r w:rsidR="00B73D42">
            <w:rPr>
              <w:rFonts w:ascii="Palatino Linotype" w:hAnsi="Palatino Linotype"/>
              <w:lang w:val="es-MX"/>
            </w:rPr>
            <w:t>3259</w:t>
          </w:r>
          <w:r w:rsidR="00EB135A" w:rsidRPr="00EB135A">
            <w:rPr>
              <w:rFonts w:ascii="Palatino Linotype" w:hAnsi="Palatino Linotype"/>
              <w:lang w:val="es-MX"/>
            </w:rPr>
            <w:t>/INFOEM/IP/RR/2021</w:t>
          </w:r>
        </w:p>
        <w:p w14:paraId="32CB39AB" w14:textId="49E1355E" w:rsidR="00C14D5C" w:rsidRDefault="001F75E5" w:rsidP="009D36B8">
          <w:pPr>
            <w:pStyle w:val="Encabezado"/>
            <w:ind w:left="-108" w:right="-250"/>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00B73D42" w:rsidRPr="00B73D42">
            <w:rPr>
              <w:rFonts w:ascii="Palatino Linotype" w:hAnsi="Palatino Linotype"/>
              <w:bCs/>
              <w:lang w:val="es-MX"/>
            </w:rPr>
            <w:t>Ayuntamiento de Nextlalpan</w:t>
          </w:r>
        </w:p>
        <w:p w14:paraId="39702EE3" w14:textId="43D9371A" w:rsidR="006F754E" w:rsidRPr="001106EA" w:rsidRDefault="001F75E5" w:rsidP="00F84B95">
          <w:pPr>
            <w:pStyle w:val="Encabezado"/>
            <w:ind w:left="-108" w:right="-250"/>
            <w:jc w:val="both"/>
            <w:rPr>
              <w:rFonts w:ascii="Tahoma" w:hAnsi="Tahoma" w:cs="Tahoma"/>
            </w:rPr>
          </w:pPr>
          <w:r w:rsidRPr="00B9745A">
            <w:rPr>
              <w:rFonts w:ascii="Palatino Linotype" w:hAnsi="Palatino Linotype" w:cs="Tahoma"/>
              <w:b/>
            </w:rPr>
            <w:t xml:space="preserve">Comisionado Ponente: </w:t>
          </w:r>
          <w:r w:rsidR="00B73D42" w:rsidRPr="00B73D42">
            <w:rPr>
              <w:rFonts w:ascii="Palatino Linotype" w:hAnsi="Palatino Linotype"/>
              <w:bCs/>
              <w:lang w:val="es-ES_tradnl"/>
            </w:rPr>
            <w:t>Guadalupe Ramírez Peña</w:t>
          </w:r>
        </w:p>
      </w:tc>
    </w:tr>
  </w:tbl>
  <w:p w14:paraId="2AD8A022" w14:textId="7C93B020" w:rsidR="00D55429" w:rsidRPr="001106EA" w:rsidRDefault="00410C39">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410C39">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30"/>
    <w:rsid w:val="00060557"/>
    <w:rsid w:val="00082310"/>
    <w:rsid w:val="000D620C"/>
    <w:rsid w:val="001F75E5"/>
    <w:rsid w:val="00261FCA"/>
    <w:rsid w:val="00410C39"/>
    <w:rsid w:val="00486BD3"/>
    <w:rsid w:val="00494387"/>
    <w:rsid w:val="004D26F6"/>
    <w:rsid w:val="00506AB5"/>
    <w:rsid w:val="00533E57"/>
    <w:rsid w:val="00541BAC"/>
    <w:rsid w:val="00543C9A"/>
    <w:rsid w:val="005974CA"/>
    <w:rsid w:val="005B19B4"/>
    <w:rsid w:val="00601591"/>
    <w:rsid w:val="0062502E"/>
    <w:rsid w:val="00684986"/>
    <w:rsid w:val="006C2B09"/>
    <w:rsid w:val="00716333"/>
    <w:rsid w:val="00756729"/>
    <w:rsid w:val="00823E1B"/>
    <w:rsid w:val="0083177F"/>
    <w:rsid w:val="00842979"/>
    <w:rsid w:val="008F78B8"/>
    <w:rsid w:val="00922026"/>
    <w:rsid w:val="00940F06"/>
    <w:rsid w:val="00960C5A"/>
    <w:rsid w:val="00961702"/>
    <w:rsid w:val="009F23B2"/>
    <w:rsid w:val="00A54CCC"/>
    <w:rsid w:val="00A80C30"/>
    <w:rsid w:val="00B43526"/>
    <w:rsid w:val="00B55282"/>
    <w:rsid w:val="00B73D42"/>
    <w:rsid w:val="00BA54EE"/>
    <w:rsid w:val="00C00E77"/>
    <w:rsid w:val="00C60C1A"/>
    <w:rsid w:val="00C62657"/>
    <w:rsid w:val="00DD5D61"/>
    <w:rsid w:val="00E204A6"/>
    <w:rsid w:val="00E43FEA"/>
    <w:rsid w:val="00E678EF"/>
    <w:rsid w:val="00E7322A"/>
    <w:rsid w:val="00E878DE"/>
    <w:rsid w:val="00EB135A"/>
    <w:rsid w:val="00F84B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2B323C"/>
  <w15:docId w15:val="{E10EA147-DED0-4235-B5FA-20D4F272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2672</Words>
  <Characters>14696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medina hernandez</dc:creator>
  <cp:lastModifiedBy>Sandra Ivette Razo De La Paz</cp:lastModifiedBy>
  <cp:revision>4</cp:revision>
  <cp:lastPrinted>2021-05-10T20:25:00Z</cp:lastPrinted>
  <dcterms:created xsi:type="dcterms:W3CDTF">2021-09-13T15:13:00Z</dcterms:created>
  <dcterms:modified xsi:type="dcterms:W3CDTF">2021-09-13T15:26:00Z</dcterms:modified>
</cp:coreProperties>
</file>