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E3227" w14:textId="10463DC0" w:rsidR="00D45CA3" w:rsidRPr="009565F9" w:rsidRDefault="00D45CA3" w:rsidP="003721F5">
      <w:pPr>
        <w:spacing w:line="360" w:lineRule="auto"/>
        <w:ind w:left="567"/>
        <w:jc w:val="both"/>
        <w:rPr>
          <w:rFonts w:ascii="Palatino Linotype" w:hAnsi="Palatino Linotype" w:cs="Arial"/>
          <w:b/>
        </w:rPr>
      </w:pPr>
      <w:bookmarkStart w:id="0" w:name="_GoBack"/>
      <w:bookmarkEnd w:id="0"/>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D83F3E" w:rsidRPr="00370698">
        <w:rPr>
          <w:rFonts w:ascii="Palatino Linotype" w:hAnsi="Palatino Linotype" w:cs="Arial"/>
          <w:b/>
          <w:bCs/>
        </w:rPr>
        <w:t>02619/INFOEM/IP/RR/2021</w:t>
      </w:r>
      <w:r w:rsidRPr="009565F9">
        <w:rPr>
          <w:rFonts w:ascii="Palatino Linotype" w:hAnsi="Palatino Linotype" w:cs="Arial"/>
          <w:b/>
        </w:rPr>
        <w:t>.</w:t>
      </w:r>
    </w:p>
    <w:p w14:paraId="0B557C85" w14:textId="77777777" w:rsidR="005D2361" w:rsidRPr="009565F9" w:rsidRDefault="005D2361" w:rsidP="003721F5">
      <w:pPr>
        <w:pStyle w:val="Prrafodelista"/>
        <w:spacing w:line="360" w:lineRule="auto"/>
        <w:ind w:left="567"/>
        <w:jc w:val="both"/>
        <w:rPr>
          <w:rFonts w:ascii="Palatino Linotype" w:eastAsiaTheme="majorEastAsia" w:hAnsi="Palatino Linotype"/>
          <w:b/>
          <w:sz w:val="24"/>
          <w:szCs w:val="24"/>
        </w:rPr>
      </w:pPr>
    </w:p>
    <w:p w14:paraId="3D2EDEEA" w14:textId="702E2F88" w:rsidR="0024476F" w:rsidRDefault="0024476F" w:rsidP="003721F5">
      <w:pPr>
        <w:spacing w:line="360" w:lineRule="auto"/>
        <w:ind w:left="567"/>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F77D6A">
        <w:rPr>
          <w:rFonts w:ascii="Palatino Linotype" w:hAnsi="Palatino Linotype" w:cs="Arial"/>
        </w:rPr>
        <w:t>,</w:t>
      </w:r>
      <w:r w:rsidRPr="0024476F">
        <w:rPr>
          <w:rFonts w:ascii="Palatino Linotype" w:hAnsi="Palatino Linotype" w:cs="Arial"/>
        </w:rPr>
        <w:t xml:space="preserve"> por no compartir en su totalidad las consideraciones que sustentan la Resolución del Recurso de Revisión </w:t>
      </w:r>
      <w:bookmarkStart w:id="1" w:name="_Toc88136404"/>
      <w:r w:rsidR="00D83F3E" w:rsidRPr="00370698">
        <w:rPr>
          <w:rFonts w:ascii="Palatino Linotype" w:hAnsi="Palatino Linotype" w:cs="Arial"/>
          <w:b/>
          <w:bCs/>
        </w:rPr>
        <w:t>02619/INFOEM/IP/RR/2021</w:t>
      </w:r>
      <w:r w:rsidRPr="0024476F">
        <w:rPr>
          <w:rFonts w:ascii="Palatino Linotype" w:hAnsi="Palatino Linotype" w:cs="Arial"/>
        </w:rPr>
        <w:t xml:space="preserve">, promovido en contra de </w:t>
      </w:r>
      <w:r w:rsidR="00D83F3E">
        <w:rPr>
          <w:rFonts w:ascii="Palatino Linotype" w:hAnsi="Palatino Linotype" w:cs="Arial"/>
        </w:rPr>
        <w:t xml:space="preserve"> la </w:t>
      </w:r>
      <w:r w:rsidR="00D83F3E" w:rsidRPr="00370698">
        <w:rPr>
          <w:rFonts w:ascii="Palatino Linotype" w:hAnsi="Palatino Linotype" w:cs="Arial"/>
          <w:b/>
          <w:bCs/>
        </w:rPr>
        <w:t>Secretaría de la Contraloría</w:t>
      </w:r>
      <w:r w:rsidRPr="0024476F">
        <w:rPr>
          <w:rFonts w:ascii="Palatino Linotype" w:hAnsi="Palatino Linotype" w:cs="Arial"/>
        </w:rPr>
        <w:t xml:space="preserve">, esto es por </w:t>
      </w:r>
      <w:r w:rsidRPr="009565F9">
        <w:rPr>
          <w:rFonts w:ascii="Palatino Linotype" w:hAnsi="Palatino Linotype" w:cs="Arial"/>
        </w:rPr>
        <w:t xml:space="preserve">la clasificación como confidencial de nombre de los servidores públicos sujetos a procedimientos administrativos </w:t>
      </w:r>
      <w:r>
        <w:rPr>
          <w:rFonts w:ascii="Palatino Linotype" w:hAnsi="Palatino Linotype" w:cs="Arial"/>
        </w:rPr>
        <w:t xml:space="preserve">por faltas administrativas graves que estén </w:t>
      </w:r>
      <w:r w:rsidRPr="009565F9">
        <w:rPr>
          <w:rFonts w:ascii="Palatino Linotype" w:hAnsi="Palatino Linotype" w:cs="Arial"/>
        </w:rPr>
        <w:t xml:space="preserve">concluidos con resoluciones absolutorias, toda vez que, </w:t>
      </w:r>
      <w:r w:rsidR="00F77D6A">
        <w:rPr>
          <w:rFonts w:ascii="Palatino Linotype" w:hAnsi="Palatino Linotype" w:cs="Arial"/>
        </w:rPr>
        <w:t xml:space="preserve">se </w:t>
      </w:r>
      <w:r w:rsidRPr="009565F9">
        <w:rPr>
          <w:rFonts w:ascii="Palatino Linotype" w:hAnsi="Palatino Linotype" w:cs="Arial"/>
        </w:rPr>
        <w:t>consi</w:t>
      </w:r>
      <w:r w:rsidR="00F77D6A">
        <w:rPr>
          <w:rFonts w:ascii="Palatino Linotype" w:hAnsi="Palatino Linotype" w:cs="Arial"/>
        </w:rPr>
        <w:t>dera</w:t>
      </w:r>
      <w:r>
        <w:rPr>
          <w:rFonts w:ascii="Palatino Linotype" w:hAnsi="Palatino Linotype" w:cs="Arial"/>
        </w:rPr>
        <w:t xml:space="preserve"> que es información pública por favorecer a la transparencia y rendición de cuentas.</w:t>
      </w:r>
    </w:p>
    <w:p w14:paraId="3BF6D364" w14:textId="15D5B6DF" w:rsidR="0024476F" w:rsidRPr="00E80DB6" w:rsidRDefault="0024476F" w:rsidP="003721F5">
      <w:pPr>
        <w:spacing w:before="240" w:after="240" w:line="360" w:lineRule="auto"/>
        <w:ind w:left="567"/>
        <w:jc w:val="both"/>
        <w:rPr>
          <w:rFonts w:ascii="Palatino Linotype" w:hAnsi="Palatino Linotype" w:cs="Arial"/>
        </w:rPr>
      </w:pPr>
      <w:r>
        <w:rPr>
          <w:rFonts w:ascii="Palatino Linotype" w:hAnsi="Palatino Linotype" w:cs="Arial"/>
        </w:rPr>
        <w:t>A</w:t>
      </w:r>
      <w:r w:rsidRPr="00E80DB6">
        <w:rPr>
          <w:rFonts w:ascii="Palatino Linotype" w:hAnsi="Palatino Linotype" w:cs="Arial"/>
        </w:rPr>
        <w:t xml:space="preserve"> través de la referida solicitud</w:t>
      </w:r>
      <w:r>
        <w:rPr>
          <w:rFonts w:ascii="Palatino Linotype" w:hAnsi="Palatino Linotype" w:cs="Arial"/>
        </w:rPr>
        <w:t xml:space="preserve"> el particular </w:t>
      </w:r>
      <w:r w:rsidRPr="00E80DB6">
        <w:rPr>
          <w:rFonts w:ascii="Palatino Linotype" w:hAnsi="Palatino Linotype" w:cs="Arial"/>
        </w:rPr>
        <w:t xml:space="preserve"> le requirió a</w:t>
      </w:r>
      <w:r w:rsidR="00D83F3E">
        <w:rPr>
          <w:rFonts w:ascii="Palatino Linotype" w:hAnsi="Palatino Linotype" w:cs="Arial"/>
        </w:rPr>
        <w:t xml:space="preserve"> </w:t>
      </w:r>
      <w:r w:rsidRPr="00E80DB6">
        <w:rPr>
          <w:rFonts w:ascii="Palatino Linotype" w:hAnsi="Palatino Linotype" w:cs="Arial"/>
        </w:rPr>
        <w:t>l</w:t>
      </w:r>
      <w:r w:rsidR="00D83F3E">
        <w:rPr>
          <w:rFonts w:ascii="Palatino Linotype" w:hAnsi="Palatino Linotype" w:cs="Arial"/>
        </w:rPr>
        <w:t>a</w:t>
      </w:r>
      <w:r w:rsidRPr="00E80DB6">
        <w:rPr>
          <w:rFonts w:ascii="Palatino Linotype" w:hAnsi="Palatino Linotype" w:cs="Arial"/>
        </w:rPr>
        <w:t xml:space="preserve"> </w:t>
      </w:r>
      <w:r w:rsidR="00D83F3E">
        <w:rPr>
          <w:rFonts w:ascii="Palatino Linotype" w:hAnsi="Palatino Linotype" w:cs="Arial"/>
          <w:b/>
          <w:bCs/>
        </w:rPr>
        <w:t>Secretaría de la Contraloría</w:t>
      </w:r>
      <w:r w:rsidR="00D83F3E">
        <w:rPr>
          <w:rFonts w:ascii="Palatino Linotype" w:hAnsi="Palatino Linotype" w:cs="Arial"/>
          <w:b/>
          <w:bCs/>
        </w:rPr>
        <w:t xml:space="preserve"> </w:t>
      </w:r>
      <w:r w:rsidRPr="00E80DB6">
        <w:rPr>
          <w:rFonts w:ascii="Palatino Linotype" w:hAnsi="Palatino Linotype" w:cs="Arial"/>
        </w:rPr>
        <w:t>que le proporcionara la siguiente información:</w:t>
      </w:r>
    </w:p>
    <w:p w14:paraId="3C442DA8" w14:textId="77777777" w:rsidR="00D83F3E" w:rsidRPr="00370698" w:rsidRDefault="00D83F3E" w:rsidP="00D83F3E">
      <w:pPr>
        <w:pStyle w:val="Prrafodelista"/>
        <w:autoSpaceDE w:val="0"/>
        <w:autoSpaceDN w:val="0"/>
        <w:adjustRightInd w:val="0"/>
        <w:ind w:left="1077" w:right="1043"/>
        <w:jc w:val="both"/>
        <w:rPr>
          <w:rFonts w:ascii="Palatino Linotype" w:hAnsi="Palatino Linotype" w:cs="Arial"/>
          <w:i/>
        </w:rPr>
      </w:pPr>
      <w:r w:rsidRPr="00370698">
        <w:rPr>
          <w:rFonts w:ascii="Palatino Linotype" w:hAnsi="Palatino Linotype" w:cs="Arial"/>
          <w:i/>
        </w:rPr>
        <w:t>“</w:t>
      </w:r>
      <w:r w:rsidRPr="00370698">
        <w:rPr>
          <w:rFonts w:ascii="Palatino Linotype" w:hAnsi="Palatino Linotype" w:cs="Arial"/>
          <w:bCs/>
          <w:i/>
        </w:rPr>
        <w:t xml:space="preserve">Desde que llego de gobernador a la fecha que </w:t>
      </w:r>
      <w:proofErr w:type="spellStart"/>
      <w:r w:rsidRPr="00370698">
        <w:rPr>
          <w:rFonts w:ascii="Palatino Linotype" w:hAnsi="Palatino Linotype" w:cs="Arial"/>
          <w:bCs/>
          <w:i/>
        </w:rPr>
        <w:t>de</w:t>
      </w:r>
      <w:proofErr w:type="spellEnd"/>
      <w:r w:rsidRPr="00370698">
        <w:rPr>
          <w:rFonts w:ascii="Palatino Linotype" w:hAnsi="Palatino Linotype" w:cs="Arial"/>
          <w:bCs/>
          <w:i/>
        </w:rPr>
        <w:t xml:space="preserve"> respuesta / 1 cuanto invirtió en seguridad detallado con máxima publicidad , salarios, </w:t>
      </w:r>
      <w:proofErr w:type="spellStart"/>
      <w:r w:rsidRPr="00370698">
        <w:rPr>
          <w:rFonts w:ascii="Palatino Linotype" w:hAnsi="Palatino Linotype" w:cs="Arial"/>
          <w:bCs/>
          <w:i/>
        </w:rPr>
        <w:t>numero</w:t>
      </w:r>
      <w:proofErr w:type="spellEnd"/>
      <w:r w:rsidRPr="00370698">
        <w:rPr>
          <w:rFonts w:ascii="Palatino Linotype" w:hAnsi="Palatino Linotype" w:cs="Arial"/>
          <w:bCs/>
          <w:i/>
        </w:rPr>
        <w:t xml:space="preserve"> de trabajadores y monto erogado en bienes para seguridad, sin omitir contratos de patrullas, equipo para seguridad, capacitación y Cámaras en las poblaciones con su C5 , monto de recursos federales recibidos y en que se erogaron. En la FGJEDO, cuantas carpetas recibió por delitos cometidos </w:t>
      </w:r>
      <w:proofErr w:type="spellStart"/>
      <w:r w:rsidRPr="00370698">
        <w:rPr>
          <w:rFonts w:ascii="Palatino Linotype" w:hAnsi="Palatino Linotype" w:cs="Arial"/>
          <w:bCs/>
          <w:i/>
        </w:rPr>
        <w:t>cometidos</w:t>
      </w:r>
      <w:proofErr w:type="spellEnd"/>
      <w:r w:rsidRPr="00370698">
        <w:rPr>
          <w:rFonts w:ascii="Palatino Linotype" w:hAnsi="Palatino Linotype" w:cs="Arial"/>
          <w:bCs/>
          <w:i/>
        </w:rPr>
        <w:t xml:space="preserve"> contra mujeres y menores de edad, resultado concreto a la fecha de cada una de ellas. Cuantos funcionarios tienen para atender estos delitos., cuanto se </w:t>
      </w:r>
      <w:proofErr w:type="spellStart"/>
      <w:r w:rsidRPr="00370698">
        <w:rPr>
          <w:rFonts w:ascii="Palatino Linotype" w:hAnsi="Palatino Linotype" w:cs="Arial"/>
          <w:bCs/>
          <w:i/>
        </w:rPr>
        <w:t>gasto</w:t>
      </w:r>
      <w:proofErr w:type="spellEnd"/>
      <w:r w:rsidRPr="00370698">
        <w:rPr>
          <w:rFonts w:ascii="Palatino Linotype" w:hAnsi="Palatino Linotype" w:cs="Arial"/>
          <w:bCs/>
          <w:i/>
        </w:rPr>
        <w:t xml:space="preserve"> </w:t>
      </w:r>
      <w:r w:rsidRPr="00370698">
        <w:rPr>
          <w:rFonts w:ascii="Palatino Linotype" w:hAnsi="Palatino Linotype" w:cs="Arial"/>
          <w:bCs/>
          <w:i/>
        </w:rPr>
        <w:lastRenderedPageBreak/>
        <w:t xml:space="preserve">en salarios y compras de bienes para atender las carpetas o denuncias recibidas, que mejoras o acciones realizó para atender estos delitos, porque algunas oficinas que atienden a las mujeres o menores, parecen en estos días., centros de urgencias </w:t>
      </w:r>
      <w:proofErr w:type="spellStart"/>
      <w:r w:rsidRPr="00370698">
        <w:rPr>
          <w:rFonts w:ascii="Palatino Linotype" w:hAnsi="Palatino Linotype" w:cs="Arial"/>
          <w:bCs/>
          <w:i/>
        </w:rPr>
        <w:t>medicas</w:t>
      </w:r>
      <w:proofErr w:type="spellEnd"/>
      <w:r w:rsidRPr="00370698">
        <w:rPr>
          <w:rFonts w:ascii="Palatino Linotype" w:hAnsi="Palatino Linotype" w:cs="Arial"/>
          <w:bCs/>
          <w:i/>
        </w:rPr>
        <w:t xml:space="preserve"> de Cruz Roja u Hospital </w:t>
      </w:r>
      <w:proofErr w:type="spellStart"/>
      <w:r w:rsidRPr="00370698">
        <w:rPr>
          <w:rFonts w:ascii="Palatino Linotype" w:hAnsi="Palatino Linotype" w:cs="Arial"/>
          <w:bCs/>
          <w:i/>
        </w:rPr>
        <w:t>Xoco</w:t>
      </w:r>
      <w:proofErr w:type="spellEnd"/>
      <w:r w:rsidRPr="00370698">
        <w:rPr>
          <w:rFonts w:ascii="Palatino Linotype" w:hAnsi="Palatino Linotype" w:cs="Arial"/>
          <w:bCs/>
          <w:i/>
        </w:rPr>
        <w:t xml:space="preserve">, donde tienen evidente múltiples carencias de personal, médicos legistas, albergues o policías o </w:t>
      </w:r>
      <w:proofErr w:type="gramStart"/>
      <w:r w:rsidRPr="00370698">
        <w:rPr>
          <w:rFonts w:ascii="Palatino Linotype" w:hAnsi="Palatino Linotype" w:cs="Arial"/>
          <w:bCs/>
          <w:i/>
        </w:rPr>
        <w:t>personal .</w:t>
      </w:r>
      <w:proofErr w:type="gramEnd"/>
      <w:r w:rsidRPr="00370698">
        <w:rPr>
          <w:rFonts w:ascii="Palatino Linotype" w:hAnsi="Palatino Linotype" w:cs="Arial"/>
          <w:bCs/>
          <w:i/>
        </w:rPr>
        <w:t xml:space="preserve"> Como es posible que tenga en la FGJEDO., funcionarios con nexos evidentes y publicados con Narcotraficantes y carteles de altos niveles de delincuencia actuales., inclusive torturando u operando peor que los Halcones de la época del PRI de Luis Echevarría. Como gobernador sabe de los multimillonarios actos de corrupción., que generó su secretario de finanzas con Grupo Andrade y </w:t>
      </w:r>
      <w:proofErr w:type="spellStart"/>
      <w:r w:rsidRPr="00370698">
        <w:rPr>
          <w:rFonts w:ascii="Palatino Linotype" w:hAnsi="Palatino Linotype" w:cs="Arial"/>
          <w:bCs/>
          <w:i/>
        </w:rPr>
        <w:t>Seguritch</w:t>
      </w:r>
      <w:proofErr w:type="spellEnd"/>
      <w:r w:rsidRPr="00370698">
        <w:rPr>
          <w:rFonts w:ascii="Palatino Linotype" w:hAnsi="Palatino Linotype" w:cs="Arial"/>
          <w:bCs/>
          <w:i/>
        </w:rPr>
        <w:t xml:space="preserve"> entre otros y que su contraloría estatal se </w:t>
      </w:r>
      <w:proofErr w:type="spellStart"/>
      <w:r w:rsidRPr="00370698">
        <w:rPr>
          <w:rFonts w:ascii="Palatino Linotype" w:hAnsi="Palatino Linotype" w:cs="Arial"/>
          <w:bCs/>
          <w:i/>
        </w:rPr>
        <w:t>a</w:t>
      </w:r>
      <w:proofErr w:type="spellEnd"/>
      <w:r w:rsidRPr="00370698">
        <w:rPr>
          <w:rFonts w:ascii="Palatino Linotype" w:hAnsi="Palatino Linotype" w:cs="Arial"/>
          <w:bCs/>
          <w:i/>
        </w:rPr>
        <w:t xml:space="preserve"> dedicado a encubrir </w:t>
      </w:r>
      <w:proofErr w:type="gramStart"/>
      <w:r w:rsidRPr="00370698">
        <w:rPr>
          <w:rFonts w:ascii="Palatino Linotype" w:hAnsi="Palatino Linotype" w:cs="Arial"/>
          <w:bCs/>
          <w:i/>
        </w:rPr>
        <w:t>TODO .</w:t>
      </w:r>
      <w:proofErr w:type="gramEnd"/>
      <w:r w:rsidRPr="00370698">
        <w:rPr>
          <w:rFonts w:ascii="Palatino Linotype" w:hAnsi="Palatino Linotype" w:cs="Arial"/>
          <w:bCs/>
          <w:i/>
        </w:rPr>
        <w:t xml:space="preserve"> Informe de todas las cámaras de su C5, a cuantos delincuentes detuvieron gracias a una oportuna cámara vigilada y en cuantos expedientes los agentes del MP de toda la FGJEDO solicitaron las grabaciones y no fue su C5 para entregarlos, ni a los Juzgados . </w:t>
      </w:r>
      <w:proofErr w:type="spellStart"/>
      <w:r w:rsidRPr="00370698">
        <w:rPr>
          <w:rFonts w:ascii="Palatino Linotype" w:hAnsi="Palatino Linotype" w:cs="Arial"/>
          <w:bCs/>
          <w:i/>
        </w:rPr>
        <w:t>Que</w:t>
      </w:r>
      <w:proofErr w:type="spellEnd"/>
      <w:r w:rsidRPr="00370698">
        <w:rPr>
          <w:rFonts w:ascii="Palatino Linotype" w:hAnsi="Palatino Linotype" w:cs="Arial"/>
          <w:bCs/>
          <w:i/>
        </w:rPr>
        <w:t xml:space="preserve"> resultados concretos, tiene de los </w:t>
      </w:r>
      <w:proofErr w:type="spellStart"/>
      <w:r w:rsidRPr="00370698">
        <w:rPr>
          <w:rFonts w:ascii="Palatino Linotype" w:hAnsi="Palatino Linotype" w:cs="Arial"/>
          <w:bCs/>
          <w:i/>
        </w:rPr>
        <w:t>mas</w:t>
      </w:r>
      <w:proofErr w:type="spellEnd"/>
      <w:r w:rsidRPr="00370698">
        <w:rPr>
          <w:rFonts w:ascii="Palatino Linotype" w:hAnsi="Palatino Linotype" w:cs="Arial"/>
          <w:bCs/>
          <w:i/>
        </w:rPr>
        <w:t xml:space="preserve"> menos 20,000 millones de pesos gastados en cámaras de su C5 y los contratos de patrullas con Grupo Andrade direccionados y con sobre </w:t>
      </w:r>
      <w:proofErr w:type="gramStart"/>
      <w:r w:rsidRPr="00370698">
        <w:rPr>
          <w:rFonts w:ascii="Palatino Linotype" w:hAnsi="Palatino Linotype" w:cs="Arial"/>
          <w:bCs/>
          <w:i/>
        </w:rPr>
        <w:t>precios .</w:t>
      </w:r>
      <w:proofErr w:type="gramEnd"/>
      <w:r w:rsidRPr="00370698">
        <w:rPr>
          <w:rFonts w:ascii="Palatino Linotype" w:hAnsi="Palatino Linotype" w:cs="Arial"/>
          <w:bCs/>
          <w:i/>
        </w:rPr>
        <w:t xml:space="preserve"> </w:t>
      </w:r>
      <w:proofErr w:type="gramStart"/>
      <w:r w:rsidRPr="00370698">
        <w:rPr>
          <w:rFonts w:ascii="Palatino Linotype" w:hAnsi="Palatino Linotype" w:cs="Arial"/>
          <w:bCs/>
          <w:i/>
        </w:rPr>
        <w:t>porque</w:t>
      </w:r>
      <w:proofErr w:type="gramEnd"/>
      <w:r w:rsidRPr="00370698">
        <w:rPr>
          <w:rFonts w:ascii="Palatino Linotype" w:hAnsi="Palatino Linotype" w:cs="Arial"/>
          <w:bCs/>
          <w:i/>
        </w:rPr>
        <w:t xml:space="preserve"> no </w:t>
      </w:r>
      <w:proofErr w:type="spellStart"/>
      <w:r w:rsidRPr="00370698">
        <w:rPr>
          <w:rFonts w:ascii="Palatino Linotype" w:hAnsi="Palatino Linotype" w:cs="Arial"/>
          <w:bCs/>
          <w:i/>
        </w:rPr>
        <w:t>a</w:t>
      </w:r>
      <w:proofErr w:type="spellEnd"/>
      <w:r w:rsidRPr="00370698">
        <w:rPr>
          <w:rFonts w:ascii="Palatino Linotype" w:hAnsi="Palatino Linotype" w:cs="Arial"/>
          <w:bCs/>
          <w:i/>
        </w:rPr>
        <w:t xml:space="preserve"> invertido realmente en seguridad y atención en justicia o que mejor en la prevención de los delitos, contra las mujeres de su estado y sobre todo a los menores, / será que la seguridad y la impartición de justicia, es solo un negocio para que los funcionarios se conviertan en multimillonarios en un día con un contrato. Que harán si los investiga la UIF o pierde las elecciones </w:t>
      </w:r>
      <w:proofErr w:type="gramStart"/>
      <w:r w:rsidRPr="00370698">
        <w:rPr>
          <w:rFonts w:ascii="Palatino Linotype" w:hAnsi="Palatino Linotype" w:cs="Arial"/>
          <w:bCs/>
          <w:i/>
        </w:rPr>
        <w:t>..</w:t>
      </w:r>
      <w:proofErr w:type="gramEnd"/>
      <w:r w:rsidRPr="00370698">
        <w:rPr>
          <w:rFonts w:ascii="Palatino Linotype" w:hAnsi="Palatino Linotype" w:cs="Arial"/>
          <w:bCs/>
          <w:i/>
        </w:rPr>
        <w:t xml:space="preserve"> </w:t>
      </w:r>
      <w:r w:rsidRPr="00370698">
        <w:rPr>
          <w:rFonts w:ascii="Palatino Linotype" w:hAnsi="Palatino Linotype" w:cs="Arial"/>
          <w:b/>
          <w:i/>
          <w:u w:val="single"/>
        </w:rPr>
        <w:t xml:space="preserve">Que </w:t>
      </w:r>
      <w:proofErr w:type="spellStart"/>
      <w:r w:rsidRPr="00370698">
        <w:rPr>
          <w:rFonts w:ascii="Palatino Linotype" w:hAnsi="Palatino Linotype" w:cs="Arial"/>
          <w:b/>
          <w:i/>
          <w:u w:val="single"/>
        </w:rPr>
        <w:t>a</w:t>
      </w:r>
      <w:proofErr w:type="spellEnd"/>
      <w:r w:rsidRPr="00370698">
        <w:rPr>
          <w:rFonts w:ascii="Palatino Linotype" w:hAnsi="Palatino Linotype" w:cs="Arial"/>
          <w:b/>
          <w:i/>
          <w:u w:val="single"/>
        </w:rPr>
        <w:t xml:space="preserve"> hecho el congreso del estado, al respecto o con su auditoría superior del estado, la cual por cierto ya confirmó las irregularidades de su contrato de renta de patrullas y vehículos con Integra Arrenda</w:t>
      </w:r>
      <w:r w:rsidRPr="00370698">
        <w:rPr>
          <w:rFonts w:ascii="Palatino Linotype" w:hAnsi="Palatino Linotype" w:cs="Arial"/>
          <w:bCs/>
          <w:i/>
        </w:rPr>
        <w:t xml:space="preserve"> </w:t>
      </w:r>
      <w:r w:rsidRPr="00370698">
        <w:rPr>
          <w:rFonts w:ascii="Palatino Linotype" w:hAnsi="Palatino Linotype" w:cs="Arial"/>
          <w:b/>
          <w:i/>
          <w:u w:val="single"/>
        </w:rPr>
        <w:t>y la contraloría estatal que informe, que hizo al respecto</w:t>
      </w:r>
      <w:r w:rsidRPr="00370698">
        <w:rPr>
          <w:rFonts w:ascii="Palatino Linotype" w:hAnsi="Palatino Linotype" w:cs="Arial"/>
          <w:bCs/>
          <w:i/>
        </w:rPr>
        <w:t xml:space="preserve"> o ya </w:t>
      </w:r>
      <w:proofErr w:type="spellStart"/>
      <w:r w:rsidRPr="00370698">
        <w:rPr>
          <w:rFonts w:ascii="Palatino Linotype" w:hAnsi="Palatino Linotype" w:cs="Arial"/>
          <w:bCs/>
          <w:i/>
        </w:rPr>
        <w:t>estan</w:t>
      </w:r>
      <w:proofErr w:type="spellEnd"/>
      <w:r w:rsidRPr="00370698">
        <w:rPr>
          <w:rFonts w:ascii="Palatino Linotype" w:hAnsi="Palatino Linotype" w:cs="Arial"/>
          <w:bCs/>
          <w:i/>
        </w:rPr>
        <w:t xml:space="preserve"> preparando otro contrato con Grupo Andrade direccionado y con sobre precios, porque ya se vence el de 2,000 millones de </w:t>
      </w:r>
      <w:proofErr w:type="gramStart"/>
      <w:r w:rsidRPr="00370698">
        <w:rPr>
          <w:rFonts w:ascii="Palatino Linotype" w:hAnsi="Palatino Linotype" w:cs="Arial"/>
          <w:bCs/>
          <w:i/>
        </w:rPr>
        <w:t>pesos .</w:t>
      </w:r>
      <w:proofErr w:type="gramEnd"/>
      <w:r w:rsidRPr="00370698">
        <w:rPr>
          <w:rFonts w:ascii="Palatino Linotype" w:hAnsi="Palatino Linotype" w:cs="Arial"/>
          <w:bCs/>
          <w:i/>
        </w:rPr>
        <w:t xml:space="preserve"> Que el poder judicial informe, cuantas carpetas se judicializó sobre estos afectados y cuantos </w:t>
      </w:r>
      <w:proofErr w:type="spellStart"/>
      <w:r w:rsidRPr="00370698">
        <w:rPr>
          <w:rFonts w:ascii="Palatino Linotype" w:hAnsi="Palatino Linotype" w:cs="Arial"/>
          <w:bCs/>
          <w:i/>
        </w:rPr>
        <w:t>vidéos</w:t>
      </w:r>
      <w:proofErr w:type="spellEnd"/>
      <w:r w:rsidRPr="00370698">
        <w:rPr>
          <w:rFonts w:ascii="Palatino Linotype" w:hAnsi="Palatino Linotype" w:cs="Arial"/>
          <w:bCs/>
          <w:i/>
        </w:rPr>
        <w:t xml:space="preserve"> de las cámaras, ha recibido que sirvieran como prueba concreta para acreditar un delito, junto con su C5 y sus secretarias de Seguridad y FGJCDMX Su comisión de derechos humanos, cuantas quejas a atendido y que resultados concretos tienen al respecto, para proteger al Menor o a la Mujer de esta administración de Alfredo del Mazo El poder judicial cuantas quejas han recibido contra jueces corruptos o por acciones contra mujer o los menores de edad , resultados concretos a la fecha. </w:t>
      </w:r>
      <w:proofErr w:type="gramStart"/>
      <w:r w:rsidRPr="00370698">
        <w:rPr>
          <w:rFonts w:ascii="Palatino Linotype" w:hAnsi="Palatino Linotype" w:cs="Arial"/>
          <w:bCs/>
          <w:i/>
        </w:rPr>
        <w:t>jueces</w:t>
      </w:r>
      <w:proofErr w:type="gramEnd"/>
      <w:r w:rsidRPr="00370698">
        <w:rPr>
          <w:rFonts w:ascii="Palatino Linotype" w:hAnsi="Palatino Linotype" w:cs="Arial"/>
          <w:bCs/>
          <w:i/>
        </w:rPr>
        <w:t xml:space="preserve"> destituidos por corrupción o enriquecimiento inexplicable o </w:t>
      </w:r>
      <w:proofErr w:type="spellStart"/>
      <w:r w:rsidRPr="00370698">
        <w:rPr>
          <w:rFonts w:ascii="Palatino Linotype" w:hAnsi="Palatino Linotype" w:cs="Arial"/>
          <w:bCs/>
          <w:i/>
        </w:rPr>
        <w:t>mas</w:t>
      </w:r>
      <w:proofErr w:type="spellEnd"/>
      <w:r w:rsidRPr="00370698">
        <w:rPr>
          <w:rFonts w:ascii="Palatino Linotype" w:hAnsi="Palatino Linotype" w:cs="Arial"/>
          <w:bCs/>
          <w:i/>
        </w:rPr>
        <w:t xml:space="preserve"> bien por hacer negocios con la justicia.</w:t>
      </w:r>
      <w:r w:rsidRPr="00370698">
        <w:rPr>
          <w:rFonts w:ascii="Palatino Linotype" w:hAnsi="Palatino Linotype" w:cs="Arial"/>
          <w:i/>
        </w:rPr>
        <w:t>“(</w:t>
      </w:r>
      <w:proofErr w:type="gramStart"/>
      <w:r w:rsidRPr="00370698">
        <w:rPr>
          <w:rFonts w:ascii="Palatino Linotype" w:hAnsi="Palatino Linotype" w:cs="Arial"/>
          <w:i/>
        </w:rPr>
        <w:t>sic</w:t>
      </w:r>
      <w:proofErr w:type="gramEnd"/>
      <w:r w:rsidRPr="00370698">
        <w:rPr>
          <w:rFonts w:ascii="Palatino Linotype" w:hAnsi="Palatino Linotype" w:cs="Arial"/>
          <w:i/>
        </w:rPr>
        <w:t>)</w:t>
      </w:r>
    </w:p>
    <w:p w14:paraId="68A616F4" w14:textId="07F44EBA" w:rsidR="00B15CF6" w:rsidRDefault="00D83F3E" w:rsidP="003721F5">
      <w:pPr>
        <w:shd w:val="clear" w:color="auto" w:fill="FFFFFF"/>
        <w:spacing w:before="240" w:after="240" w:line="360" w:lineRule="auto"/>
        <w:ind w:left="426"/>
        <w:jc w:val="both"/>
        <w:rPr>
          <w:rFonts w:ascii="Palatino Linotype" w:hAnsi="Palatino Linotype" w:cs="Arial"/>
        </w:rPr>
      </w:pPr>
      <w:r w:rsidRPr="00370698">
        <w:rPr>
          <w:rFonts w:ascii="Palatino Linotype" w:hAnsi="Palatino Linotype" w:cs="Arial"/>
          <w:b/>
        </w:rPr>
        <w:lastRenderedPageBreak/>
        <w:t xml:space="preserve">El Sujeto Obligado </w:t>
      </w:r>
      <w:r w:rsidRPr="00370698">
        <w:rPr>
          <w:rFonts w:ascii="Palatino Linotype" w:hAnsi="Palatino Linotype" w:cs="Arial"/>
        </w:rPr>
        <w:t>en fecha veintiocho de abril de dos mil veintiuno, emitió respuesta,</w:t>
      </w:r>
      <w:r w:rsidR="009046BF" w:rsidRPr="009046BF">
        <w:t xml:space="preserve"> </w:t>
      </w:r>
      <w:r w:rsidR="009046BF">
        <w:t xml:space="preserve">anexando </w:t>
      </w:r>
      <w:r w:rsidR="009046BF" w:rsidRPr="009046BF">
        <w:rPr>
          <w:rFonts w:ascii="Palatino Linotype" w:hAnsi="Palatino Linotype" w:cs="Arial"/>
        </w:rPr>
        <w:t xml:space="preserve">el acuerdo de orientación de fecha veinticinco de abril de dos mil veintiuno, a través del </w:t>
      </w:r>
      <w:r w:rsidR="00C51A45">
        <w:rPr>
          <w:rFonts w:ascii="Palatino Linotype" w:hAnsi="Palatino Linotype" w:cs="Arial"/>
        </w:rPr>
        <w:t xml:space="preserve">cual </w:t>
      </w:r>
      <w:r w:rsidR="009046BF" w:rsidRPr="009046BF">
        <w:rPr>
          <w:rFonts w:ascii="Palatino Linotype" w:hAnsi="Palatino Linotype" w:cs="Arial"/>
        </w:rPr>
        <w:t xml:space="preserve">refiere sustancialmente que del análisis realizado a sus requerimiento advierte que manifiesta cuestionamientos que no están encaminados a obtener acceso a documentos generados, poseídos o administrados por </w:t>
      </w:r>
      <w:r w:rsidR="00C51A45">
        <w:rPr>
          <w:rFonts w:ascii="Palatino Linotype" w:hAnsi="Palatino Linotype" w:cs="Arial"/>
        </w:rPr>
        <w:t>el mismo</w:t>
      </w:r>
      <w:r w:rsidR="009046BF" w:rsidRPr="009046BF">
        <w:rPr>
          <w:rFonts w:ascii="Palatino Linotype" w:hAnsi="Palatino Linotype" w:cs="Arial"/>
        </w:rPr>
        <w:t>; ya que pretende que se pronuncie o actúe respecto a su inquietud o cuestionamiento; y que se elabore un do</w:t>
      </w:r>
      <w:r w:rsidR="00C51A45">
        <w:rPr>
          <w:rFonts w:ascii="Palatino Linotype" w:hAnsi="Palatino Linotype" w:cs="Arial"/>
        </w:rPr>
        <w:t>cumento ad hoc, a</w:t>
      </w:r>
      <w:r w:rsidR="009046BF" w:rsidRPr="009046BF">
        <w:rPr>
          <w:rFonts w:ascii="Palatino Linotype" w:hAnsi="Palatino Linotype" w:cs="Arial"/>
        </w:rPr>
        <w:t>grega</w:t>
      </w:r>
      <w:r w:rsidR="00C51A45">
        <w:rPr>
          <w:rFonts w:ascii="Palatino Linotype" w:hAnsi="Palatino Linotype" w:cs="Arial"/>
        </w:rPr>
        <w:t xml:space="preserve"> </w:t>
      </w:r>
      <w:r w:rsidR="009046BF" w:rsidRPr="009046BF">
        <w:rPr>
          <w:rFonts w:ascii="Palatino Linotype" w:hAnsi="Palatino Linotype" w:cs="Arial"/>
        </w:rPr>
        <w:t>que la información solicitada no corresponde a la que genera, administra y posee y, contemplando el contenido de su requerimiento refiere que la misma puede encontrarse en poder de diversos Sujetos Obligados, siendo estos: Secretaría de Finanzas, Secretaría de   Seguridad, Fiscalía General de Justicia del Estado de México, el Poder Legislativo y Poder Judicial, de los cuales proporciona los domicilios de las Unidades de Transparencia de los Sujetos Obligados antes mencionados, por si es su deseo presentar sus solicitudes directamente ante la Unidad de Transparencia de cada uno de ellos, explicando el procedimiento que debe realizar para presentar la o las solicitudes mediante la Plataforma Nacional de Transparencia (PNT).</w:t>
      </w:r>
      <w:r w:rsidR="009046BF">
        <w:rPr>
          <w:rFonts w:ascii="Palatino Linotype" w:hAnsi="Palatino Linotype" w:cs="Arial"/>
        </w:rPr>
        <w:t xml:space="preserve">  </w:t>
      </w:r>
    </w:p>
    <w:p w14:paraId="01DB3527" w14:textId="2F02D93A" w:rsidR="009046BF" w:rsidRDefault="009046BF" w:rsidP="003721F5">
      <w:pPr>
        <w:tabs>
          <w:tab w:val="left" w:pos="709"/>
        </w:tabs>
        <w:spacing w:line="360" w:lineRule="auto"/>
        <w:ind w:left="426"/>
        <w:jc w:val="both"/>
        <w:rPr>
          <w:rFonts w:ascii="Palatino Linotype" w:hAnsi="Palatino Linotype"/>
        </w:rPr>
      </w:pPr>
      <w:r>
        <w:rPr>
          <w:rFonts w:ascii="Palatino Linotype" w:hAnsi="Palatino Linotype"/>
        </w:rPr>
        <w:t xml:space="preserve">Al estar inconforme con la respuesta, el </w:t>
      </w:r>
      <w:r w:rsidR="00C51A45">
        <w:rPr>
          <w:rFonts w:ascii="Palatino Linotype" w:hAnsi="Palatino Linotype"/>
        </w:rPr>
        <w:t>solicitante</w:t>
      </w:r>
      <w:r>
        <w:rPr>
          <w:rFonts w:ascii="Palatino Linotype" w:hAnsi="Palatino Linotype"/>
        </w:rPr>
        <w:t xml:space="preserve"> interpuso </w:t>
      </w:r>
      <w:r>
        <w:rPr>
          <w:rFonts w:ascii="Palatino Linotype" w:hAnsi="Palatino Linotype"/>
        </w:rPr>
        <w:t xml:space="preserve">recurso de revisión </w:t>
      </w:r>
      <w:r>
        <w:rPr>
          <w:rFonts w:ascii="Palatino Linotype" w:hAnsi="Palatino Linotype"/>
        </w:rPr>
        <w:t xml:space="preserve">manifestando como acto impugnado y motivos de inconformidad sustancialmente que el Sujeto Obligado no dio respuesta a todos y cada uno de los puntos que son de su competencia, toda vez que la </w:t>
      </w:r>
      <w:r>
        <w:rPr>
          <w:rFonts w:ascii="Palatino Linotype" w:hAnsi="Palatino Linotype"/>
          <w:b/>
          <w:i/>
        </w:rPr>
        <w:t>Auditoría Superior del Estado</w:t>
      </w:r>
      <w:r>
        <w:rPr>
          <w:rFonts w:ascii="Palatino Linotype" w:hAnsi="Palatino Linotype"/>
          <w:i/>
        </w:rPr>
        <w:t xml:space="preserve"> </w:t>
      </w:r>
      <w:r>
        <w:rPr>
          <w:rFonts w:ascii="Palatino Linotype" w:hAnsi="Palatino Linotype"/>
          <w:b/>
          <w:bCs/>
          <w:i/>
          <w:u w:val="single"/>
        </w:rPr>
        <w:t>confirmo el fraude en la renta de patrullas y vehículos a Grupo Andrade o sea integra Arrenda</w:t>
      </w:r>
      <w:r>
        <w:rPr>
          <w:rFonts w:ascii="Palatino Linotype" w:hAnsi="Palatino Linotype"/>
        </w:rPr>
        <w:t xml:space="preserve">, por lo que se concluye que desea que la Secretaría de la Contraloría del Estado informe que hizo al respecto, </w:t>
      </w:r>
      <w:r>
        <w:rPr>
          <w:rFonts w:ascii="Palatino Linotype" w:hAnsi="Palatino Linotype"/>
        </w:rPr>
        <w:lastRenderedPageBreak/>
        <w:t xml:space="preserve">entregando en su caso el soporte documental que hubiese generado con motivo de los hechos referidos por el recurrente, sin embargo el Sujeto Obligado omitió precisar si genera, administra o posee la información. </w:t>
      </w:r>
    </w:p>
    <w:p w14:paraId="05BBFBA3" w14:textId="77777777" w:rsidR="009046BF" w:rsidRPr="00E80DB6" w:rsidRDefault="009046BF" w:rsidP="003721F5">
      <w:pPr>
        <w:shd w:val="clear" w:color="auto" w:fill="FFFFFF"/>
        <w:spacing w:line="360" w:lineRule="auto"/>
        <w:ind w:left="426"/>
        <w:jc w:val="both"/>
        <w:rPr>
          <w:rFonts w:ascii="Palatino Linotype" w:hAnsi="Palatino Linotype" w:cs="Arial"/>
          <w:lang w:eastAsia="es-MX"/>
        </w:rPr>
      </w:pPr>
    </w:p>
    <w:p w14:paraId="73BF29BF" w14:textId="3D4CBCF4" w:rsidR="0024476F" w:rsidRPr="00C51A45" w:rsidRDefault="0024476F" w:rsidP="003721F5">
      <w:pPr>
        <w:pStyle w:val="NormalWeb"/>
        <w:spacing w:before="0" w:beforeAutospacing="0" w:after="0" w:afterAutospacing="0" w:line="360" w:lineRule="auto"/>
        <w:ind w:left="426"/>
        <w:jc w:val="both"/>
        <w:rPr>
          <w:rFonts w:ascii="Palatino Linotype" w:eastAsia="Times New Roman" w:hAnsi="Palatino Linotype"/>
          <w:lang w:val="es-ES" w:eastAsia="es-ES"/>
        </w:rPr>
      </w:pPr>
      <w:r w:rsidRPr="00C51A45">
        <w:rPr>
          <w:rFonts w:ascii="Palatino Linotype" w:eastAsia="Times New Roman" w:hAnsi="Palatino Linotype"/>
          <w:lang w:val="es-ES" w:eastAsia="es-ES"/>
        </w:rPr>
        <w:t>Por lo que previa sustanciación del recurso, se determinó ordenar la entrega, de lo siguiente:</w:t>
      </w:r>
    </w:p>
    <w:p w14:paraId="3F1831F2" w14:textId="77777777" w:rsidR="009046BF" w:rsidRPr="00C51A45" w:rsidRDefault="009046BF" w:rsidP="003721F5">
      <w:pPr>
        <w:numPr>
          <w:ilvl w:val="0"/>
          <w:numId w:val="13"/>
        </w:numPr>
        <w:spacing w:before="240" w:after="240" w:line="360" w:lineRule="auto"/>
        <w:ind w:left="426" w:firstLine="0"/>
        <w:jc w:val="both"/>
        <w:rPr>
          <w:rFonts w:ascii="Palatino Linotype" w:hAnsi="Palatino Linotype"/>
        </w:rPr>
      </w:pPr>
      <w:r w:rsidRPr="00C51A45">
        <w:rPr>
          <w:rFonts w:ascii="Palatino Linotype" w:hAnsi="Palatino Linotype"/>
        </w:rPr>
        <w:t>Soporte documental en donde conste las acciones realizadas por el Sujeto Obligado en relación con irregularidades relacionadas con el contrato de renta de patrullas y vehículos con Integra Arrenda, siempre y cuando hayan causado estado.</w:t>
      </w:r>
    </w:p>
    <w:p w14:paraId="492D93D0" w14:textId="0E24E60D" w:rsidR="009046BF" w:rsidRPr="00E80DB6" w:rsidRDefault="00C51A45" w:rsidP="003721F5">
      <w:pPr>
        <w:pBdr>
          <w:top w:val="nil"/>
          <w:left w:val="nil"/>
          <w:bottom w:val="nil"/>
          <w:right w:val="nil"/>
          <w:between w:val="nil"/>
        </w:pBdr>
        <w:spacing w:line="360" w:lineRule="auto"/>
        <w:ind w:left="426" w:right="49"/>
        <w:jc w:val="both"/>
        <w:rPr>
          <w:rFonts w:ascii="Palatino Linotype" w:eastAsiaTheme="minorEastAsia" w:hAnsi="Palatino Linotype"/>
          <w:bCs/>
        </w:rPr>
      </w:pPr>
      <w:r>
        <w:rPr>
          <w:rFonts w:ascii="Palatino Linotype" w:eastAsiaTheme="minorEastAsia" w:hAnsi="Palatino Linotype"/>
        </w:rPr>
        <w:t>La resolución ,a</w:t>
      </w:r>
      <w:r w:rsidR="003721F5" w:rsidRPr="003721F5">
        <w:rPr>
          <w:rFonts w:ascii="Palatino Linotype" w:eastAsiaTheme="minorEastAsia" w:hAnsi="Palatino Linotype"/>
        </w:rPr>
        <w:t>naliza en el resolutivo quinto lo correspondiente a los p</w:t>
      </w:r>
      <w:r w:rsidR="009046BF" w:rsidRPr="003721F5">
        <w:rPr>
          <w:rFonts w:ascii="Palatino Linotype" w:eastAsiaTheme="minorEastAsia" w:hAnsi="Palatino Linotype"/>
        </w:rPr>
        <w:t>rocedimientos de sanciones graves absolutorias, concluidos</w:t>
      </w:r>
      <w:r w:rsidR="003721F5" w:rsidRPr="003721F5">
        <w:rPr>
          <w:rFonts w:ascii="Palatino Linotype" w:eastAsiaTheme="minorEastAsia" w:hAnsi="Palatino Linotype"/>
        </w:rPr>
        <w:t>, refiriendo que si</w:t>
      </w:r>
      <w:r w:rsidR="009046BF" w:rsidRPr="00E80DB6">
        <w:rPr>
          <w:rFonts w:ascii="Palatino Linotype" w:eastAsiaTheme="minorEastAsia" w:hAnsi="Palatino Linotype"/>
        </w:rPr>
        <w:t xml:space="preserve"> </w:t>
      </w:r>
      <w:r w:rsidR="009046BF">
        <w:rPr>
          <w:rFonts w:ascii="Palatino Linotype" w:eastAsiaTheme="minorEastAsia" w:hAnsi="Palatino Linotype"/>
        </w:rPr>
        <w:t>lo requerido por el particular, está</w:t>
      </w:r>
      <w:r w:rsidR="009046BF" w:rsidRPr="00E80DB6">
        <w:rPr>
          <w:rFonts w:ascii="Palatino Linotype" w:eastAsiaTheme="minorEastAsia" w:hAnsi="Palatino Linotype"/>
        </w:rPr>
        <w:t xml:space="preserve"> </w:t>
      </w:r>
      <w:r w:rsidR="009046BF">
        <w:rPr>
          <w:rFonts w:ascii="Palatino Linotype" w:eastAsiaTheme="minorEastAsia" w:hAnsi="Palatino Linotype"/>
        </w:rPr>
        <w:t xml:space="preserve">relacionado con </w:t>
      </w:r>
      <w:r w:rsidR="009046BF" w:rsidRPr="00E80DB6">
        <w:rPr>
          <w:rFonts w:ascii="Palatino Linotype" w:eastAsiaTheme="minorEastAsia" w:hAnsi="Palatino Linotype"/>
        </w:rPr>
        <w:t xml:space="preserve">expedientes encuadren en el presente caso se procederá a su acceso en versión pública, protegiendo el nombre, cargo y área de adscripción del Servidor Público absuelto y aquellos datos personales que hagan identificable a una persona, </w:t>
      </w:r>
      <w:r w:rsidR="009046BF" w:rsidRPr="00E80DB6">
        <w:rPr>
          <w:rFonts w:ascii="Palatino Linotype" w:eastAsiaTheme="minorEastAsia" w:hAnsi="Palatino Linotype"/>
          <w:bCs/>
        </w:rPr>
        <w:t>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48C6AD3" w14:textId="77777777" w:rsidR="009046BF" w:rsidRPr="00E80DB6" w:rsidRDefault="009046BF" w:rsidP="003721F5">
      <w:pPr>
        <w:spacing w:line="360" w:lineRule="auto"/>
        <w:ind w:left="426"/>
        <w:contextualSpacing/>
        <w:jc w:val="both"/>
        <w:rPr>
          <w:rFonts w:ascii="Palatino Linotype" w:eastAsiaTheme="minorEastAsia" w:hAnsi="Palatino Linotype"/>
        </w:rPr>
      </w:pPr>
    </w:p>
    <w:p w14:paraId="4679BD0F" w14:textId="3B9C0A1C" w:rsidR="00FE5F5E" w:rsidRDefault="00FE5F5E" w:rsidP="003721F5">
      <w:pPr>
        <w:pStyle w:val="NormalWeb"/>
        <w:spacing w:before="0" w:beforeAutospacing="0" w:after="0" w:afterAutospacing="0" w:line="360" w:lineRule="auto"/>
        <w:ind w:left="426"/>
        <w:jc w:val="both"/>
        <w:rPr>
          <w:rFonts w:ascii="Palatino Linotype" w:hAnsi="Palatino Linotype"/>
        </w:rPr>
      </w:pPr>
      <w:r w:rsidRPr="00FE5F5E">
        <w:rPr>
          <w:rFonts w:ascii="Palatino Linotype" w:hAnsi="Palatino Linotype"/>
        </w:rPr>
        <w:t xml:space="preserve">Por </w:t>
      </w:r>
      <w:r w:rsidR="003721F5">
        <w:rPr>
          <w:rFonts w:ascii="Palatino Linotype" w:hAnsi="Palatino Linotype"/>
        </w:rPr>
        <w:t xml:space="preserve">lo anterior, </w:t>
      </w:r>
      <w:r w:rsidRPr="00FE5F5E">
        <w:rPr>
          <w:rFonts w:ascii="Palatino Linotype" w:hAnsi="Palatino Linotype"/>
        </w:rPr>
        <w:t xml:space="preserve"> no se comparte realizar la clasificación como confidencial del nombre y cargo, toda vez que </w:t>
      </w:r>
      <w:bookmarkEnd w:id="1"/>
      <w:r w:rsidRPr="00FE5F5E">
        <w:rPr>
          <w:rFonts w:ascii="Palatino Linotype" w:hAnsi="Palatino Linotype"/>
        </w:rPr>
        <w:t>l</w:t>
      </w:r>
      <w:r w:rsidR="00912C77" w:rsidRPr="009565F9">
        <w:rPr>
          <w:rFonts w:ascii="Palatino Linotype" w:hAnsi="Palatino Linotype"/>
        </w:rPr>
        <w:t xml:space="preserve">as </w:t>
      </w:r>
      <w:r w:rsidR="00A02002" w:rsidRPr="009565F9">
        <w:rPr>
          <w:rFonts w:ascii="Palatino Linotype" w:hAnsi="Palatino Linotype"/>
        </w:rPr>
        <w:t xml:space="preserve">determinaciones en donde la conducta investigada no fue contraria </w:t>
      </w:r>
      <w:r w:rsidR="00A02002" w:rsidRPr="009565F9">
        <w:rPr>
          <w:rFonts w:ascii="Palatino Linotype" w:hAnsi="Palatino Linotype"/>
        </w:rPr>
        <w:lastRenderedPageBreak/>
        <w:t xml:space="preserve">en derecho; </w:t>
      </w:r>
      <w:r w:rsidR="00912C77" w:rsidRPr="009565F9">
        <w:rPr>
          <w:rFonts w:ascii="Palatino Linotype" w:hAnsi="Palatino Linotype"/>
        </w:rPr>
        <w:t xml:space="preserve">donde se </w:t>
      </w:r>
      <w:r w:rsidR="00A02002" w:rsidRPr="009565F9">
        <w:rPr>
          <w:rFonts w:ascii="Palatino Linotype" w:hAnsi="Palatino Linotype"/>
        </w:rPr>
        <w:t>logra apreciar los elementos y las circunstancias que llevaron a concluir que a l</w:t>
      </w:r>
      <w:r w:rsidR="00912C77" w:rsidRPr="009565F9">
        <w:rPr>
          <w:rFonts w:ascii="Palatino Linotype" w:hAnsi="Palatino Linotype"/>
        </w:rPr>
        <w:t>os servidores públicos</w:t>
      </w:r>
      <w:r w:rsidR="00A02002" w:rsidRPr="009565F9">
        <w:rPr>
          <w:rFonts w:ascii="Palatino Linotype" w:hAnsi="Palatino Linotype"/>
        </w:rPr>
        <w:t>, no le eran imputables las conductas</w:t>
      </w:r>
      <w:r w:rsidR="00912C77" w:rsidRPr="009565F9">
        <w:rPr>
          <w:rFonts w:ascii="Palatino Linotype" w:hAnsi="Palatino Linotype"/>
        </w:rPr>
        <w:t xml:space="preserve"> que se le atribuían, permite</w:t>
      </w:r>
      <w:r w:rsidR="00A02002" w:rsidRPr="009565F9">
        <w:rPr>
          <w:rFonts w:ascii="Palatino Linotype" w:hAnsi="Palatino Linotype"/>
        </w:rPr>
        <w:t xml:space="preserve"> la rendición de cuentas del servidor público, pues se podría observar, que dicho </w:t>
      </w:r>
      <w:r w:rsidR="003721F5">
        <w:rPr>
          <w:rFonts w:ascii="Palatino Linotype" w:hAnsi="Palatino Linotype"/>
        </w:rPr>
        <w:t>servidor público</w:t>
      </w:r>
      <w:r w:rsidR="00A02002" w:rsidRPr="009565F9">
        <w:rPr>
          <w:rFonts w:ascii="Palatino Linotype" w:hAnsi="Palatino Linotype"/>
        </w:rPr>
        <w:t xml:space="preserve">, </w:t>
      </w:r>
      <w:r w:rsidR="00912C77" w:rsidRPr="009565F9">
        <w:rPr>
          <w:rFonts w:ascii="Palatino Linotype" w:hAnsi="Palatino Linotype"/>
        </w:rPr>
        <w:t>ha cumplido con sus obligaciones y no</w:t>
      </w:r>
      <w:r w:rsidR="00A02002" w:rsidRPr="009565F9">
        <w:rPr>
          <w:rFonts w:ascii="Palatino Linotype" w:hAnsi="Palatino Linotype"/>
        </w:rPr>
        <w:t xml:space="preserve"> ha cometido actos irregulares y ha actuado conforme a las normatividad aplicable. </w:t>
      </w:r>
    </w:p>
    <w:p w14:paraId="3D258503" w14:textId="77777777" w:rsidR="00B15CF6" w:rsidRDefault="00B15CF6" w:rsidP="003721F5">
      <w:pPr>
        <w:pStyle w:val="NormalWeb"/>
        <w:spacing w:before="0" w:beforeAutospacing="0" w:after="0" w:afterAutospacing="0" w:line="360" w:lineRule="auto"/>
        <w:ind w:left="360"/>
        <w:jc w:val="both"/>
        <w:rPr>
          <w:rFonts w:ascii="Palatino Linotype" w:hAnsi="Palatino Linotype"/>
        </w:rPr>
      </w:pPr>
    </w:p>
    <w:p w14:paraId="69F70AF4" w14:textId="3C9FE7AF" w:rsidR="00FE5F5E" w:rsidRDefault="00A02002" w:rsidP="003721F5">
      <w:pPr>
        <w:pStyle w:val="NormalWeb"/>
        <w:spacing w:before="0" w:beforeAutospacing="0" w:after="0" w:afterAutospacing="0" w:line="360" w:lineRule="auto"/>
        <w:ind w:left="360"/>
        <w:jc w:val="both"/>
        <w:rPr>
          <w:rFonts w:ascii="Palatino Linotype" w:hAnsi="Palatino Linotype"/>
        </w:rPr>
      </w:pPr>
      <w:r w:rsidRPr="00FE5F5E">
        <w:rPr>
          <w:rFonts w:ascii="Palatino Linotype" w:hAnsi="Palatino Linotype"/>
        </w:rPr>
        <w:t xml:space="preserve">Además, proporcionar dicha información, </w:t>
      </w:r>
      <w:r w:rsidR="003721F5">
        <w:rPr>
          <w:rFonts w:ascii="Palatino Linotype" w:hAnsi="Palatino Linotype"/>
        </w:rPr>
        <w:t>no generar</w:t>
      </w:r>
      <w:r w:rsidRPr="00FE5F5E">
        <w:rPr>
          <w:rFonts w:ascii="Palatino Linotype" w:hAnsi="Palatino Linotype"/>
        </w:rPr>
        <w:t>a una afectación a su honor, intimidad o buena imagen, pues contrario a esto, a través de la resolución, es posible conocer que la actuación de</w:t>
      </w:r>
      <w:r w:rsidR="003721F5">
        <w:rPr>
          <w:rFonts w:ascii="Palatino Linotype" w:hAnsi="Palatino Linotype"/>
        </w:rPr>
        <w:t xml:space="preserve">l  </w:t>
      </w:r>
      <w:r w:rsidR="003721F5">
        <w:rPr>
          <w:rFonts w:ascii="Palatino Linotype" w:hAnsi="Palatino Linotype"/>
        </w:rPr>
        <w:t>servidor público</w:t>
      </w:r>
      <w:r w:rsidRPr="00FE5F5E">
        <w:rPr>
          <w:rFonts w:ascii="Palatino Linotype" w:hAnsi="Palatino Linotype"/>
        </w:rPr>
        <w:t xml:space="preserve">, fue apegada a la normatividad aplicable, esto es, que ha ejercido su cargo, de manera honesta, responsable y conforme a lo establecido en las diversas disposiciones. </w:t>
      </w:r>
    </w:p>
    <w:p w14:paraId="636CABCA" w14:textId="77777777" w:rsidR="00B15CF6" w:rsidRDefault="00B15CF6" w:rsidP="003721F5">
      <w:pPr>
        <w:pStyle w:val="NormalWeb"/>
        <w:spacing w:before="0" w:beforeAutospacing="0" w:after="0" w:afterAutospacing="0" w:line="360" w:lineRule="auto"/>
        <w:ind w:left="360"/>
        <w:jc w:val="both"/>
        <w:rPr>
          <w:rFonts w:ascii="Palatino Linotype" w:hAnsi="Palatino Linotype"/>
        </w:rPr>
      </w:pPr>
    </w:p>
    <w:p w14:paraId="08AFDFCB" w14:textId="77777777" w:rsidR="00FE5F5E" w:rsidRDefault="00A02002" w:rsidP="003721F5">
      <w:pPr>
        <w:pStyle w:val="NormalWeb"/>
        <w:spacing w:before="0" w:beforeAutospacing="0" w:after="0" w:afterAutospacing="0" w:line="360" w:lineRule="auto"/>
        <w:ind w:left="360"/>
        <w:jc w:val="both"/>
        <w:rPr>
          <w:rFonts w:ascii="Palatino Linotype" w:hAnsi="Palatino Linotype"/>
        </w:rPr>
      </w:pPr>
      <w:r w:rsidRPr="009565F9">
        <w:rPr>
          <w:rFonts w:ascii="Palatino Linotype" w:hAnsi="Palatino Linotype"/>
        </w:rPr>
        <w:t>En ese orden de ideas, dar a conocer la información relativa a las resoluciones absolutorias</w:t>
      </w:r>
      <w:r w:rsidR="00B754F1">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rPr>
        <w:t>determinan</w:t>
      </w:r>
      <w:r w:rsidRPr="009565F9">
        <w:rPr>
          <w:rFonts w:ascii="Palatino Linotype" w:hAnsi="Palatino Linotype"/>
        </w:rPr>
        <w:t xml:space="preserve"> la falta de elementos para sancionarlo. </w:t>
      </w:r>
    </w:p>
    <w:p w14:paraId="5B074D35"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44511757" w14:textId="379681DD" w:rsidR="00FE5F5E" w:rsidRDefault="003F0A6A" w:rsidP="003721F5">
      <w:pPr>
        <w:pStyle w:val="NormalWeb"/>
        <w:spacing w:before="0" w:beforeAutospacing="0" w:after="0" w:afterAutospacing="0" w:line="360" w:lineRule="auto"/>
        <w:ind w:left="357"/>
        <w:jc w:val="both"/>
        <w:rPr>
          <w:rFonts w:ascii="Palatino Linotype" w:hAnsi="Palatino Linotype"/>
        </w:rPr>
      </w:pPr>
      <w:r>
        <w:rPr>
          <w:rFonts w:ascii="Palatino Linotype" w:hAnsi="Palatino Linotype"/>
        </w:rPr>
        <w:t xml:space="preserve">Lo anterior de conformidad con </w:t>
      </w:r>
      <w:r w:rsidR="00A02002" w:rsidRPr="009565F9">
        <w:rPr>
          <w:rFonts w:ascii="Palatino Linotype" w:hAnsi="Palatino Linotype"/>
        </w:rPr>
        <w:t xml:space="preserve">la jurisprudencia con el rubro </w:t>
      </w:r>
      <w:r w:rsidR="00A02002" w:rsidRPr="00E1757A">
        <w:rPr>
          <w:rFonts w:ascii="Palatino Linotype" w:hAnsi="Palatino Linotype"/>
          <w:b/>
        </w:rPr>
        <w:t>LIBERTAD DE EXPRESIÓN Y DERECHO AL HONOR. EXPRESIONES QUE SE ENCUENTRAN PROTEGIDAS CONSTITUCIONALMENTE</w:t>
      </w:r>
      <w:r w:rsidR="00A02002" w:rsidRPr="009565F9">
        <w:rPr>
          <w:rFonts w:ascii="Palatino Linotype" w:hAnsi="Palatino Linotype"/>
        </w:rPr>
        <w:t xml:space="preserve">, de la que se desprende que la Suprema Corte de Justicia de la Nación, considera que existe una presunción general de cobertura constitucional de todo </w:t>
      </w:r>
      <w:r w:rsidR="00A02002" w:rsidRPr="009565F9">
        <w:rPr>
          <w:rFonts w:ascii="Palatino Linotype" w:hAnsi="Palatino Linotype"/>
        </w:rPr>
        <w:lastRenderedPageBreak/>
        <w:t xml:space="preserve">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4229C884"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5C69D18D" w14:textId="7F37E3FB" w:rsidR="00912C77" w:rsidRPr="009565F9" w:rsidRDefault="00A02002" w:rsidP="003721F5">
      <w:pPr>
        <w:pStyle w:val="NormalWeb"/>
        <w:spacing w:before="0" w:beforeAutospacing="0" w:after="0" w:afterAutospacing="0" w:line="360" w:lineRule="auto"/>
        <w:ind w:left="360"/>
        <w:jc w:val="both"/>
        <w:rPr>
          <w:rFonts w:ascii="Palatino Linotype" w:eastAsia="Calibri" w:hAnsi="Palatino Linotype" w:cs="Arial"/>
        </w:rPr>
      </w:pPr>
      <w:r w:rsidRPr="009565F9">
        <w:rPr>
          <w:rFonts w:ascii="Palatino Linotype" w:hAnsi="Palatino Linotype"/>
        </w:rPr>
        <w:t xml:space="preserve">Por otro lado, en la tesis aislada con el rubro </w:t>
      </w:r>
      <w:r w:rsidRPr="00E1757A">
        <w:rPr>
          <w:rFonts w:ascii="Palatino Linotype" w:hAnsi="Palatino Linotype"/>
          <w:b/>
        </w:rPr>
        <w:t>DERECHO A SER INFORMADO Y DERECHO AL HONOR. ESTÁNDAR PARA DETERMINAR SU PREVALENCIA</w:t>
      </w:r>
      <w:r w:rsidRPr="009565F9">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w:t>
      </w:r>
      <w:r w:rsidRPr="009565F9">
        <w:rPr>
          <w:rFonts w:ascii="Palatino Linotype" w:hAnsi="Palatino Linotype"/>
        </w:rPr>
        <w:lastRenderedPageBreak/>
        <w:t xml:space="preserve">toda intervención de juicios o valoraciones subjetivas que no tengan como fin informar a la sociedad, sino que pretendan establecer una postura, opinión o crítica hacia la persona. </w:t>
      </w:r>
    </w:p>
    <w:p w14:paraId="1F563C20" w14:textId="77777777" w:rsidR="00912C77" w:rsidRPr="009565F9" w:rsidRDefault="00912C77" w:rsidP="003721F5">
      <w:pPr>
        <w:pStyle w:val="Prrafodelista"/>
        <w:spacing w:after="0" w:line="360" w:lineRule="auto"/>
        <w:ind w:left="567" w:hanging="425"/>
        <w:jc w:val="both"/>
        <w:rPr>
          <w:rFonts w:ascii="Palatino Linotype" w:eastAsia="Calibri" w:hAnsi="Palatino Linotype" w:cs="Arial"/>
          <w:sz w:val="24"/>
          <w:szCs w:val="24"/>
        </w:rPr>
      </w:pPr>
    </w:p>
    <w:p w14:paraId="02AF84AB" w14:textId="77777777" w:rsidR="00FE5F5E" w:rsidRPr="00FE5F5E" w:rsidRDefault="00A02002" w:rsidP="003721F5">
      <w:pPr>
        <w:pStyle w:val="Prrafodelista"/>
        <w:spacing w:after="0" w:line="360" w:lineRule="auto"/>
        <w:ind w:left="426"/>
        <w:jc w:val="both"/>
        <w:rPr>
          <w:rFonts w:ascii="Palatino Linotype" w:eastAsia="Calibri" w:hAnsi="Palatino Linotype" w:cs="Arial"/>
          <w:sz w:val="24"/>
          <w:szCs w:val="24"/>
        </w:rPr>
      </w:pPr>
      <w:r w:rsidRPr="00FE5F5E">
        <w:rPr>
          <w:rFonts w:ascii="Palatino Linotype" w:hAnsi="Palatino Linotype"/>
          <w:sz w:val="24"/>
          <w:szCs w:val="24"/>
        </w:rPr>
        <w:t xml:space="preserve">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55C11D74" w14:textId="77777777" w:rsidR="00FE5F5E" w:rsidRPr="00FE5F5E" w:rsidRDefault="00FE5F5E" w:rsidP="003721F5">
      <w:pPr>
        <w:pStyle w:val="Prrafodelista"/>
        <w:spacing w:after="0" w:line="360" w:lineRule="auto"/>
        <w:ind w:left="426"/>
        <w:jc w:val="both"/>
        <w:rPr>
          <w:rFonts w:ascii="Palatino Linotype" w:eastAsia="Calibri" w:hAnsi="Palatino Linotype" w:cs="Arial"/>
          <w:sz w:val="24"/>
          <w:szCs w:val="24"/>
        </w:rPr>
      </w:pPr>
    </w:p>
    <w:p w14:paraId="5222D709" w14:textId="57FE36C2" w:rsidR="00A02002" w:rsidRPr="00FE5F5E" w:rsidRDefault="00A02002" w:rsidP="003721F5">
      <w:pPr>
        <w:pStyle w:val="Prrafodelista"/>
        <w:spacing w:after="0" w:line="360" w:lineRule="auto"/>
        <w:ind w:left="284"/>
        <w:jc w:val="both"/>
        <w:rPr>
          <w:rFonts w:ascii="Palatino Linotype" w:eastAsia="Calibri" w:hAnsi="Palatino Linotype" w:cs="Arial"/>
          <w:sz w:val="24"/>
          <w:szCs w:val="24"/>
        </w:rPr>
      </w:pPr>
      <w:r w:rsidRPr="00FE5F5E">
        <w:rPr>
          <w:rFonts w:ascii="Palatino Linotype" w:hAnsi="Palatino Linotype"/>
          <w:sz w:val="24"/>
          <w:szCs w:val="24"/>
        </w:rPr>
        <w:t>Por lo anterior, dar a conocer las resoluciones absolutorias, en caso de existir, derivadas de procedimientos de responsabilidades administrativas</w:t>
      </w:r>
      <w:r w:rsidR="00B754F1" w:rsidRPr="00FE5F5E">
        <w:rPr>
          <w:rFonts w:ascii="Palatino Linotype" w:hAnsi="Palatino Linotype"/>
          <w:sz w:val="24"/>
          <w:szCs w:val="24"/>
        </w:rPr>
        <w:t xml:space="preserve"> graves</w:t>
      </w:r>
      <w:r w:rsidRPr="00FE5F5E">
        <w:rPr>
          <w:rFonts w:ascii="Palatino Linotype" w:hAnsi="Palatino Linotype"/>
          <w:sz w:val="24"/>
          <w:szCs w:val="24"/>
        </w:rPr>
        <w:t>, no actualiza la causal de clasificación prevista en el artículo 143, fracción I de la Ley de Transparencia y Acceso a la Información Pública del Estado de México y Municipios, pues como se precisó dicha información no afecta, su intimidad, honor y buen nombre. Así, en su caso, se considera procedente entrega de las que obren en sus archivos.</w:t>
      </w:r>
    </w:p>
    <w:p w14:paraId="6F19CA97" w14:textId="77777777" w:rsidR="0096112E" w:rsidRPr="0096112E" w:rsidRDefault="0096112E" w:rsidP="003721F5">
      <w:pPr>
        <w:pStyle w:val="Prrafodelista"/>
        <w:spacing w:after="0" w:line="360" w:lineRule="auto"/>
        <w:ind w:left="284"/>
        <w:rPr>
          <w:rFonts w:ascii="Palatino Linotype" w:eastAsia="Calibri" w:hAnsi="Palatino Linotype" w:cs="Arial"/>
          <w:sz w:val="24"/>
          <w:szCs w:val="24"/>
        </w:rPr>
      </w:pPr>
    </w:p>
    <w:p w14:paraId="2945EB3E" w14:textId="4864B110" w:rsidR="00CA07CB" w:rsidRPr="00E1757A" w:rsidRDefault="00FE5F5E" w:rsidP="003721F5">
      <w:pPr>
        <w:pStyle w:val="Prrafodelista"/>
        <w:spacing w:after="0" w:line="360" w:lineRule="auto"/>
        <w:ind w:left="284"/>
        <w:jc w:val="both"/>
        <w:rPr>
          <w:rFonts w:ascii="Palatino Linotype" w:eastAsia="Calibri" w:hAnsi="Palatino Linotype" w:cs="Arial"/>
          <w:sz w:val="24"/>
          <w:szCs w:val="24"/>
        </w:rPr>
      </w:pPr>
      <w:r>
        <w:rPr>
          <w:rFonts w:ascii="Palatino Linotype" w:hAnsi="Palatino Linotype"/>
          <w:sz w:val="24"/>
          <w:szCs w:val="24"/>
        </w:rPr>
        <w:t>Si bien, se comparte</w:t>
      </w:r>
      <w:r w:rsidR="0096112E" w:rsidRPr="009565F9">
        <w:rPr>
          <w:rFonts w:ascii="Palatino Linotype" w:hAnsi="Palatino Linotype"/>
          <w:sz w:val="24"/>
          <w:szCs w:val="24"/>
        </w:rPr>
        <w:t xml:space="preserve"> la clasificación del nombre de los servidores públicos a los que se les fincó una falta administrativa no grave y aquellos que cometieron faltas administrativas graves y que no se encuentran en los supuestos del artículo 142 de la Ley de Transparencia y Acceso a la Información Pública del Estado de México y Municipios, pero también lo es que, </w:t>
      </w:r>
      <w:r w:rsidR="0096112E">
        <w:rPr>
          <w:rFonts w:ascii="Palatino Linotype" w:hAnsi="Palatino Linotype"/>
          <w:sz w:val="24"/>
          <w:szCs w:val="24"/>
        </w:rPr>
        <w:t xml:space="preserve">no </w:t>
      </w:r>
      <w:r w:rsidR="00B15CF6">
        <w:rPr>
          <w:rFonts w:ascii="Palatino Linotype" w:hAnsi="Palatino Linotype"/>
          <w:sz w:val="24"/>
          <w:szCs w:val="24"/>
        </w:rPr>
        <w:t xml:space="preserve">se </w:t>
      </w:r>
      <w:r w:rsidR="0096112E">
        <w:rPr>
          <w:rFonts w:ascii="Palatino Linotype" w:hAnsi="Palatino Linotype"/>
          <w:sz w:val="24"/>
          <w:szCs w:val="24"/>
        </w:rPr>
        <w:t>compart</w:t>
      </w:r>
      <w:r w:rsidR="00B15CF6">
        <w:rPr>
          <w:rFonts w:ascii="Palatino Linotype" w:hAnsi="Palatino Linotype"/>
          <w:sz w:val="24"/>
          <w:szCs w:val="24"/>
        </w:rPr>
        <w:t>e</w:t>
      </w:r>
      <w:r w:rsidR="0096112E">
        <w:rPr>
          <w:rFonts w:ascii="Palatino Linotype" w:hAnsi="Palatino Linotype"/>
          <w:sz w:val="24"/>
          <w:szCs w:val="24"/>
        </w:rPr>
        <w:t xml:space="preserve"> el hecho de que se clasifique como información confidencial el nombre de los servidores públicos a los que se les emitió una resolución con carácter </w:t>
      </w:r>
      <w:r w:rsidR="00D65F5F">
        <w:rPr>
          <w:rFonts w:ascii="Palatino Linotype" w:hAnsi="Palatino Linotype"/>
          <w:sz w:val="24"/>
          <w:szCs w:val="24"/>
        </w:rPr>
        <w:t>absolutoria</w:t>
      </w:r>
      <w:r w:rsidR="00B754F1">
        <w:rPr>
          <w:rFonts w:ascii="Palatino Linotype" w:hAnsi="Palatino Linotype"/>
          <w:sz w:val="24"/>
          <w:szCs w:val="24"/>
        </w:rPr>
        <w:t xml:space="preserve"> </w:t>
      </w:r>
      <w:r w:rsidR="00B754F1">
        <w:rPr>
          <w:rFonts w:ascii="Palatino Linotype" w:hAnsi="Palatino Linotype"/>
          <w:sz w:val="24"/>
          <w:szCs w:val="24"/>
        </w:rPr>
        <w:lastRenderedPageBreak/>
        <w:t>derivada de una responsabilidad administrativa grave</w:t>
      </w:r>
      <w:r w:rsidR="00D65F5F">
        <w:rPr>
          <w:rFonts w:ascii="Palatino Linotype" w:hAnsi="Palatino Linotype"/>
          <w:sz w:val="24"/>
          <w:szCs w:val="24"/>
        </w:rPr>
        <w:t>, por tal razón</w:t>
      </w:r>
      <w:r>
        <w:rPr>
          <w:rFonts w:ascii="Palatino Linotype" w:hAnsi="Palatino Linotype"/>
          <w:sz w:val="24"/>
          <w:szCs w:val="24"/>
        </w:rPr>
        <w:t xml:space="preserve"> se</w:t>
      </w:r>
      <w:r w:rsidR="00D65F5F">
        <w:rPr>
          <w:rFonts w:ascii="Palatino Linotype" w:hAnsi="Palatino Linotype"/>
          <w:sz w:val="24"/>
          <w:szCs w:val="24"/>
        </w:rPr>
        <w:t xml:space="preserve"> formul</w:t>
      </w:r>
      <w:r>
        <w:rPr>
          <w:rFonts w:ascii="Palatino Linotype" w:hAnsi="Palatino Linotype"/>
          <w:sz w:val="24"/>
          <w:szCs w:val="24"/>
        </w:rPr>
        <w:t>a</w:t>
      </w:r>
      <w:r w:rsidR="00D65F5F">
        <w:rPr>
          <w:rFonts w:ascii="Palatino Linotype" w:hAnsi="Palatino Linotype"/>
          <w:sz w:val="24"/>
          <w:szCs w:val="24"/>
        </w:rPr>
        <w:t xml:space="preserve"> el presente voto particular.</w:t>
      </w:r>
    </w:p>
    <w:p w14:paraId="7A114E08" w14:textId="3399E1B7" w:rsidR="00E1757A" w:rsidRPr="00E1757A" w:rsidRDefault="00E1757A" w:rsidP="00F77D6A">
      <w:pPr>
        <w:pStyle w:val="Ttulo1"/>
        <w:ind w:left="284"/>
      </w:pPr>
      <w:bookmarkStart w:id="2" w:name="_Toc88136406"/>
      <w:r>
        <w:t>CONCLUSIÓN</w:t>
      </w:r>
      <w:bookmarkEnd w:id="2"/>
    </w:p>
    <w:p w14:paraId="41D5C9C0" w14:textId="77777777" w:rsidR="00E1757A" w:rsidRPr="00E1757A" w:rsidRDefault="00E1757A" w:rsidP="00F77D6A">
      <w:pPr>
        <w:pStyle w:val="Prrafodelista"/>
        <w:ind w:left="284"/>
        <w:rPr>
          <w:rFonts w:ascii="Palatino Linotype" w:eastAsia="Calibri" w:hAnsi="Palatino Linotype" w:cs="Arial"/>
          <w:sz w:val="24"/>
          <w:szCs w:val="24"/>
        </w:rPr>
      </w:pPr>
    </w:p>
    <w:p w14:paraId="0942A43A" w14:textId="7B59556E" w:rsidR="00E1757A" w:rsidRDefault="00E1757A" w:rsidP="00F77D6A">
      <w:pPr>
        <w:pStyle w:val="Prrafodelista"/>
        <w:spacing w:before="100" w:beforeAutospacing="1" w:after="100" w:afterAutospacing="1" w:line="360" w:lineRule="auto"/>
        <w:ind w:left="284"/>
        <w:jc w:val="both"/>
        <w:rPr>
          <w:rFonts w:ascii="Palatino Linotype" w:eastAsia="Calibri" w:hAnsi="Palatino Linotype" w:cs="Arial"/>
          <w:sz w:val="24"/>
        </w:rPr>
      </w:pPr>
      <w:r w:rsidRPr="00E1757A">
        <w:rPr>
          <w:rFonts w:ascii="Palatino Linotype" w:eastAsia="Calibri" w:hAnsi="Palatino Linotype" w:cs="Arial"/>
          <w:sz w:val="24"/>
        </w:rPr>
        <w:t xml:space="preserve">No se comparte el criterio de que se clasifique como información confidencial el nombre de los servidores públicos que estuvieron sujetos a </w:t>
      </w:r>
      <w:r>
        <w:rPr>
          <w:rFonts w:ascii="Palatino Linotype" w:eastAsia="Calibri" w:hAnsi="Palatino Linotype" w:cs="Arial"/>
          <w:sz w:val="24"/>
        </w:rPr>
        <w:t xml:space="preserve">procedimientos por faltas </w:t>
      </w:r>
      <w:r w:rsidRPr="00E1757A">
        <w:rPr>
          <w:rFonts w:ascii="Palatino Linotype" w:eastAsia="Calibri" w:hAnsi="Palatino Linotype" w:cs="Arial"/>
          <w:sz w:val="24"/>
        </w:rPr>
        <w:t xml:space="preserve">administrativas graves y de los cuales, la autoridad </w:t>
      </w:r>
      <w:r>
        <w:rPr>
          <w:rFonts w:ascii="Palatino Linotype" w:eastAsia="Calibri" w:hAnsi="Palatino Linotype" w:cs="Arial"/>
          <w:sz w:val="24"/>
        </w:rPr>
        <w:t xml:space="preserve">correspondiente </w:t>
      </w:r>
      <w:r w:rsidRPr="00E1757A">
        <w:rPr>
          <w:rFonts w:ascii="Palatino Linotype" w:eastAsia="Calibri" w:hAnsi="Palatino Linotype" w:cs="Arial"/>
          <w:sz w:val="24"/>
        </w:rPr>
        <w:t xml:space="preserve">emitió un fallo absolutorio, en razón de que, al no existir una sanción impuesta, no existe afectación alguna al honor </w:t>
      </w:r>
      <w:r>
        <w:rPr>
          <w:rFonts w:ascii="Palatino Linotype" w:eastAsia="Calibri" w:hAnsi="Palatino Linotype" w:cs="Arial"/>
          <w:sz w:val="24"/>
        </w:rPr>
        <w:t xml:space="preserve">y buen nombre </w:t>
      </w:r>
      <w:r w:rsidRPr="00E1757A">
        <w:rPr>
          <w:rFonts w:ascii="Palatino Linotype" w:eastAsia="Calibri" w:hAnsi="Palatino Linotype" w:cs="Arial"/>
          <w:sz w:val="24"/>
        </w:rPr>
        <w:t>de los servidores públicos.</w:t>
      </w:r>
    </w:p>
    <w:p w14:paraId="48765B55" w14:textId="77777777" w:rsidR="003721F5" w:rsidRPr="00E1757A" w:rsidRDefault="003721F5" w:rsidP="00F77D6A">
      <w:pPr>
        <w:pStyle w:val="Prrafodelista"/>
        <w:spacing w:before="100" w:beforeAutospacing="1" w:after="100" w:afterAutospacing="1" w:line="360" w:lineRule="auto"/>
        <w:ind w:left="284"/>
        <w:jc w:val="both"/>
        <w:rPr>
          <w:rFonts w:ascii="Palatino Linotype" w:eastAsia="Calibri" w:hAnsi="Palatino Linotype" w:cs="Arial"/>
          <w:sz w:val="28"/>
          <w:szCs w:val="24"/>
        </w:rPr>
      </w:pPr>
    </w:p>
    <w:p w14:paraId="752B4D40" w14:textId="7F9AB872" w:rsidR="00E1757A" w:rsidRPr="00E1757A" w:rsidRDefault="00E1757A" w:rsidP="00F77D6A">
      <w:pPr>
        <w:pStyle w:val="Prrafodelista"/>
        <w:spacing w:before="100" w:beforeAutospacing="1" w:after="100" w:afterAutospacing="1" w:line="360" w:lineRule="auto"/>
        <w:ind w:left="284"/>
        <w:jc w:val="both"/>
        <w:rPr>
          <w:rFonts w:ascii="Palatino Linotype" w:eastAsia="Calibri" w:hAnsi="Palatino Linotype" w:cs="Arial"/>
          <w:sz w:val="28"/>
          <w:szCs w:val="24"/>
        </w:rPr>
      </w:pPr>
      <w:r w:rsidRPr="00E1757A">
        <w:rPr>
          <w:rFonts w:ascii="Palatino Linotype" w:eastAsia="Calibri" w:hAnsi="Palatino Linotype" w:cs="Arial"/>
          <w:sz w:val="24"/>
        </w:rPr>
        <w:t>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41703F3" w14:textId="77777777" w:rsidR="00E1757A" w:rsidRDefault="00E1757A" w:rsidP="00E1757A">
      <w:pPr>
        <w:pStyle w:val="Prrafodelista"/>
        <w:rPr>
          <w:rFonts w:ascii="Palatino Linotype" w:eastAsia="Calibri" w:hAnsi="Palatino Linotype" w:cs="Arial"/>
          <w:sz w:val="28"/>
          <w:szCs w:val="24"/>
        </w:rPr>
      </w:pPr>
    </w:p>
    <w:p w14:paraId="426E69EE" w14:textId="77777777" w:rsidR="00E1757A" w:rsidRPr="00E1757A" w:rsidRDefault="00E1757A" w:rsidP="00E1757A">
      <w:pPr>
        <w:pStyle w:val="Prrafodelista"/>
        <w:rPr>
          <w:rFonts w:ascii="Palatino Linotype" w:eastAsia="Calibri" w:hAnsi="Palatino Linotype" w:cs="Arial"/>
          <w:sz w:val="28"/>
          <w:szCs w:val="24"/>
        </w:rPr>
      </w:pPr>
    </w:p>
    <w:p w14:paraId="3B80EEA6" w14:textId="5C502102" w:rsidR="009565F9" w:rsidRPr="00D65F5F" w:rsidRDefault="009565F9" w:rsidP="009565F9">
      <w:pPr>
        <w:spacing w:line="360" w:lineRule="auto"/>
        <w:ind w:left="567"/>
        <w:contextualSpacing/>
        <w:jc w:val="both"/>
        <w:rPr>
          <w:rFonts w:ascii="Palatino Linotype" w:hAnsi="Palatino Linotype"/>
          <w:b/>
        </w:rPr>
      </w:pPr>
      <w:r w:rsidRPr="00D65F5F">
        <w:rPr>
          <w:rFonts w:ascii="Palatino Linotype" w:hAnsi="Palatino Linotype"/>
          <w:b/>
        </w:rPr>
        <w:t>MRMA/ADM</w:t>
      </w:r>
    </w:p>
    <w:p w14:paraId="28B8013E" w14:textId="77777777" w:rsidR="00FA3F69" w:rsidRDefault="00FA3F69" w:rsidP="009565F9">
      <w:pPr>
        <w:tabs>
          <w:tab w:val="left" w:pos="0"/>
          <w:tab w:val="left" w:pos="851"/>
        </w:tabs>
        <w:spacing w:line="360" w:lineRule="auto"/>
        <w:ind w:right="616"/>
        <w:jc w:val="both"/>
        <w:rPr>
          <w:rFonts w:ascii="Palatino Linotype" w:hAnsi="Palatino Linotype" w:cs="Arial"/>
          <w:b/>
        </w:rPr>
      </w:pPr>
    </w:p>
    <w:p w14:paraId="68672B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4E1539E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1F5A24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02B08C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FD5F43"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C3C6F6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58B533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04E5D5" w14:textId="77777777" w:rsidR="00E1757A" w:rsidRPr="009565F9" w:rsidRDefault="00E1757A" w:rsidP="009565F9">
      <w:pPr>
        <w:tabs>
          <w:tab w:val="left" w:pos="0"/>
          <w:tab w:val="left" w:pos="851"/>
        </w:tabs>
        <w:spacing w:line="360" w:lineRule="auto"/>
        <w:ind w:right="616"/>
        <w:jc w:val="both"/>
        <w:rPr>
          <w:rFonts w:ascii="Palatino Linotype" w:hAnsi="Palatino Linotype" w:cs="Arial"/>
          <w:b/>
        </w:rPr>
      </w:pPr>
    </w:p>
    <w:p w14:paraId="4940FAA6" w14:textId="31AB0C5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0A062FD1" w14:textId="2A652B36"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063778A2" w14:textId="77777777"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164F1E37" w14:textId="7446F02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60790A7F" w14:textId="77777777" w:rsidR="00FA3F69" w:rsidRPr="009565F9" w:rsidRDefault="00FA3F69" w:rsidP="009565F9">
      <w:pPr>
        <w:tabs>
          <w:tab w:val="left" w:pos="0"/>
          <w:tab w:val="left" w:pos="851"/>
        </w:tabs>
        <w:spacing w:line="360" w:lineRule="auto"/>
        <w:ind w:right="616"/>
        <w:jc w:val="both"/>
        <w:rPr>
          <w:rFonts w:ascii="Palatino Linotype" w:hAnsi="Palatino Linotype"/>
        </w:rPr>
      </w:pPr>
    </w:p>
    <w:sectPr w:rsidR="00FA3F69" w:rsidRPr="009565F9" w:rsidSect="00B754F1">
      <w:headerReference w:type="even" r:id="rId8"/>
      <w:headerReference w:type="default" r:id="rId9"/>
      <w:footerReference w:type="default" r:id="rId10"/>
      <w:headerReference w:type="first" r:id="rId11"/>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B55B" w14:textId="77777777" w:rsidR="00161C2F" w:rsidRDefault="00161C2F" w:rsidP="00C80F8C">
      <w:r>
        <w:separator/>
      </w:r>
    </w:p>
  </w:endnote>
  <w:endnote w:type="continuationSeparator" w:id="0">
    <w:p w14:paraId="0C7FBAA7" w14:textId="77777777" w:rsidR="00161C2F" w:rsidRDefault="00161C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161C2F"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sidR="003F0A6A">
          <w:rPr>
            <w:rFonts w:ascii="Palatino Linotype" w:hAnsi="Palatino Linotype"/>
            <w:b/>
            <w:bCs/>
            <w:noProof/>
          </w:rPr>
          <w:t>9</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sidR="003F0A6A">
          <w:rPr>
            <w:rFonts w:ascii="Palatino Linotype" w:hAnsi="Palatino Linotype"/>
            <w:b/>
            <w:bCs/>
            <w:noProof/>
          </w:rPr>
          <w:t>9</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6D98" w14:textId="77777777" w:rsidR="00161C2F" w:rsidRDefault="00161C2F" w:rsidP="00C80F8C">
      <w:r>
        <w:separator/>
      </w:r>
    </w:p>
  </w:footnote>
  <w:footnote w:type="continuationSeparator" w:id="0">
    <w:p w14:paraId="55F02C9F" w14:textId="77777777" w:rsidR="00161C2F" w:rsidRDefault="00161C2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161C2F">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161C2F"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161C2F">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985"/>
    <w:multiLevelType w:val="hybridMultilevel"/>
    <w:tmpl w:val="40EAAF58"/>
    <w:lvl w:ilvl="0" w:tplc="5DF61380">
      <w:start w:val="1"/>
      <w:numFmt w:val="decimal"/>
      <w:lvlText w:val="%1."/>
      <w:lvlJc w:val="left"/>
      <w:pPr>
        <w:ind w:left="720" w:hanging="360"/>
      </w:pPr>
      <w:rPr>
        <w:b/>
        <w:bCs/>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9"/>
  </w:num>
  <w:num w:numId="5">
    <w:abstractNumId w:val="13"/>
  </w:num>
  <w:num w:numId="6">
    <w:abstractNumId w:val="0"/>
  </w:num>
  <w:num w:numId="7">
    <w:abstractNumId w:val="1"/>
  </w:num>
  <w:num w:numId="8">
    <w:abstractNumId w:val="12"/>
  </w:num>
  <w:num w:numId="9">
    <w:abstractNumId w:val="11"/>
  </w:num>
  <w:num w:numId="10">
    <w:abstractNumId w:val="2"/>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8542A"/>
    <w:rsid w:val="000A6E4B"/>
    <w:rsid w:val="000B3FFD"/>
    <w:rsid w:val="000C4453"/>
    <w:rsid w:val="00111AE8"/>
    <w:rsid w:val="00116DE7"/>
    <w:rsid w:val="00132AC5"/>
    <w:rsid w:val="00161C2F"/>
    <w:rsid w:val="00186E33"/>
    <w:rsid w:val="001C57DE"/>
    <w:rsid w:val="001E70EE"/>
    <w:rsid w:val="0024476F"/>
    <w:rsid w:val="00263858"/>
    <w:rsid w:val="00290929"/>
    <w:rsid w:val="00343410"/>
    <w:rsid w:val="00360C08"/>
    <w:rsid w:val="003721F5"/>
    <w:rsid w:val="003907F3"/>
    <w:rsid w:val="003B3BFB"/>
    <w:rsid w:val="003E7406"/>
    <w:rsid w:val="003F0A6A"/>
    <w:rsid w:val="004112A3"/>
    <w:rsid w:val="00426E22"/>
    <w:rsid w:val="00430DD5"/>
    <w:rsid w:val="004360B3"/>
    <w:rsid w:val="00463477"/>
    <w:rsid w:val="00473AB7"/>
    <w:rsid w:val="004D0A26"/>
    <w:rsid w:val="004E383A"/>
    <w:rsid w:val="005373E8"/>
    <w:rsid w:val="00542EE3"/>
    <w:rsid w:val="00575235"/>
    <w:rsid w:val="00591350"/>
    <w:rsid w:val="005C64CC"/>
    <w:rsid w:val="005D1946"/>
    <w:rsid w:val="005D2361"/>
    <w:rsid w:val="00634485"/>
    <w:rsid w:val="006622F4"/>
    <w:rsid w:val="00672E7C"/>
    <w:rsid w:val="006A04B1"/>
    <w:rsid w:val="006B5505"/>
    <w:rsid w:val="006E6389"/>
    <w:rsid w:val="006F30F8"/>
    <w:rsid w:val="0071093C"/>
    <w:rsid w:val="00736C06"/>
    <w:rsid w:val="00746AEF"/>
    <w:rsid w:val="00762C20"/>
    <w:rsid w:val="00762FD6"/>
    <w:rsid w:val="007F3B57"/>
    <w:rsid w:val="00892AFC"/>
    <w:rsid w:val="008C4B6B"/>
    <w:rsid w:val="008D1526"/>
    <w:rsid w:val="009046BF"/>
    <w:rsid w:val="00912C77"/>
    <w:rsid w:val="009565F9"/>
    <w:rsid w:val="0096112E"/>
    <w:rsid w:val="00970D11"/>
    <w:rsid w:val="00975EB9"/>
    <w:rsid w:val="009E0F9C"/>
    <w:rsid w:val="00A02002"/>
    <w:rsid w:val="00A47DA4"/>
    <w:rsid w:val="00A81140"/>
    <w:rsid w:val="00A84529"/>
    <w:rsid w:val="00B15CF6"/>
    <w:rsid w:val="00B17515"/>
    <w:rsid w:val="00B4428F"/>
    <w:rsid w:val="00B53290"/>
    <w:rsid w:val="00B73667"/>
    <w:rsid w:val="00B754F1"/>
    <w:rsid w:val="00B76282"/>
    <w:rsid w:val="00BA6C4E"/>
    <w:rsid w:val="00BD7483"/>
    <w:rsid w:val="00C51A45"/>
    <w:rsid w:val="00C80F8C"/>
    <w:rsid w:val="00CA07CB"/>
    <w:rsid w:val="00CB50F4"/>
    <w:rsid w:val="00D45CA3"/>
    <w:rsid w:val="00D65F5F"/>
    <w:rsid w:val="00D728E2"/>
    <w:rsid w:val="00D76106"/>
    <w:rsid w:val="00D83F3E"/>
    <w:rsid w:val="00E1757A"/>
    <w:rsid w:val="00E9134A"/>
    <w:rsid w:val="00EB35BD"/>
    <w:rsid w:val="00EB780C"/>
    <w:rsid w:val="00EE7341"/>
    <w:rsid w:val="00EF62DD"/>
    <w:rsid w:val="00F1720D"/>
    <w:rsid w:val="00F77D6A"/>
    <w:rsid w:val="00FA3F69"/>
    <w:rsid w:val="00FB48D6"/>
    <w:rsid w:val="00FE5F5E"/>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10257">
      <w:bodyDiv w:val="1"/>
      <w:marLeft w:val="0"/>
      <w:marRight w:val="0"/>
      <w:marTop w:val="0"/>
      <w:marBottom w:val="0"/>
      <w:divBdr>
        <w:top w:val="none" w:sz="0" w:space="0" w:color="auto"/>
        <w:left w:val="none" w:sz="0" w:space="0" w:color="auto"/>
        <w:bottom w:val="none" w:sz="0" w:space="0" w:color="auto"/>
        <w:right w:val="none" w:sz="0" w:space="0" w:color="auto"/>
      </w:divBdr>
    </w:div>
    <w:div w:id="1027874717">
      <w:bodyDiv w:val="1"/>
      <w:marLeft w:val="0"/>
      <w:marRight w:val="0"/>
      <w:marTop w:val="0"/>
      <w:marBottom w:val="0"/>
      <w:divBdr>
        <w:top w:val="none" w:sz="0" w:space="0" w:color="auto"/>
        <w:left w:val="none" w:sz="0" w:space="0" w:color="auto"/>
        <w:bottom w:val="none" w:sz="0" w:space="0" w:color="auto"/>
        <w:right w:val="none" w:sz="0" w:space="0" w:color="auto"/>
      </w:divBdr>
    </w:div>
    <w:div w:id="1538619235">
      <w:bodyDiv w:val="1"/>
      <w:marLeft w:val="0"/>
      <w:marRight w:val="0"/>
      <w:marTop w:val="0"/>
      <w:marBottom w:val="0"/>
      <w:divBdr>
        <w:top w:val="none" w:sz="0" w:space="0" w:color="auto"/>
        <w:left w:val="none" w:sz="0" w:space="0" w:color="auto"/>
        <w:bottom w:val="none" w:sz="0" w:space="0" w:color="auto"/>
        <w:right w:val="none" w:sz="0" w:space="0" w:color="auto"/>
      </w:divBdr>
    </w:div>
    <w:div w:id="1618638286">
      <w:bodyDiv w:val="1"/>
      <w:marLeft w:val="0"/>
      <w:marRight w:val="0"/>
      <w:marTop w:val="0"/>
      <w:marBottom w:val="0"/>
      <w:divBdr>
        <w:top w:val="none" w:sz="0" w:space="0" w:color="auto"/>
        <w:left w:val="none" w:sz="0" w:space="0" w:color="auto"/>
        <w:bottom w:val="none" w:sz="0" w:space="0" w:color="auto"/>
        <w:right w:val="none" w:sz="0" w:space="0" w:color="auto"/>
      </w:divBdr>
    </w:div>
    <w:div w:id="1622541178">
      <w:bodyDiv w:val="1"/>
      <w:marLeft w:val="0"/>
      <w:marRight w:val="0"/>
      <w:marTop w:val="0"/>
      <w:marBottom w:val="0"/>
      <w:divBdr>
        <w:top w:val="none" w:sz="0" w:space="0" w:color="auto"/>
        <w:left w:val="none" w:sz="0" w:space="0" w:color="auto"/>
        <w:bottom w:val="none" w:sz="0" w:space="0" w:color="auto"/>
        <w:right w:val="none" w:sz="0" w:space="0" w:color="auto"/>
      </w:divBdr>
    </w:div>
    <w:div w:id="1679649389">
      <w:bodyDiv w:val="1"/>
      <w:marLeft w:val="0"/>
      <w:marRight w:val="0"/>
      <w:marTop w:val="0"/>
      <w:marBottom w:val="0"/>
      <w:divBdr>
        <w:top w:val="none" w:sz="0" w:space="0" w:color="auto"/>
        <w:left w:val="none" w:sz="0" w:space="0" w:color="auto"/>
        <w:bottom w:val="none" w:sz="0" w:space="0" w:color="auto"/>
        <w:right w:val="none" w:sz="0" w:space="0" w:color="auto"/>
      </w:divBdr>
    </w:div>
    <w:div w:id="209207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9D604-B9B7-4585-B07F-522BAEB9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2130</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13</cp:revision>
  <cp:lastPrinted>2021-11-23T22:59:00Z</cp:lastPrinted>
  <dcterms:created xsi:type="dcterms:W3CDTF">2021-11-17T23:05:00Z</dcterms:created>
  <dcterms:modified xsi:type="dcterms:W3CDTF">2021-11-29T16:27:00Z</dcterms:modified>
</cp:coreProperties>
</file>