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63C39" w14:textId="77777777" w:rsidR="00CF11A8" w:rsidRPr="00377C51" w:rsidRDefault="00CF11A8" w:rsidP="00CF11A8">
      <w:pPr>
        <w:spacing w:after="0" w:line="360" w:lineRule="auto"/>
        <w:jc w:val="both"/>
        <w:rPr>
          <w:rFonts w:ascii="Palatino Linotype" w:hAnsi="Palatino Linotype"/>
          <w:b/>
          <w:sz w:val="24"/>
          <w:szCs w:val="24"/>
        </w:rPr>
      </w:pPr>
      <w:r w:rsidRPr="00377C51">
        <w:rPr>
          <w:rFonts w:ascii="Palatino Linotype" w:hAnsi="Palatino Linotype"/>
          <w:b/>
          <w:sz w:val="24"/>
          <w:szCs w:val="24"/>
        </w:rPr>
        <w:t xml:space="preserve">VOTO </w:t>
      </w:r>
      <w:r w:rsidR="0071133A" w:rsidRPr="00377C51">
        <w:rPr>
          <w:rFonts w:ascii="Palatino Linotype" w:hAnsi="Palatino Linotype"/>
          <w:b/>
          <w:sz w:val="24"/>
          <w:szCs w:val="24"/>
        </w:rPr>
        <w:t>PARTICULAR</w:t>
      </w:r>
      <w:r w:rsidRPr="00377C51">
        <w:rPr>
          <w:rFonts w:ascii="Palatino Linotype" w:hAnsi="Palatino Linotype"/>
          <w:b/>
          <w:sz w:val="24"/>
          <w:szCs w:val="24"/>
        </w:rPr>
        <w:t xml:space="preserve"> QUE FORMULA </w:t>
      </w:r>
      <w:r w:rsidR="009E6EF2" w:rsidRPr="00377C51">
        <w:rPr>
          <w:rFonts w:ascii="Palatino Linotype" w:hAnsi="Palatino Linotype"/>
          <w:b/>
          <w:sz w:val="24"/>
          <w:szCs w:val="24"/>
        </w:rPr>
        <w:t>EL COMISIONADO PRESIDENTE</w:t>
      </w:r>
      <w:r w:rsidR="006A51FD" w:rsidRPr="00377C51">
        <w:rPr>
          <w:rFonts w:ascii="Palatino Linotype" w:hAnsi="Palatino Linotype"/>
          <w:b/>
          <w:sz w:val="24"/>
          <w:szCs w:val="24"/>
        </w:rPr>
        <w:t xml:space="preserve"> </w:t>
      </w:r>
      <w:r w:rsidR="009E6EF2" w:rsidRPr="00377C51">
        <w:rPr>
          <w:rFonts w:ascii="Palatino Linotype" w:hAnsi="Palatino Linotype"/>
          <w:b/>
          <w:sz w:val="24"/>
          <w:szCs w:val="24"/>
        </w:rPr>
        <w:t>JOSÉ MARTÍNEZ VILCHIS</w:t>
      </w:r>
      <w:r w:rsidRPr="00377C5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9E6EF2" w:rsidRPr="00377C51">
        <w:rPr>
          <w:rFonts w:ascii="Palatino Linotype" w:hAnsi="Palatino Linotype"/>
          <w:b/>
          <w:sz w:val="24"/>
          <w:szCs w:val="24"/>
        </w:rPr>
        <w:t xml:space="preserve">TRIGÉSIMA </w:t>
      </w:r>
      <w:r w:rsidR="000D122C" w:rsidRPr="00377C51">
        <w:rPr>
          <w:rFonts w:ascii="Palatino Linotype" w:hAnsi="Palatino Linotype"/>
          <w:b/>
          <w:sz w:val="24"/>
          <w:szCs w:val="24"/>
        </w:rPr>
        <w:t xml:space="preserve">OCTAVA </w:t>
      </w:r>
      <w:r w:rsidRPr="00377C51">
        <w:rPr>
          <w:rFonts w:ascii="Palatino Linotype" w:hAnsi="Palatino Linotype"/>
          <w:b/>
          <w:sz w:val="24"/>
          <w:szCs w:val="24"/>
        </w:rPr>
        <w:t xml:space="preserve">SESIÓN ORDINARIA DEL PLENO DE FECHA </w:t>
      </w:r>
      <w:r w:rsidR="000D122C" w:rsidRPr="00377C51">
        <w:rPr>
          <w:rFonts w:ascii="Palatino Linotype" w:hAnsi="Palatino Linotype"/>
          <w:b/>
          <w:sz w:val="24"/>
          <w:szCs w:val="24"/>
        </w:rPr>
        <w:t xml:space="preserve">VEINTISIETE </w:t>
      </w:r>
      <w:r w:rsidR="009E6EF2" w:rsidRPr="00377C51">
        <w:rPr>
          <w:rFonts w:ascii="Palatino Linotype" w:hAnsi="Palatino Linotype"/>
          <w:b/>
          <w:sz w:val="24"/>
          <w:szCs w:val="24"/>
        </w:rPr>
        <w:t>DE OCTUBRE</w:t>
      </w:r>
      <w:r w:rsidR="0009787F" w:rsidRPr="00377C51">
        <w:rPr>
          <w:rFonts w:ascii="Palatino Linotype" w:hAnsi="Palatino Linotype"/>
          <w:b/>
          <w:sz w:val="24"/>
          <w:szCs w:val="24"/>
        </w:rPr>
        <w:t xml:space="preserve"> DE DOS MIL </w:t>
      </w:r>
      <w:r w:rsidR="0071133A" w:rsidRPr="00377C51">
        <w:rPr>
          <w:rFonts w:ascii="Palatino Linotype" w:hAnsi="Palatino Linotype"/>
          <w:b/>
          <w:sz w:val="24"/>
          <w:szCs w:val="24"/>
        </w:rPr>
        <w:t>VEINTIUNO</w:t>
      </w:r>
      <w:r w:rsidRPr="00377C51">
        <w:rPr>
          <w:rFonts w:ascii="Palatino Linotype" w:hAnsi="Palatino Linotype"/>
          <w:b/>
          <w:sz w:val="24"/>
          <w:szCs w:val="24"/>
        </w:rPr>
        <w:t xml:space="preserve">, EN EL RECURSO DE REVISIÓN </w:t>
      </w:r>
      <w:r w:rsidR="0071133A" w:rsidRPr="00377C51">
        <w:rPr>
          <w:rFonts w:ascii="Palatino Linotype" w:hAnsi="Palatino Linotype"/>
          <w:b/>
          <w:sz w:val="24"/>
          <w:szCs w:val="24"/>
        </w:rPr>
        <w:t>0</w:t>
      </w:r>
      <w:r w:rsidR="009E6EF2" w:rsidRPr="00377C51">
        <w:rPr>
          <w:rFonts w:ascii="Palatino Linotype" w:hAnsi="Palatino Linotype"/>
          <w:b/>
          <w:sz w:val="24"/>
          <w:szCs w:val="24"/>
        </w:rPr>
        <w:t>4</w:t>
      </w:r>
      <w:r w:rsidR="000D122C" w:rsidRPr="00377C51">
        <w:rPr>
          <w:rFonts w:ascii="Palatino Linotype" w:hAnsi="Palatino Linotype"/>
          <w:b/>
          <w:sz w:val="24"/>
          <w:szCs w:val="24"/>
        </w:rPr>
        <w:t>316</w:t>
      </w:r>
      <w:r w:rsidR="00043B20" w:rsidRPr="00377C51">
        <w:rPr>
          <w:rFonts w:ascii="Palatino Linotype" w:hAnsi="Palatino Linotype"/>
          <w:b/>
          <w:sz w:val="24"/>
          <w:szCs w:val="24"/>
        </w:rPr>
        <w:t>/INFOEM/IP/RR/20</w:t>
      </w:r>
      <w:r w:rsidR="0071133A" w:rsidRPr="00377C51">
        <w:rPr>
          <w:rFonts w:ascii="Palatino Linotype" w:hAnsi="Palatino Linotype"/>
          <w:b/>
          <w:sz w:val="24"/>
          <w:szCs w:val="24"/>
        </w:rPr>
        <w:t>2</w:t>
      </w:r>
      <w:r w:rsidR="009E6EF2" w:rsidRPr="00377C51">
        <w:rPr>
          <w:rFonts w:ascii="Palatino Linotype" w:hAnsi="Palatino Linotype"/>
          <w:b/>
          <w:sz w:val="24"/>
          <w:szCs w:val="24"/>
        </w:rPr>
        <w:t>1</w:t>
      </w:r>
      <w:r w:rsidRPr="00377C51">
        <w:rPr>
          <w:rFonts w:ascii="Palatino Linotype" w:hAnsi="Palatino Linotype"/>
          <w:b/>
          <w:sz w:val="24"/>
          <w:szCs w:val="24"/>
        </w:rPr>
        <w:t>.</w:t>
      </w:r>
    </w:p>
    <w:p w14:paraId="44011187" w14:textId="77777777" w:rsidR="00CF11A8" w:rsidRPr="00377C51" w:rsidRDefault="00CF11A8" w:rsidP="00CF11A8">
      <w:pPr>
        <w:spacing w:after="0" w:line="360" w:lineRule="auto"/>
        <w:jc w:val="both"/>
        <w:rPr>
          <w:rFonts w:ascii="Palatino Linotype" w:hAnsi="Palatino Linotype"/>
          <w:b/>
          <w:sz w:val="24"/>
          <w:szCs w:val="24"/>
        </w:rPr>
      </w:pPr>
    </w:p>
    <w:p w14:paraId="780A3212" w14:textId="77777777" w:rsidR="0071133A" w:rsidRPr="00377C51" w:rsidRDefault="000F49C4" w:rsidP="004402F7">
      <w:pPr>
        <w:spacing w:after="0" w:line="360" w:lineRule="auto"/>
        <w:jc w:val="both"/>
        <w:rPr>
          <w:rFonts w:ascii="Palatino Linotype" w:hAnsi="Palatino Linotype"/>
          <w:sz w:val="24"/>
          <w:szCs w:val="24"/>
        </w:rPr>
      </w:pPr>
      <w:r w:rsidRPr="00377C51">
        <w:rPr>
          <w:rFonts w:ascii="Palatino Linotype" w:hAnsi="Palatino Linotype"/>
          <w:sz w:val="24"/>
          <w:szCs w:val="24"/>
        </w:rPr>
        <w:t>El presente voto que realiza</w:t>
      </w:r>
      <w:r w:rsidR="00CF11A8" w:rsidRPr="00377C51">
        <w:rPr>
          <w:rFonts w:ascii="Palatino Linotype" w:hAnsi="Palatino Linotype"/>
          <w:sz w:val="24"/>
          <w:szCs w:val="24"/>
        </w:rPr>
        <w:t xml:space="preserve"> </w:t>
      </w:r>
      <w:r w:rsidR="009E6EF2" w:rsidRPr="00377C51">
        <w:rPr>
          <w:rFonts w:ascii="Palatino Linotype" w:hAnsi="Palatino Linotype"/>
          <w:sz w:val="24"/>
          <w:szCs w:val="24"/>
        </w:rPr>
        <w:t>el suscrito</w:t>
      </w:r>
      <w:r w:rsidRPr="00377C51">
        <w:rPr>
          <w:rFonts w:ascii="Palatino Linotype" w:hAnsi="Palatino Linotype"/>
          <w:sz w:val="24"/>
          <w:szCs w:val="24"/>
        </w:rPr>
        <w:t>,</w:t>
      </w:r>
      <w:r w:rsidR="00CF11A8" w:rsidRPr="00377C51">
        <w:rPr>
          <w:rFonts w:ascii="Palatino Linotype" w:hAnsi="Palatino Linotype"/>
          <w:sz w:val="24"/>
          <w:szCs w:val="24"/>
        </w:rPr>
        <w:t xml:space="preserve"> encuentra fundamento en lo dispuesto por el artículo 14</w:t>
      </w:r>
      <w:r w:rsidR="00C42420" w:rsidRPr="00377C51">
        <w:rPr>
          <w:rFonts w:ascii="Palatino Linotype" w:hAnsi="Palatino Linotype"/>
          <w:sz w:val="24"/>
          <w:szCs w:val="24"/>
        </w:rPr>
        <w:t>,</w:t>
      </w:r>
      <w:r w:rsidR="00CF11A8" w:rsidRPr="00377C51">
        <w:rPr>
          <w:rFonts w:ascii="Palatino Linotype" w:hAnsi="Palatino Linotype"/>
          <w:sz w:val="24"/>
          <w:szCs w:val="24"/>
        </w:rPr>
        <w:t xml:space="preserve"> fracción XI</w:t>
      </w:r>
      <w:r w:rsidR="0009787F" w:rsidRPr="00377C51">
        <w:rPr>
          <w:rFonts w:ascii="Palatino Linotype" w:hAnsi="Palatino Linotype"/>
          <w:sz w:val="24"/>
          <w:szCs w:val="24"/>
        </w:rPr>
        <w:t>,</w:t>
      </w:r>
      <w:r w:rsidR="00CF11A8" w:rsidRPr="00377C51">
        <w:rPr>
          <w:rFonts w:ascii="Palatino Linotype" w:hAnsi="Palatino Linotype"/>
          <w:sz w:val="24"/>
          <w:szCs w:val="24"/>
        </w:rPr>
        <w:t xml:space="preserve"> del Reglamento Interior del Instituto de Transparencia,</w:t>
      </w:r>
      <w:r w:rsidR="00043B20" w:rsidRPr="00377C51">
        <w:rPr>
          <w:rFonts w:ascii="Palatino Linotype" w:hAnsi="Palatino Linotype"/>
          <w:sz w:val="24"/>
          <w:szCs w:val="24"/>
        </w:rPr>
        <w:t xml:space="preserve"> Acceso </w:t>
      </w:r>
      <w:r w:rsidR="00CF11A8" w:rsidRPr="00377C51">
        <w:rPr>
          <w:rFonts w:ascii="Palatino Linotype" w:hAnsi="Palatino Linotype"/>
          <w:sz w:val="24"/>
          <w:szCs w:val="24"/>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3A2FC810" w14:textId="77777777" w:rsidR="004402F7" w:rsidRPr="00377C51" w:rsidRDefault="004402F7" w:rsidP="004402F7">
      <w:pPr>
        <w:spacing w:after="0" w:line="360" w:lineRule="auto"/>
        <w:jc w:val="both"/>
        <w:rPr>
          <w:rFonts w:ascii="Palatino Linotype" w:hAnsi="Palatino Linotype"/>
          <w:sz w:val="24"/>
          <w:szCs w:val="24"/>
        </w:rPr>
      </w:pPr>
    </w:p>
    <w:p w14:paraId="561ADA77" w14:textId="77777777" w:rsidR="00330955" w:rsidRPr="00377C51" w:rsidRDefault="004402F7" w:rsidP="00330955">
      <w:pPr>
        <w:spacing w:after="0" w:line="360" w:lineRule="auto"/>
        <w:jc w:val="both"/>
        <w:rPr>
          <w:rFonts w:ascii="Palatino Linotype" w:hAnsi="Palatino Linotype"/>
          <w:sz w:val="24"/>
          <w:szCs w:val="24"/>
        </w:rPr>
      </w:pPr>
      <w:r w:rsidRPr="00377C51">
        <w:rPr>
          <w:rFonts w:ascii="Palatino Linotype" w:hAnsi="Palatino Linotype"/>
          <w:sz w:val="24"/>
          <w:szCs w:val="24"/>
        </w:rPr>
        <w:t xml:space="preserve">Es necesario precisar, que si bien se comparte el sentido general de la resolución, se difiere en que se haya ordenado </w:t>
      </w:r>
      <w:r w:rsidRPr="00377C51">
        <w:rPr>
          <w:rFonts w:ascii="Palatino Linotype" w:hAnsi="Palatino Linotype"/>
          <w:b/>
          <w:sz w:val="24"/>
          <w:szCs w:val="24"/>
        </w:rPr>
        <w:t>eximir al Recurrente del pago de derechos por la expedición de copias certificadas</w:t>
      </w:r>
      <w:r w:rsidRPr="00377C51">
        <w:rPr>
          <w:rFonts w:ascii="Palatino Linotype" w:hAnsi="Palatino Linotype"/>
          <w:sz w:val="24"/>
          <w:szCs w:val="24"/>
        </w:rPr>
        <w:t>, por las siguientes precisiones:</w:t>
      </w:r>
    </w:p>
    <w:p w14:paraId="5F3BDA19" w14:textId="77777777" w:rsidR="00330955" w:rsidRPr="00377C51" w:rsidRDefault="00330955" w:rsidP="00330955">
      <w:pPr>
        <w:spacing w:after="0" w:line="360" w:lineRule="auto"/>
        <w:jc w:val="both"/>
        <w:rPr>
          <w:rFonts w:ascii="Palatino Linotype" w:hAnsi="Palatino Linotype"/>
          <w:sz w:val="24"/>
          <w:szCs w:val="24"/>
        </w:rPr>
      </w:pPr>
    </w:p>
    <w:p w14:paraId="162AED3E" w14:textId="5094BFD5" w:rsidR="00330955" w:rsidRPr="00377C51" w:rsidRDefault="005543EB" w:rsidP="00330955">
      <w:pPr>
        <w:spacing w:after="0" w:line="360" w:lineRule="auto"/>
        <w:jc w:val="both"/>
        <w:rPr>
          <w:rFonts w:ascii="Palatino Linotype" w:hAnsi="Palatino Linotype"/>
          <w:sz w:val="24"/>
        </w:rPr>
      </w:pPr>
      <w:r w:rsidRPr="00377C51">
        <w:rPr>
          <w:rFonts w:ascii="Palatino Linotype" w:hAnsi="Palatino Linotype"/>
          <w:sz w:val="24"/>
        </w:rPr>
        <w:t>C</w:t>
      </w:r>
      <w:r w:rsidR="00330955" w:rsidRPr="00377C51">
        <w:rPr>
          <w:rFonts w:ascii="Palatino Linotype" w:hAnsi="Palatino Linotype"/>
          <w:sz w:val="24"/>
        </w:rPr>
        <w:t>on base en el artículo 155, de la Ley de Transparencia local, para presentar una solicitud por escrito, no se podrán exigir mayores requisitos que los siguientes:</w:t>
      </w:r>
    </w:p>
    <w:p w14:paraId="07DC162E" w14:textId="77777777" w:rsidR="00330955" w:rsidRPr="00377C51" w:rsidRDefault="00330955" w:rsidP="00330955">
      <w:pPr>
        <w:pStyle w:val="Sinespaciado"/>
      </w:pPr>
    </w:p>
    <w:p w14:paraId="214B8E19"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Nombre del solicitante o datos generales de su representante.</w:t>
      </w:r>
    </w:p>
    <w:p w14:paraId="6A970F13"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Domicilio o correo electrónico para recibir notificaciones.</w:t>
      </w:r>
    </w:p>
    <w:p w14:paraId="402A3C5F"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Descripción de la información solicitada.</w:t>
      </w:r>
    </w:p>
    <w:p w14:paraId="2F5AD4A4" w14:textId="77777777" w:rsidR="00330955" w:rsidRPr="00377C51" w:rsidRDefault="00330955" w:rsidP="00330955">
      <w:pPr>
        <w:pStyle w:val="Prrafodelista"/>
        <w:numPr>
          <w:ilvl w:val="0"/>
          <w:numId w:val="5"/>
        </w:numPr>
        <w:spacing w:line="360" w:lineRule="auto"/>
        <w:jc w:val="both"/>
        <w:rPr>
          <w:rFonts w:ascii="Palatino Linotype" w:hAnsi="Palatino Linotype"/>
          <w:szCs w:val="22"/>
        </w:rPr>
      </w:pPr>
      <w:r w:rsidRPr="00377C51">
        <w:rPr>
          <w:rFonts w:ascii="Palatino Linotype" w:hAnsi="Palatino Linotype"/>
          <w:szCs w:val="22"/>
        </w:rPr>
        <w:t>Cualquier otro dato que facilite la búsqueda de la información.</w:t>
      </w:r>
    </w:p>
    <w:p w14:paraId="4A9C6009" w14:textId="77777777" w:rsidR="00330955" w:rsidRPr="00377C51" w:rsidRDefault="00330955" w:rsidP="00330955">
      <w:pPr>
        <w:pStyle w:val="Prrafodelista"/>
        <w:numPr>
          <w:ilvl w:val="0"/>
          <w:numId w:val="5"/>
        </w:numPr>
        <w:spacing w:line="360" w:lineRule="auto"/>
        <w:jc w:val="both"/>
        <w:rPr>
          <w:rFonts w:ascii="Palatino Linotype" w:hAnsi="Palatino Linotype"/>
          <w:b/>
          <w:bCs/>
          <w:szCs w:val="22"/>
          <w:u w:val="single"/>
        </w:rPr>
      </w:pPr>
      <w:r w:rsidRPr="00377C51">
        <w:rPr>
          <w:rFonts w:ascii="Palatino Linotype" w:hAnsi="Palatino Linotype"/>
          <w:b/>
          <w:bCs/>
          <w:szCs w:val="22"/>
          <w:u w:val="single"/>
        </w:rPr>
        <w:t>Modalidad de entrega de la información.</w:t>
      </w:r>
    </w:p>
    <w:p w14:paraId="6C1D058B" w14:textId="77777777" w:rsidR="00330955" w:rsidRPr="00377C51" w:rsidRDefault="00330955" w:rsidP="00330955">
      <w:pPr>
        <w:pStyle w:val="Sinespaciado"/>
      </w:pPr>
    </w:p>
    <w:p w14:paraId="306AA241" w14:textId="77777777" w:rsidR="00330955" w:rsidRPr="00377C51" w:rsidRDefault="00330955" w:rsidP="0033095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En este sentido, los numerales I y IV, reciben el carácter de potestativos, en sentido contrario, el resto de los requisitos </w:t>
      </w:r>
      <w:r w:rsidRPr="00377C51">
        <w:rPr>
          <w:rFonts w:ascii="Palatino Linotype" w:hAnsi="Palatino Linotype"/>
          <w:b/>
          <w:sz w:val="24"/>
        </w:rPr>
        <w:t xml:space="preserve">–englobando la modalidad de entrega- </w:t>
      </w:r>
      <w:r w:rsidRPr="00377C51">
        <w:rPr>
          <w:rFonts w:ascii="Palatino Linotype" w:hAnsi="Palatino Linotype"/>
          <w:sz w:val="24"/>
        </w:rPr>
        <w:t xml:space="preserve">son imprescindibles para ejercer el derecho de acceso a la información pública. </w:t>
      </w:r>
    </w:p>
    <w:p w14:paraId="05DF5BBA" w14:textId="77777777" w:rsidR="00330955" w:rsidRPr="00377C51" w:rsidRDefault="00330955" w:rsidP="00330955">
      <w:pPr>
        <w:tabs>
          <w:tab w:val="left" w:pos="709"/>
        </w:tabs>
        <w:spacing w:after="0" w:line="360" w:lineRule="auto"/>
        <w:jc w:val="both"/>
        <w:rPr>
          <w:rFonts w:ascii="Palatino Linotype" w:hAnsi="Palatino Linotype"/>
          <w:sz w:val="24"/>
          <w:szCs w:val="24"/>
        </w:rPr>
      </w:pPr>
    </w:p>
    <w:p w14:paraId="64CEA651" w14:textId="066AF70F" w:rsidR="005251CB" w:rsidRPr="00377C51" w:rsidRDefault="004402F7" w:rsidP="005251CB">
      <w:pPr>
        <w:tabs>
          <w:tab w:val="left" w:pos="709"/>
        </w:tabs>
        <w:spacing w:after="0" w:line="360" w:lineRule="auto"/>
        <w:jc w:val="both"/>
        <w:rPr>
          <w:rFonts w:ascii="Palatino Linotype" w:hAnsi="Palatino Linotype"/>
          <w:sz w:val="24"/>
          <w:szCs w:val="24"/>
        </w:rPr>
      </w:pPr>
      <w:r w:rsidRPr="00377C51">
        <w:rPr>
          <w:rFonts w:ascii="Palatino Linotype" w:hAnsi="Palatino Linotype"/>
          <w:sz w:val="24"/>
          <w:szCs w:val="24"/>
        </w:rPr>
        <w:t>Al respecto, tal y como quedó debidamente asentado en la resolución materia del presente</w:t>
      </w:r>
      <w:r w:rsidR="005251CB" w:rsidRPr="00377C51">
        <w:rPr>
          <w:rFonts w:ascii="Palatino Linotype" w:hAnsi="Palatino Linotype"/>
          <w:sz w:val="24"/>
          <w:szCs w:val="24"/>
        </w:rPr>
        <w:t xml:space="preserve"> voto, el particular requirió al</w:t>
      </w:r>
      <w:r w:rsidRPr="00377C51">
        <w:rPr>
          <w:rFonts w:ascii="Palatino Linotype" w:hAnsi="Palatino Linotype"/>
          <w:sz w:val="24"/>
          <w:szCs w:val="24"/>
        </w:rPr>
        <w:t xml:space="preserve"> </w:t>
      </w:r>
      <w:r w:rsidR="004F5D2F" w:rsidRPr="00377C51">
        <w:rPr>
          <w:rFonts w:ascii="Palatino Linotype" w:hAnsi="Palatino Linotype"/>
          <w:b/>
          <w:sz w:val="24"/>
          <w:szCs w:val="24"/>
        </w:rPr>
        <w:t>Ayuntamiento de Ocoyoacac</w:t>
      </w:r>
      <w:r w:rsidRPr="00377C51">
        <w:rPr>
          <w:rFonts w:ascii="Palatino Linotype" w:hAnsi="Palatino Linotype"/>
          <w:sz w:val="24"/>
          <w:szCs w:val="24"/>
        </w:rPr>
        <w:t xml:space="preserve">, </w:t>
      </w:r>
      <w:r w:rsidR="004F5D2F" w:rsidRPr="00377C51">
        <w:rPr>
          <w:rFonts w:ascii="Palatino Linotype" w:hAnsi="Palatino Linotype"/>
          <w:b/>
          <w:i/>
          <w:sz w:val="24"/>
          <w:szCs w:val="24"/>
        </w:rPr>
        <w:t xml:space="preserve">copias certificadas </w:t>
      </w:r>
      <w:r w:rsidR="004F5D2F" w:rsidRPr="00377C51">
        <w:rPr>
          <w:rFonts w:ascii="Palatino Linotype" w:hAnsi="Palatino Linotype"/>
          <w:sz w:val="24"/>
          <w:szCs w:val="24"/>
        </w:rPr>
        <w:t>de todo el procedimiento adquisitivo de todos los vehículo para recolección de basura.</w:t>
      </w:r>
    </w:p>
    <w:p w14:paraId="66CF50A8" w14:textId="77777777" w:rsidR="00330955" w:rsidRPr="00377C51" w:rsidRDefault="00330955" w:rsidP="005251CB">
      <w:pPr>
        <w:tabs>
          <w:tab w:val="left" w:pos="709"/>
        </w:tabs>
        <w:spacing w:after="0" w:line="360" w:lineRule="auto"/>
        <w:jc w:val="both"/>
        <w:rPr>
          <w:rFonts w:ascii="Palatino Linotype" w:hAnsi="Palatino Linotype"/>
          <w:sz w:val="24"/>
          <w:szCs w:val="24"/>
        </w:rPr>
      </w:pPr>
    </w:p>
    <w:p w14:paraId="3A563810" w14:textId="77777777" w:rsidR="005251CB" w:rsidRPr="00377C51" w:rsidRDefault="004402F7" w:rsidP="004402F7">
      <w:pPr>
        <w:spacing w:after="0" w:line="360" w:lineRule="auto"/>
        <w:ind w:right="-3"/>
        <w:jc w:val="both"/>
        <w:rPr>
          <w:rFonts w:ascii="Palatino Linotype" w:hAnsi="Palatino Linotype"/>
          <w:sz w:val="24"/>
          <w:szCs w:val="23"/>
        </w:rPr>
      </w:pPr>
      <w:r w:rsidRPr="00377C51">
        <w:rPr>
          <w:rFonts w:ascii="Palatino Linotype" w:hAnsi="Palatino Linotype"/>
          <w:sz w:val="24"/>
          <w:szCs w:val="23"/>
        </w:rPr>
        <w:t xml:space="preserve">Así, de las constancias que obran en el </w:t>
      </w:r>
      <w:r w:rsidRPr="00377C51">
        <w:rPr>
          <w:rFonts w:ascii="Palatino Linotype" w:hAnsi="Palatino Linotype"/>
          <w:b/>
          <w:bCs/>
          <w:sz w:val="24"/>
          <w:szCs w:val="23"/>
        </w:rPr>
        <w:t>S</w:t>
      </w:r>
      <w:r w:rsidR="005251CB" w:rsidRPr="00377C51">
        <w:rPr>
          <w:rFonts w:ascii="Palatino Linotype" w:hAnsi="Palatino Linotype"/>
          <w:b/>
          <w:bCs/>
          <w:sz w:val="24"/>
          <w:szCs w:val="23"/>
        </w:rPr>
        <w:t>AIMEX</w:t>
      </w:r>
      <w:r w:rsidRPr="00377C51">
        <w:rPr>
          <w:rFonts w:ascii="Palatino Linotype" w:hAnsi="Palatino Linotype"/>
          <w:bCs/>
          <w:sz w:val="24"/>
          <w:szCs w:val="23"/>
        </w:rPr>
        <w:t>,</w:t>
      </w:r>
      <w:r w:rsidRPr="00377C51">
        <w:rPr>
          <w:rFonts w:ascii="Palatino Linotype" w:hAnsi="Palatino Linotype"/>
          <w:b/>
          <w:bCs/>
          <w:sz w:val="24"/>
          <w:szCs w:val="23"/>
        </w:rPr>
        <w:t xml:space="preserve"> </w:t>
      </w:r>
      <w:r w:rsidRPr="00377C51">
        <w:rPr>
          <w:rFonts w:ascii="Palatino Linotype" w:hAnsi="Palatino Linotype"/>
          <w:sz w:val="24"/>
          <w:szCs w:val="23"/>
        </w:rPr>
        <w:t xml:space="preserve">se advierte que </w:t>
      </w:r>
      <w:r w:rsidRPr="00377C51">
        <w:rPr>
          <w:rFonts w:ascii="Palatino Linotype" w:hAnsi="Palatino Linotype"/>
          <w:bCs/>
          <w:sz w:val="24"/>
          <w:szCs w:val="23"/>
        </w:rPr>
        <w:t xml:space="preserve">el </w:t>
      </w:r>
      <w:r w:rsidRPr="00377C51">
        <w:rPr>
          <w:rFonts w:ascii="Palatino Linotype" w:hAnsi="Palatino Linotype"/>
          <w:b/>
          <w:bCs/>
          <w:sz w:val="24"/>
          <w:szCs w:val="23"/>
        </w:rPr>
        <w:t xml:space="preserve">Sujeto Obligado </w:t>
      </w:r>
      <w:r w:rsidRPr="00377C51">
        <w:rPr>
          <w:rFonts w:ascii="Palatino Linotype" w:hAnsi="Palatino Linotype"/>
          <w:sz w:val="24"/>
          <w:szCs w:val="23"/>
        </w:rPr>
        <w:t>dio respuesta a la solicitud de acceso a información pública ejercida por el particular,</w:t>
      </w:r>
      <w:r w:rsidR="005251CB" w:rsidRPr="00377C51">
        <w:rPr>
          <w:rFonts w:ascii="Palatino Linotype" w:hAnsi="Palatino Linotype"/>
          <w:sz w:val="24"/>
          <w:szCs w:val="23"/>
        </w:rPr>
        <w:t xml:space="preserve"> señalando no contar con información </w:t>
      </w:r>
      <w:r w:rsidR="004F5D2F" w:rsidRPr="00377C51">
        <w:rPr>
          <w:rFonts w:ascii="Palatino Linotype" w:hAnsi="Palatino Linotype"/>
          <w:sz w:val="24"/>
          <w:szCs w:val="23"/>
        </w:rPr>
        <w:t>durante este periodo ningún procedimiento para la adquisición de vehículos para recolección de basura</w:t>
      </w:r>
      <w:r w:rsidR="005251CB" w:rsidRPr="00377C51">
        <w:rPr>
          <w:rFonts w:ascii="Palatino Linotype" w:hAnsi="Palatino Linotype"/>
          <w:sz w:val="24"/>
          <w:szCs w:val="23"/>
        </w:rPr>
        <w:t>.</w:t>
      </w:r>
    </w:p>
    <w:p w14:paraId="2D21ADD0" w14:textId="77777777" w:rsidR="00377C51" w:rsidRDefault="00377C51" w:rsidP="004402F7">
      <w:pPr>
        <w:spacing w:after="0" w:line="360" w:lineRule="auto"/>
        <w:ind w:right="-3"/>
        <w:jc w:val="both"/>
        <w:rPr>
          <w:rFonts w:ascii="Palatino Linotype" w:eastAsia="Times New Roman" w:hAnsi="Palatino Linotype" w:cs="Times New Roman"/>
          <w:sz w:val="24"/>
          <w:szCs w:val="24"/>
          <w:lang w:val="es-ES_tradnl" w:eastAsia="es-ES"/>
        </w:rPr>
      </w:pPr>
    </w:p>
    <w:p w14:paraId="18B1A165"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r w:rsidRPr="00377C51">
        <w:rPr>
          <w:rFonts w:ascii="Palatino Linotype" w:eastAsia="Times New Roman" w:hAnsi="Palatino Linotype" w:cs="Times New Roman"/>
          <w:sz w:val="24"/>
          <w:szCs w:val="24"/>
          <w:lang w:val="es-ES_tradnl" w:eastAsia="es-ES"/>
        </w:rPr>
        <w:lastRenderedPageBreak/>
        <w:t>Inconforme con la respuesta proporcionada, el</w:t>
      </w:r>
      <w:r w:rsidRPr="00377C51">
        <w:rPr>
          <w:rFonts w:ascii="Palatino Linotype" w:eastAsia="Times New Roman" w:hAnsi="Palatino Linotype" w:cs="Times New Roman"/>
          <w:b/>
          <w:sz w:val="24"/>
          <w:szCs w:val="24"/>
          <w:lang w:val="es-ES_tradnl" w:eastAsia="es-ES"/>
        </w:rPr>
        <w:t xml:space="preserve"> Recurrente</w:t>
      </w:r>
      <w:r w:rsidRPr="00377C51">
        <w:rPr>
          <w:rFonts w:ascii="Palatino Linotype" w:eastAsia="Times New Roman" w:hAnsi="Palatino Linotype" w:cs="Times New Roman"/>
          <w:sz w:val="24"/>
          <w:szCs w:val="24"/>
          <w:lang w:val="es-ES_tradnl" w:eastAsia="es-ES"/>
        </w:rPr>
        <w:t xml:space="preserve"> interpuso el recurso de revisión de mérito, manifestando como acto impugnado y sus motivos de inconformidad, lo siguiente:</w:t>
      </w:r>
    </w:p>
    <w:p w14:paraId="71896286"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14:paraId="3E95AFC8" w14:textId="77777777" w:rsidR="004402F7" w:rsidRPr="00377C51" w:rsidRDefault="004402F7" w:rsidP="004402F7">
      <w:pPr>
        <w:spacing w:after="0" w:line="276" w:lineRule="auto"/>
        <w:ind w:left="567" w:right="423"/>
        <w:jc w:val="both"/>
        <w:rPr>
          <w:rFonts w:ascii="Palatino Linotype" w:hAnsi="Palatino Linotype" w:cs="Arial"/>
          <w:i/>
          <w:sz w:val="24"/>
          <w:szCs w:val="24"/>
        </w:rPr>
      </w:pPr>
      <w:r w:rsidRPr="00377C51">
        <w:rPr>
          <w:rFonts w:ascii="Palatino Linotype" w:hAnsi="Palatino Linotype" w:cs="Arial"/>
          <w:i/>
          <w:sz w:val="24"/>
          <w:szCs w:val="24"/>
        </w:rPr>
        <w:t>“</w:t>
      </w:r>
      <w:r w:rsidR="004F5D2F" w:rsidRPr="00377C51">
        <w:rPr>
          <w:rFonts w:ascii="Palatino Linotype" w:hAnsi="Palatino Linotype" w:cs="Arial"/>
          <w:i/>
          <w:sz w:val="24"/>
          <w:szCs w:val="24"/>
        </w:rPr>
        <w:t>Me dicen que no llevaron procedimientos, pero no pedí eso, pedí de los vehículos de recolección que tienen.</w:t>
      </w:r>
      <w:r w:rsidRPr="00377C51">
        <w:rPr>
          <w:rFonts w:ascii="Palatino Linotype" w:hAnsi="Palatino Linotype" w:cs="Arial"/>
          <w:i/>
          <w:sz w:val="24"/>
          <w:szCs w:val="24"/>
        </w:rPr>
        <w:t>” [Sic]</w:t>
      </w:r>
    </w:p>
    <w:p w14:paraId="0F85644D"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14:paraId="0B658CE2" w14:textId="77777777" w:rsidR="004402F7" w:rsidRPr="00377C51" w:rsidRDefault="004402F7" w:rsidP="004402F7">
      <w:pPr>
        <w:spacing w:after="0" w:line="240" w:lineRule="auto"/>
        <w:ind w:left="567" w:right="567"/>
        <w:jc w:val="both"/>
        <w:rPr>
          <w:rFonts w:ascii="Palatino Linotype" w:hAnsi="Palatino Linotype" w:cs="Arial"/>
          <w:sz w:val="24"/>
        </w:rPr>
      </w:pPr>
      <w:r w:rsidRPr="00377C51">
        <w:rPr>
          <w:rFonts w:ascii="Palatino Linotype" w:eastAsia="Times New Roman" w:hAnsi="Palatino Linotype" w:cs="Arial"/>
          <w:i/>
          <w:sz w:val="24"/>
          <w:szCs w:val="24"/>
          <w:lang w:val="es-ES" w:eastAsia="es-ES"/>
        </w:rPr>
        <w:t>“</w:t>
      </w:r>
      <w:r w:rsidR="004F5D2F" w:rsidRPr="00377C51">
        <w:rPr>
          <w:rFonts w:ascii="Palatino Linotype" w:eastAsia="Times New Roman" w:hAnsi="Palatino Linotype" w:cs="Arial"/>
          <w:i/>
          <w:sz w:val="24"/>
          <w:szCs w:val="24"/>
          <w:lang w:val="es-ES" w:eastAsia="es-ES"/>
        </w:rPr>
        <w:t>Me niegan la información por ladrones</w:t>
      </w:r>
      <w:r w:rsidR="00FF10CB" w:rsidRPr="00377C51">
        <w:rPr>
          <w:rFonts w:ascii="Palatino Linotype" w:eastAsia="Times New Roman" w:hAnsi="Palatino Linotype" w:cs="Arial"/>
          <w:i/>
          <w:sz w:val="24"/>
          <w:szCs w:val="24"/>
          <w:lang w:val="es-ES" w:eastAsia="es-ES"/>
        </w:rPr>
        <w:t>” [Sic]</w:t>
      </w:r>
    </w:p>
    <w:p w14:paraId="51DA6256" w14:textId="77777777" w:rsidR="004402F7" w:rsidRPr="00377C51" w:rsidRDefault="004402F7" w:rsidP="004402F7">
      <w:pPr>
        <w:spacing w:after="0" w:line="360" w:lineRule="auto"/>
        <w:ind w:right="-3"/>
        <w:jc w:val="both"/>
        <w:rPr>
          <w:rFonts w:ascii="Palatino Linotype" w:eastAsia="Times New Roman" w:hAnsi="Palatino Linotype" w:cs="Times New Roman"/>
          <w:sz w:val="24"/>
          <w:szCs w:val="24"/>
          <w:lang w:val="es-ES_tradnl" w:eastAsia="es-ES"/>
        </w:rPr>
      </w:pPr>
    </w:p>
    <w:p w14:paraId="41FB6BD6" w14:textId="77777777" w:rsidR="004402F7" w:rsidRPr="00377C51" w:rsidRDefault="004402F7" w:rsidP="004402F7">
      <w:pPr>
        <w:tabs>
          <w:tab w:val="left" w:pos="709"/>
        </w:tabs>
        <w:spacing w:line="360" w:lineRule="auto"/>
        <w:ind w:right="-3"/>
        <w:jc w:val="both"/>
        <w:rPr>
          <w:rFonts w:ascii="Palatino Linotype" w:hAnsi="Palatino Linotype"/>
          <w:sz w:val="24"/>
          <w:szCs w:val="23"/>
        </w:rPr>
      </w:pPr>
      <w:r w:rsidRPr="00377C51">
        <w:rPr>
          <w:rFonts w:ascii="Palatino Linotype" w:hAnsi="Palatino Linotype"/>
          <w:sz w:val="24"/>
          <w:szCs w:val="23"/>
        </w:rPr>
        <w:t xml:space="preserve">Así, del estudio al expediente electrónico, la Ponencia Resolutora determinó </w:t>
      </w:r>
      <w:r w:rsidR="004F5D2F" w:rsidRPr="00377C51">
        <w:rPr>
          <w:rFonts w:ascii="Palatino Linotype" w:hAnsi="Palatino Linotype"/>
          <w:b/>
          <w:bCs/>
          <w:sz w:val="24"/>
          <w:szCs w:val="23"/>
        </w:rPr>
        <w:t>MODIFC</w:t>
      </w:r>
      <w:r w:rsidRPr="00377C51">
        <w:rPr>
          <w:rFonts w:ascii="Palatino Linotype" w:hAnsi="Palatino Linotype"/>
          <w:b/>
          <w:bCs/>
          <w:sz w:val="24"/>
          <w:szCs w:val="23"/>
        </w:rPr>
        <w:t xml:space="preserve">AR </w:t>
      </w:r>
      <w:r w:rsidRPr="00377C51">
        <w:rPr>
          <w:rFonts w:ascii="Palatino Linotype" w:hAnsi="Palatino Linotype"/>
          <w:sz w:val="24"/>
          <w:szCs w:val="23"/>
        </w:rPr>
        <w:t xml:space="preserve">la respuesta del </w:t>
      </w:r>
      <w:r w:rsidRPr="00377C51">
        <w:rPr>
          <w:rFonts w:ascii="Palatino Linotype" w:hAnsi="Palatino Linotype"/>
          <w:b/>
          <w:bCs/>
          <w:sz w:val="24"/>
          <w:szCs w:val="23"/>
        </w:rPr>
        <w:t>Sujeto Obligado</w:t>
      </w:r>
      <w:r w:rsidRPr="00377C51">
        <w:rPr>
          <w:rFonts w:ascii="Palatino Linotype" w:hAnsi="Palatino Linotype"/>
          <w:bCs/>
          <w:sz w:val="24"/>
          <w:szCs w:val="23"/>
        </w:rPr>
        <w:t xml:space="preserve">, </w:t>
      </w:r>
      <w:r w:rsidRPr="00377C51">
        <w:rPr>
          <w:rFonts w:ascii="Palatino Linotype" w:hAnsi="Palatino Linotype"/>
          <w:sz w:val="24"/>
          <w:szCs w:val="23"/>
        </w:rPr>
        <w:t xml:space="preserve">ordenando </w:t>
      </w:r>
      <w:r w:rsidR="004F5D2F" w:rsidRPr="00377C51">
        <w:rPr>
          <w:rFonts w:ascii="Palatino Linotype" w:hAnsi="Palatino Linotype"/>
          <w:sz w:val="24"/>
          <w:szCs w:val="23"/>
        </w:rPr>
        <w:tab/>
        <w:t xml:space="preserve">que en caso de que </w:t>
      </w:r>
      <w:r w:rsidR="001F4BBB" w:rsidRPr="00377C51">
        <w:rPr>
          <w:rFonts w:ascii="Palatino Linotype" w:hAnsi="Palatino Linotype"/>
          <w:sz w:val="24"/>
          <w:szCs w:val="23"/>
        </w:rPr>
        <w:t>la información obre</w:t>
      </w:r>
      <w:r w:rsidR="004F5D2F" w:rsidRPr="00377C51">
        <w:rPr>
          <w:rFonts w:ascii="Palatino Linotype" w:hAnsi="Palatino Linotype"/>
          <w:sz w:val="24"/>
          <w:szCs w:val="23"/>
        </w:rPr>
        <w:t xml:space="preserve"> en menos de veinte hojas, deberá entregarse de forma gratuita al Particular </w:t>
      </w:r>
      <w:r w:rsidRPr="00377C51">
        <w:rPr>
          <w:rFonts w:ascii="Palatino Linotype" w:hAnsi="Palatino Linotype"/>
          <w:sz w:val="24"/>
          <w:szCs w:val="23"/>
        </w:rPr>
        <w:t xml:space="preserve">en </w:t>
      </w:r>
      <w:r w:rsidR="004F5D2F" w:rsidRPr="00377C51">
        <w:rPr>
          <w:rFonts w:ascii="Palatino Linotype" w:hAnsi="Palatino Linotype"/>
          <w:b/>
          <w:i/>
          <w:sz w:val="24"/>
          <w:szCs w:val="23"/>
        </w:rPr>
        <w:t>(</w:t>
      </w:r>
      <w:r w:rsidRPr="00377C51">
        <w:rPr>
          <w:rFonts w:ascii="Palatino Linotype" w:hAnsi="Palatino Linotype"/>
          <w:b/>
          <w:i/>
          <w:sz w:val="24"/>
          <w:szCs w:val="23"/>
        </w:rPr>
        <w:t>Copias Certificadas sin costo</w:t>
      </w:r>
      <w:r w:rsidR="004F5D2F" w:rsidRPr="00377C51">
        <w:rPr>
          <w:rFonts w:ascii="Palatino Linotype" w:hAnsi="Palatino Linotype"/>
          <w:b/>
          <w:i/>
          <w:sz w:val="24"/>
          <w:szCs w:val="23"/>
        </w:rPr>
        <w:t>)</w:t>
      </w:r>
      <w:r w:rsidRPr="00377C51">
        <w:rPr>
          <w:rFonts w:ascii="Palatino Linotype" w:hAnsi="Palatino Linotype"/>
          <w:sz w:val="24"/>
          <w:szCs w:val="23"/>
        </w:rPr>
        <w:t>, lo siguiente:</w:t>
      </w:r>
    </w:p>
    <w:p w14:paraId="6564CE7A" w14:textId="77777777" w:rsidR="00FF10CB" w:rsidRPr="00377C51" w:rsidRDefault="004402F7" w:rsidP="00FF10CB">
      <w:pPr>
        <w:pStyle w:val="Sinespaciado"/>
        <w:ind w:left="567" w:right="564"/>
        <w:rPr>
          <w:rFonts w:ascii="Palatino Linotype" w:hAnsi="Palatino Linotype"/>
          <w:i/>
          <w:szCs w:val="22"/>
        </w:rPr>
      </w:pPr>
      <w:r w:rsidRPr="00377C51">
        <w:rPr>
          <w:rFonts w:ascii="Palatino Linotype" w:hAnsi="Palatino Linotype"/>
          <w:i/>
          <w:szCs w:val="22"/>
        </w:rPr>
        <w:t>“</w:t>
      </w:r>
      <w:r w:rsidR="00FF10CB" w:rsidRPr="00377C51">
        <w:rPr>
          <w:rFonts w:ascii="Palatino Linotype" w:hAnsi="Palatino Linotype"/>
          <w:i/>
          <w:szCs w:val="22"/>
        </w:rPr>
        <w:t>(</w:t>
      </w:r>
      <w:r w:rsidRPr="00377C51">
        <w:rPr>
          <w:rFonts w:ascii="Palatino Linotype" w:hAnsi="Palatino Linotype"/>
          <w:i/>
          <w:szCs w:val="22"/>
        </w:rPr>
        <w:t>…</w:t>
      </w:r>
      <w:r w:rsidR="00FF10CB" w:rsidRPr="00377C51">
        <w:rPr>
          <w:rFonts w:ascii="Palatino Linotype" w:hAnsi="Palatino Linotype"/>
          <w:i/>
          <w:szCs w:val="22"/>
        </w:rPr>
        <w:t xml:space="preserve">) </w:t>
      </w:r>
    </w:p>
    <w:p w14:paraId="67520113" w14:textId="77777777" w:rsidR="004F5D2F" w:rsidRPr="00377C51" w:rsidRDefault="004F5D2F" w:rsidP="00B0055F">
      <w:pPr>
        <w:pStyle w:val="Sinespaciado"/>
        <w:numPr>
          <w:ilvl w:val="0"/>
          <w:numId w:val="10"/>
        </w:numPr>
        <w:ind w:right="564"/>
        <w:jc w:val="both"/>
        <w:rPr>
          <w:rFonts w:ascii="Palatino Linotype" w:hAnsi="Palatino Linotype"/>
          <w:i/>
          <w:iCs/>
          <w:lang w:val="es-ES"/>
        </w:rPr>
      </w:pPr>
      <w:r w:rsidRPr="00377C51">
        <w:rPr>
          <w:rFonts w:ascii="Palatino Linotype" w:hAnsi="Palatino Linotype"/>
          <w:i/>
        </w:rPr>
        <w:t xml:space="preserve">Del procedimiento adquisitivo de los vehículos para recolección de basura con lo que contaba el </w:t>
      </w:r>
      <w:r w:rsidRPr="00377C51">
        <w:rPr>
          <w:rFonts w:ascii="Palatino Linotype" w:hAnsi="Palatino Linotype"/>
          <w:b/>
          <w:i/>
        </w:rPr>
        <w:t>Sujeto Obligado</w:t>
      </w:r>
      <w:r w:rsidRPr="00377C51">
        <w:rPr>
          <w:rFonts w:ascii="Palatino Linotype" w:hAnsi="Palatino Linotype"/>
          <w:i/>
        </w:rPr>
        <w:t xml:space="preserve"> al nueve de julio de dos mil veintiuno.</w:t>
      </w:r>
    </w:p>
    <w:p w14:paraId="50001F2D" w14:textId="77777777" w:rsidR="004F5D2F" w:rsidRPr="00377C51" w:rsidRDefault="004F5D2F" w:rsidP="00B0055F">
      <w:pPr>
        <w:pStyle w:val="Sinespaciado"/>
        <w:numPr>
          <w:ilvl w:val="0"/>
          <w:numId w:val="10"/>
        </w:numPr>
        <w:ind w:right="564"/>
        <w:jc w:val="both"/>
        <w:rPr>
          <w:rFonts w:ascii="Palatino Linotype" w:hAnsi="Palatino Linotype"/>
          <w:i/>
          <w:iCs/>
          <w:lang w:val="es-ES"/>
        </w:rPr>
      </w:pPr>
      <w:r w:rsidRPr="00377C51">
        <w:rPr>
          <w:rFonts w:ascii="Palatino Linotype" w:hAnsi="Palatino Linotype"/>
          <w:bCs/>
          <w:i/>
          <w:iCs/>
        </w:rPr>
        <w:t>Los datos necesarios para que, se le entregue al Particular las</w:t>
      </w:r>
      <w:r w:rsidRPr="00377C51">
        <w:rPr>
          <w:rFonts w:ascii="Palatino Linotype" w:hAnsi="Palatino Linotype"/>
          <w:i/>
        </w:rPr>
        <w:t xml:space="preserve"> copias certificadas de la documentación ordenada en el punto 1.</w:t>
      </w:r>
    </w:p>
    <w:p w14:paraId="2FB8E30E" w14:textId="77777777" w:rsidR="00FF10CB" w:rsidRPr="00377C51" w:rsidRDefault="00FF10CB" w:rsidP="00B0055F">
      <w:pPr>
        <w:pStyle w:val="Sinespaciado"/>
        <w:ind w:left="567" w:right="564"/>
        <w:jc w:val="both"/>
        <w:rPr>
          <w:rFonts w:ascii="Palatino Linotype" w:hAnsi="Palatino Linotype"/>
          <w:i/>
          <w:szCs w:val="22"/>
        </w:rPr>
      </w:pPr>
      <w:r w:rsidRPr="00377C51">
        <w:rPr>
          <w:rFonts w:ascii="Palatino Linotype" w:hAnsi="Palatino Linotype"/>
          <w:i/>
          <w:szCs w:val="22"/>
        </w:rPr>
        <w:t>(…)</w:t>
      </w:r>
    </w:p>
    <w:p w14:paraId="62EB6487" w14:textId="77777777" w:rsidR="004402F7" w:rsidRPr="00377C51" w:rsidRDefault="004F5D2F" w:rsidP="00B0055F">
      <w:pPr>
        <w:tabs>
          <w:tab w:val="left" w:pos="4962"/>
        </w:tabs>
        <w:spacing w:line="240" w:lineRule="auto"/>
        <w:ind w:left="567" w:right="564"/>
        <w:jc w:val="both"/>
        <w:rPr>
          <w:rFonts w:ascii="Palatino Linotype" w:hAnsi="Palatino Linotype" w:cs="Tahoma"/>
          <w:i/>
          <w:lang w:val="es-ES"/>
        </w:rPr>
      </w:pPr>
      <w:r w:rsidRPr="00377C51">
        <w:rPr>
          <w:rFonts w:ascii="Palatino Linotype" w:hAnsi="Palatino Linotype" w:cs="Tahoma"/>
          <w:i/>
          <w:iCs/>
          <w:lang w:eastAsia="es-ES_tradnl"/>
        </w:rPr>
        <w:t xml:space="preserve">Para el caso de lo ordenado en el punto 2; </w:t>
      </w:r>
      <w:r w:rsidRPr="00377C51">
        <w:rPr>
          <w:rFonts w:ascii="Palatino Linotype" w:hAnsi="Palatino Linotype" w:cs="Tahoma"/>
          <w:b/>
          <w:i/>
          <w:iCs/>
          <w:u w:val="single"/>
          <w:lang w:eastAsia="es-ES_tradnl"/>
        </w:rPr>
        <w:t>si la información obra en menos de veinte hojas, deberá entregarse de forma gratuita al Particular</w:t>
      </w:r>
      <w:r w:rsidRPr="00377C51">
        <w:rPr>
          <w:rFonts w:ascii="Palatino Linotype" w:hAnsi="Palatino Linotype" w:cs="Tahoma"/>
          <w:i/>
          <w:iCs/>
          <w:lang w:eastAsia="es-ES_tradnl"/>
        </w:rPr>
        <w:t>; pero, si la documentación rebasa dicha cantidad deberá entregarse previo pago correspondiente; en su caso, la cantidad a pagar y el procedimiento correspondiente deberá ser informada al Recurrente en el cumplimiento al presente fallo vía Sistema de Acceso a la Información Mexiquense (SAIMEX).</w:t>
      </w:r>
      <w:r w:rsidR="00FF10CB" w:rsidRPr="00377C51">
        <w:rPr>
          <w:rFonts w:ascii="Palatino Linotype" w:hAnsi="Palatino Linotype" w:cs="Tahoma"/>
          <w:i/>
          <w:lang w:val="es-ES"/>
        </w:rPr>
        <w:t>”</w:t>
      </w:r>
    </w:p>
    <w:p w14:paraId="7B7C8414" w14:textId="77777777" w:rsidR="00330955" w:rsidRPr="00377C51" w:rsidRDefault="00330955" w:rsidP="00FF10CB">
      <w:pPr>
        <w:spacing w:after="0" w:line="360" w:lineRule="auto"/>
        <w:jc w:val="both"/>
        <w:rPr>
          <w:rFonts w:ascii="Palatino Linotype" w:hAnsi="Palatino Linotype"/>
          <w:sz w:val="24"/>
          <w:szCs w:val="24"/>
        </w:rPr>
      </w:pPr>
    </w:p>
    <w:p w14:paraId="72E3E8D3" w14:textId="77777777" w:rsidR="00330955" w:rsidRPr="00377C51" w:rsidRDefault="00330955" w:rsidP="00330955">
      <w:pPr>
        <w:pStyle w:val="Sinespaciado"/>
        <w:spacing w:line="360" w:lineRule="auto"/>
        <w:jc w:val="both"/>
        <w:rPr>
          <w:rFonts w:ascii="Palatino Linotype" w:hAnsi="Palatino Linotype"/>
        </w:rPr>
      </w:pPr>
      <w:r w:rsidRPr="00377C51">
        <w:rPr>
          <w:rFonts w:ascii="Palatino Linotype" w:hAnsi="Palatino Linotype"/>
        </w:rPr>
        <w:lastRenderedPageBreak/>
        <w:t xml:space="preserve">Por lo anterior es que se llega al punto en disenso, toda vez que quien suscribe considera que, si bien se debe ordenar la entrega de la información solicitada por el </w:t>
      </w:r>
      <w:r w:rsidRPr="00377C51">
        <w:rPr>
          <w:rFonts w:ascii="Palatino Linotype" w:hAnsi="Palatino Linotype"/>
          <w:b/>
        </w:rPr>
        <w:t>Recurrente</w:t>
      </w:r>
      <w:r w:rsidRPr="00377C51">
        <w:rPr>
          <w:rFonts w:ascii="Palatino Linotype" w:hAnsi="Palatino Linotype"/>
        </w:rPr>
        <w:t xml:space="preserve"> en la modalidad solicitada, </w:t>
      </w:r>
      <w:r w:rsidRPr="00377C51">
        <w:rPr>
          <w:rFonts w:ascii="Palatino Linotype" w:hAnsi="Palatino Linotype"/>
          <w:b/>
          <w:u w:val="single"/>
        </w:rPr>
        <w:t>esto es vía SAIMEX y en copias certificadas</w:t>
      </w:r>
      <w:r w:rsidRPr="00377C51">
        <w:rPr>
          <w:rFonts w:ascii="Palatino Linotype" w:hAnsi="Palatino Linotype"/>
        </w:rPr>
        <w:t xml:space="preserve">, éstas últimas tendrían que ser entregadas </w:t>
      </w:r>
      <w:r w:rsidR="005543EB" w:rsidRPr="00377C51">
        <w:rPr>
          <w:rFonts w:ascii="Palatino Linotype" w:hAnsi="Palatino Linotype"/>
        </w:rPr>
        <w:t xml:space="preserve">en su totalidad </w:t>
      </w:r>
      <w:r w:rsidRPr="00377C51">
        <w:rPr>
          <w:rFonts w:ascii="Palatino Linotype" w:hAnsi="Palatino Linotype"/>
        </w:rPr>
        <w:t xml:space="preserve">con costo conforme a las consideraciones que se exponen a continuación: </w:t>
      </w:r>
    </w:p>
    <w:p w14:paraId="2C67E6B5" w14:textId="77777777" w:rsidR="001F4BBB" w:rsidRPr="00377C51" w:rsidRDefault="001F4BBB" w:rsidP="00330955">
      <w:pPr>
        <w:tabs>
          <w:tab w:val="left" w:pos="709"/>
        </w:tabs>
        <w:spacing w:after="0" w:line="360" w:lineRule="auto"/>
        <w:ind w:right="51"/>
        <w:jc w:val="both"/>
        <w:rPr>
          <w:rFonts w:ascii="Palatino Linotype" w:hAnsi="Palatino Linotype"/>
          <w:sz w:val="24"/>
        </w:rPr>
      </w:pPr>
    </w:p>
    <w:p w14:paraId="290A7191" w14:textId="77777777" w:rsidR="00330955" w:rsidRPr="00377C51" w:rsidRDefault="00330955" w:rsidP="0033095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En primer término, desde una perspectiva etimológica la palabra certificar proviene del latín </w:t>
      </w:r>
      <w:r w:rsidRPr="00377C51">
        <w:rPr>
          <w:rFonts w:ascii="Palatino Linotype" w:hAnsi="Palatino Linotype"/>
          <w:b/>
          <w:i/>
          <w:sz w:val="24"/>
        </w:rPr>
        <w:t xml:space="preserve">certificare, </w:t>
      </w:r>
      <w:r w:rsidRPr="00377C51">
        <w:rPr>
          <w:rFonts w:ascii="Palatino Linotype" w:hAnsi="Palatino Linotype"/>
          <w:sz w:val="24"/>
        </w:rPr>
        <w:t xml:space="preserve">forma verbal de </w:t>
      </w:r>
      <w:proofErr w:type="spellStart"/>
      <w:r w:rsidRPr="00377C51">
        <w:rPr>
          <w:rFonts w:ascii="Palatino Linotype" w:hAnsi="Palatino Linotype"/>
          <w:b/>
          <w:i/>
          <w:sz w:val="24"/>
        </w:rPr>
        <w:t>certus</w:t>
      </w:r>
      <w:proofErr w:type="spellEnd"/>
      <w:r w:rsidRPr="00377C51">
        <w:rPr>
          <w:rFonts w:ascii="Palatino Linotype" w:hAnsi="Palatino Linotype"/>
          <w:b/>
          <w:i/>
          <w:sz w:val="24"/>
        </w:rPr>
        <w:t xml:space="preserve"> </w:t>
      </w:r>
      <w:r w:rsidRPr="00377C51">
        <w:rPr>
          <w:rFonts w:ascii="Palatino Linotype" w:hAnsi="Palatino Linotype"/>
          <w:sz w:val="24"/>
        </w:rPr>
        <w:t xml:space="preserve">(cierto, decidido, resuelto, seguro, real) y </w:t>
      </w:r>
      <w:proofErr w:type="spellStart"/>
      <w:r w:rsidRPr="00377C51">
        <w:rPr>
          <w:rFonts w:ascii="Palatino Linotype" w:hAnsi="Palatino Linotype"/>
          <w:b/>
          <w:i/>
          <w:sz w:val="24"/>
        </w:rPr>
        <w:t>facere</w:t>
      </w:r>
      <w:proofErr w:type="spellEnd"/>
      <w:r w:rsidR="001F4BBB" w:rsidRPr="00377C51">
        <w:rPr>
          <w:rFonts w:ascii="Palatino Linotype" w:hAnsi="Palatino Linotype"/>
          <w:sz w:val="24"/>
        </w:rPr>
        <w:t xml:space="preserve"> </w:t>
      </w:r>
      <w:r w:rsidRPr="00377C51">
        <w:rPr>
          <w:rFonts w:ascii="Palatino Linotype" w:hAnsi="Palatino Linotype"/>
          <w:sz w:val="24"/>
        </w:rPr>
        <w:t xml:space="preserve">(hacer). Asimismo, la Real Academia Española la define como: </w:t>
      </w:r>
    </w:p>
    <w:p w14:paraId="10B389EA" w14:textId="77777777" w:rsidR="00330955" w:rsidRPr="00377C51" w:rsidRDefault="00330955" w:rsidP="00330955">
      <w:pPr>
        <w:pStyle w:val="Sinespaciado"/>
      </w:pPr>
    </w:p>
    <w:p w14:paraId="52BE9F5D" w14:textId="77777777" w:rsidR="00330955" w:rsidRPr="00377C51" w:rsidRDefault="00330955" w:rsidP="00330955">
      <w:pPr>
        <w:pStyle w:val="Citas"/>
        <w:spacing w:before="0" w:after="0" w:line="240" w:lineRule="auto"/>
        <w:ind w:left="567" w:right="423"/>
      </w:pPr>
      <w:r w:rsidRPr="00377C51">
        <w:t xml:space="preserve">“1. Asegurar, afirmar, dar por cierto algo. </w:t>
      </w:r>
    </w:p>
    <w:p w14:paraId="75F485F4" w14:textId="77777777" w:rsidR="00330955" w:rsidRPr="00377C51" w:rsidRDefault="00330955" w:rsidP="00330955">
      <w:pPr>
        <w:pStyle w:val="Citas"/>
        <w:spacing w:before="0" w:after="0" w:line="240" w:lineRule="auto"/>
        <w:ind w:left="567" w:right="423"/>
      </w:pPr>
      <w:r w:rsidRPr="00377C51">
        <w:t xml:space="preserve">2. Obtener, mediante pago, un certificado o resguardo por el cual el servicio de correos se obliga a hacer llegar a su destino una carta o un paquete que se ha de remitir por esa vía. </w:t>
      </w:r>
    </w:p>
    <w:p w14:paraId="40C3D34F" w14:textId="77777777" w:rsidR="00330955" w:rsidRPr="00377C51" w:rsidRDefault="00330955" w:rsidP="00330955">
      <w:pPr>
        <w:pStyle w:val="Citas"/>
        <w:spacing w:before="0" w:after="0" w:line="240" w:lineRule="auto"/>
        <w:ind w:left="567" w:right="423"/>
      </w:pPr>
      <w:r w:rsidRPr="00377C51">
        <w:t xml:space="preserve">3. Dicho de una autoridad competente: Hacer constar por escrito una realidad de hecho. </w:t>
      </w:r>
    </w:p>
    <w:p w14:paraId="338E464E" w14:textId="77777777" w:rsidR="00330955" w:rsidRPr="00377C51" w:rsidRDefault="00330955" w:rsidP="00330955">
      <w:pPr>
        <w:pStyle w:val="Citas"/>
        <w:spacing w:before="0" w:after="0" w:line="240" w:lineRule="auto"/>
        <w:ind w:left="567" w:right="423"/>
      </w:pPr>
      <w:r w:rsidRPr="00377C51">
        <w:t xml:space="preserve">4. Fijar, señalar con certeza” [Sic] </w:t>
      </w:r>
    </w:p>
    <w:p w14:paraId="742BF88C" w14:textId="77777777" w:rsidR="00330955" w:rsidRPr="00377C51" w:rsidRDefault="00330955" w:rsidP="00330955">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55EB075F" w14:textId="77777777" w:rsidR="00330955" w:rsidRPr="00377C51" w:rsidRDefault="00330955" w:rsidP="00330955">
      <w:pPr>
        <w:pStyle w:val="Prrafodelista"/>
        <w:autoSpaceDE w:val="0"/>
        <w:autoSpaceDN w:val="0"/>
        <w:adjustRightInd w:val="0"/>
        <w:spacing w:line="360" w:lineRule="auto"/>
        <w:ind w:left="0"/>
        <w:jc w:val="both"/>
        <w:rPr>
          <w:rFonts w:ascii="Palatino Linotype" w:hAnsi="Palatino Linotype" w:cs="Arial"/>
          <w:szCs w:val="22"/>
        </w:rPr>
      </w:pPr>
      <w:r w:rsidRPr="00377C51">
        <w:rPr>
          <w:rFonts w:ascii="Palatino Linotype" w:hAnsi="Palatino Linotype" w:cs="Arial"/>
          <w:szCs w:val="22"/>
        </w:rPr>
        <w:t xml:space="preserve">De forma complementaria, Rafael de Pina (2013), en su obra </w:t>
      </w:r>
      <w:r w:rsidRPr="00377C51">
        <w:rPr>
          <w:rFonts w:ascii="Palatino Linotype" w:hAnsi="Palatino Linotype" w:cs="Arial"/>
          <w:i/>
          <w:szCs w:val="22"/>
        </w:rPr>
        <w:t xml:space="preserve">“Diccionario de Derecho” </w:t>
      </w:r>
      <w:r w:rsidRPr="00377C51">
        <w:rPr>
          <w:rFonts w:ascii="Palatino Linotype" w:hAnsi="Palatino Linotype" w:cs="Arial"/>
          <w:szCs w:val="22"/>
        </w:rPr>
        <w:t xml:space="preserve">delimita las fronteras conceptuales de la palabra </w:t>
      </w:r>
      <w:r w:rsidRPr="00377C51">
        <w:rPr>
          <w:rFonts w:ascii="Palatino Linotype" w:hAnsi="Palatino Linotype" w:cs="Arial"/>
          <w:b/>
          <w:i/>
          <w:szCs w:val="22"/>
        </w:rPr>
        <w:t xml:space="preserve">certificación </w:t>
      </w:r>
      <w:r w:rsidRPr="00377C51">
        <w:rPr>
          <w:rFonts w:ascii="Palatino Linotype" w:hAnsi="Palatino Linotype" w:cs="Arial"/>
          <w:szCs w:val="22"/>
        </w:rPr>
        <w:t xml:space="preserve">en los siguientes términos: </w:t>
      </w:r>
    </w:p>
    <w:p w14:paraId="3486B2BC" w14:textId="77777777" w:rsidR="00330955" w:rsidRPr="00377C51" w:rsidRDefault="00330955" w:rsidP="00330955">
      <w:pPr>
        <w:pStyle w:val="Sinespaciado"/>
      </w:pPr>
    </w:p>
    <w:p w14:paraId="2E83AD5D" w14:textId="77777777" w:rsidR="00330955" w:rsidRPr="00377C51" w:rsidRDefault="00330955" w:rsidP="00330955">
      <w:pPr>
        <w:pStyle w:val="Citas"/>
        <w:spacing w:before="0" w:after="0" w:line="276" w:lineRule="auto"/>
        <w:rPr>
          <w:b/>
        </w:rPr>
      </w:pPr>
      <w:r w:rsidRPr="00377C51">
        <w:t xml:space="preserve">“Acto jurídico por medio del cual un funcionario público, en el ejercicio de su cargo, da fe de la existencia de un hecho, acto o calidad personal de alguien, que le consta de manera indubitable, por razón de su oficio” </w:t>
      </w:r>
      <w:r w:rsidRPr="00377C51">
        <w:rPr>
          <w:b/>
        </w:rPr>
        <w:t>[Sic]</w:t>
      </w:r>
    </w:p>
    <w:p w14:paraId="0C9EA52D" w14:textId="77777777" w:rsidR="00330955" w:rsidRPr="00377C51" w:rsidRDefault="00330955" w:rsidP="00FF10CB">
      <w:pPr>
        <w:spacing w:after="0" w:line="360" w:lineRule="auto"/>
        <w:jc w:val="both"/>
        <w:rPr>
          <w:rFonts w:ascii="Palatino Linotype" w:hAnsi="Palatino Linotype"/>
          <w:sz w:val="24"/>
          <w:szCs w:val="24"/>
        </w:rPr>
      </w:pPr>
    </w:p>
    <w:p w14:paraId="3D336166" w14:textId="77777777" w:rsidR="005E2445" w:rsidRPr="00377C51" w:rsidRDefault="005E2445" w:rsidP="005E244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 xml:space="preserve">De esta manera se arriba a la premisa de que la certificación de documentos es un acto materialmente administrativo, emitido por una autoridad competente, </w:t>
      </w:r>
      <w:r w:rsidRPr="00377C51">
        <w:rPr>
          <w:rFonts w:ascii="Palatino Linotype" w:hAnsi="Palatino Linotype"/>
          <w:sz w:val="24"/>
        </w:rPr>
        <w:lastRenderedPageBreak/>
        <w:t xml:space="preserve">mediante el cual da fe respecto del lugar, tiempo y circunstancias derivadas de soportes documentales que obren en sus archivos. </w:t>
      </w:r>
    </w:p>
    <w:p w14:paraId="772C6CC7" w14:textId="77777777" w:rsidR="005E2445" w:rsidRPr="00377C51" w:rsidRDefault="005E2445" w:rsidP="005E2445">
      <w:pPr>
        <w:tabs>
          <w:tab w:val="left" w:pos="709"/>
        </w:tabs>
        <w:spacing w:after="0" w:line="360" w:lineRule="auto"/>
        <w:ind w:right="51"/>
        <w:jc w:val="both"/>
        <w:rPr>
          <w:rFonts w:ascii="Palatino Linotype" w:hAnsi="Palatino Linotype"/>
          <w:sz w:val="24"/>
        </w:rPr>
      </w:pPr>
    </w:p>
    <w:p w14:paraId="7E560F9E" w14:textId="77777777" w:rsidR="005E2445" w:rsidRPr="00377C51" w:rsidRDefault="005E2445" w:rsidP="005E2445">
      <w:pPr>
        <w:tabs>
          <w:tab w:val="left" w:pos="709"/>
        </w:tabs>
        <w:spacing w:after="0" w:line="360" w:lineRule="auto"/>
        <w:ind w:right="51"/>
        <w:jc w:val="both"/>
        <w:rPr>
          <w:rFonts w:ascii="Palatino Linotype" w:hAnsi="Palatino Linotype"/>
          <w:sz w:val="24"/>
        </w:rPr>
      </w:pPr>
      <w:r w:rsidRPr="00377C51">
        <w:rPr>
          <w:rFonts w:ascii="Palatino Linotype" w:hAnsi="Palatino Linotype"/>
          <w:sz w:val="24"/>
        </w:rPr>
        <w:t>Una vez sentado lo anterior, resulta oportuno traer a colación el artículo 31, fracción IV, de la Constitución Política de los Estados Unidos Mexicanos cuyo contenido literal es el siguiente:</w:t>
      </w:r>
    </w:p>
    <w:p w14:paraId="46A20E05" w14:textId="77777777" w:rsidR="001F4BBB" w:rsidRPr="00377C51" w:rsidRDefault="001F4BBB" w:rsidP="00B0055F">
      <w:pPr>
        <w:pStyle w:val="Sinespaciado"/>
      </w:pPr>
    </w:p>
    <w:p w14:paraId="5200A5C4" w14:textId="77777777" w:rsidR="005E2445" w:rsidRPr="00377C51" w:rsidRDefault="005E2445" w:rsidP="005E2445">
      <w:pPr>
        <w:spacing w:after="0" w:line="240" w:lineRule="auto"/>
        <w:ind w:left="851" w:right="851"/>
        <w:jc w:val="both"/>
        <w:rPr>
          <w:rFonts w:ascii="Palatino Linotype" w:hAnsi="Palatino Linotype" w:cs="Arial"/>
          <w:i/>
          <w:iCs/>
        </w:rPr>
      </w:pPr>
      <w:r w:rsidRPr="00377C51">
        <w:rPr>
          <w:rFonts w:ascii="Palatino Linotype" w:hAnsi="Palatino Linotype" w:cs="Arial"/>
          <w:i/>
          <w:iCs/>
        </w:rPr>
        <w:t>“</w:t>
      </w:r>
      <w:r w:rsidRPr="00377C51">
        <w:rPr>
          <w:rFonts w:ascii="Palatino Linotype" w:hAnsi="Palatino Linotype" w:cs="Arial"/>
          <w:b/>
          <w:i/>
          <w:iCs/>
        </w:rPr>
        <w:t>Artícul</w:t>
      </w:r>
      <w:r w:rsidRPr="00377C51">
        <w:rPr>
          <w:rStyle w:val="highlight"/>
          <w:rFonts w:ascii="Palatino Linotype" w:hAnsi="Palatino Linotype" w:cs="Arial"/>
          <w:b/>
          <w:i/>
          <w:iCs/>
        </w:rPr>
        <w:t>o 31</w:t>
      </w:r>
      <w:r w:rsidRPr="00377C51">
        <w:rPr>
          <w:rFonts w:ascii="Palatino Linotype" w:hAnsi="Palatino Linotype" w:cs="Arial"/>
          <w:b/>
          <w:i/>
          <w:iCs/>
        </w:rPr>
        <w:t>.</w:t>
      </w:r>
      <w:r w:rsidRPr="00377C51">
        <w:rPr>
          <w:rFonts w:ascii="Palatino Linotype" w:hAnsi="Palatino Linotype" w:cs="Arial"/>
          <w:i/>
          <w:iCs/>
        </w:rPr>
        <w:t>Son obligaciones de los mexicanos:</w:t>
      </w:r>
    </w:p>
    <w:p w14:paraId="7DE422C5" w14:textId="77777777" w:rsidR="005E2445" w:rsidRPr="00377C51" w:rsidRDefault="005E2445" w:rsidP="005E2445">
      <w:pPr>
        <w:spacing w:after="0" w:line="240" w:lineRule="auto"/>
        <w:ind w:left="851" w:right="851"/>
        <w:jc w:val="both"/>
        <w:rPr>
          <w:rFonts w:ascii="Palatino Linotype" w:hAnsi="Palatino Linotype" w:cs="Arial"/>
          <w:i/>
          <w:iCs/>
        </w:rPr>
      </w:pPr>
      <w:r w:rsidRPr="00377C51">
        <w:rPr>
          <w:rFonts w:ascii="Palatino Linotype" w:hAnsi="Palatino Linotype" w:cs="Arial"/>
          <w:i/>
          <w:iCs/>
        </w:rPr>
        <w:t>(…)</w:t>
      </w:r>
    </w:p>
    <w:p w14:paraId="3416E637" w14:textId="77777777" w:rsidR="005E2445" w:rsidRPr="00377C51" w:rsidRDefault="005E2445" w:rsidP="005E2445">
      <w:pPr>
        <w:spacing w:after="0" w:line="240" w:lineRule="auto"/>
        <w:ind w:left="851" w:right="851"/>
        <w:jc w:val="both"/>
        <w:rPr>
          <w:rFonts w:ascii="Palatino Linotype" w:hAnsi="Palatino Linotype" w:cs="Arial"/>
          <w:b/>
          <w:bCs/>
          <w:i/>
          <w:iCs/>
          <w:u w:val="single"/>
        </w:rPr>
      </w:pPr>
      <w:r w:rsidRPr="00377C51">
        <w:rPr>
          <w:rFonts w:ascii="Palatino Linotype" w:hAnsi="Palatino Linotype" w:cs="Arial"/>
          <w:b/>
          <w:bCs/>
          <w:i/>
          <w:iCs/>
          <w:u w:val="single"/>
        </w:rPr>
        <w:t>IV. Contribuir para los gastos públicos, así de la Federación, como de los Estados, de la Ciudad de México y del Municipio en que residan, de la manera proporcional y equitativa que dispongan las leyes</w:t>
      </w:r>
    </w:p>
    <w:p w14:paraId="6D8A8F30" w14:textId="77777777" w:rsidR="005E2445" w:rsidRPr="00377C51" w:rsidRDefault="005E2445" w:rsidP="005E2445">
      <w:pPr>
        <w:spacing w:after="0" w:line="240" w:lineRule="auto"/>
        <w:ind w:left="851" w:right="851"/>
        <w:jc w:val="both"/>
        <w:rPr>
          <w:rFonts w:ascii="Palatino Linotype" w:hAnsi="Palatino Linotype"/>
          <w:b/>
          <w:bCs/>
          <w:i/>
          <w:iCs/>
        </w:rPr>
      </w:pPr>
      <w:r w:rsidRPr="00377C51">
        <w:rPr>
          <w:rFonts w:ascii="Palatino Linotype" w:hAnsi="Palatino Linotype" w:cs="Arial"/>
          <w:i/>
          <w:iCs/>
        </w:rPr>
        <w:t xml:space="preserve">(…)” </w:t>
      </w:r>
      <w:r w:rsidRPr="00377C51">
        <w:rPr>
          <w:rFonts w:ascii="Palatino Linotype" w:hAnsi="Palatino Linotype" w:cs="Arial"/>
          <w:b/>
          <w:bCs/>
          <w:i/>
          <w:iCs/>
        </w:rPr>
        <w:t>[Sic]</w:t>
      </w:r>
    </w:p>
    <w:p w14:paraId="77A42204" w14:textId="77777777" w:rsidR="005E2445" w:rsidRPr="00377C51" w:rsidRDefault="005E2445" w:rsidP="005E2445">
      <w:pPr>
        <w:spacing w:after="0" w:line="240" w:lineRule="auto"/>
        <w:ind w:left="851" w:right="851"/>
        <w:jc w:val="both"/>
        <w:rPr>
          <w:rFonts w:ascii="Palatino Linotype" w:hAnsi="Palatino Linotype"/>
          <w:b/>
          <w:bCs/>
          <w:i/>
          <w:iCs/>
        </w:rPr>
      </w:pPr>
    </w:p>
    <w:p w14:paraId="6EB9DDC6" w14:textId="77777777" w:rsidR="005E2445" w:rsidRPr="00377C51" w:rsidRDefault="005E2445" w:rsidP="005E2445">
      <w:pPr>
        <w:spacing w:after="0" w:line="360" w:lineRule="auto"/>
        <w:jc w:val="both"/>
        <w:rPr>
          <w:rFonts w:ascii="Palatino Linotype" w:hAnsi="Palatino Linotype"/>
          <w:sz w:val="24"/>
        </w:rPr>
      </w:pPr>
      <w:r w:rsidRPr="00377C51">
        <w:rPr>
          <w:rFonts w:ascii="Palatino Linotype" w:hAnsi="Palatino Linotype"/>
          <w:sz w:val="24"/>
        </w:rPr>
        <w:t>En atención a lo descrito, resulta inconcusa la existencia de una obligación impuesta por nuestra Carta Magna a todo ciudadano mexicano para contribuir a los gastos públicos, lo anterior en atención a los principios de:</w:t>
      </w:r>
    </w:p>
    <w:p w14:paraId="6B7DEB8A" w14:textId="77777777" w:rsidR="005E2445" w:rsidRPr="00377C51" w:rsidRDefault="005E2445" w:rsidP="005E2445">
      <w:pPr>
        <w:spacing w:after="0" w:line="360" w:lineRule="auto"/>
        <w:jc w:val="both"/>
        <w:rPr>
          <w:rFonts w:ascii="Palatino Linotype" w:hAnsi="Palatino Linotype"/>
          <w:sz w:val="24"/>
        </w:rPr>
      </w:pPr>
    </w:p>
    <w:p w14:paraId="58C1FBA7"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Proporcionalidad:</w:t>
      </w:r>
      <w:r w:rsidRPr="00377C51">
        <w:rPr>
          <w:rFonts w:ascii="Palatino Linotype" w:hAnsi="Palatino Linotype"/>
          <w:szCs w:val="22"/>
        </w:rPr>
        <w:t xml:space="preserve"> Que cada ciudadano tribute de acuerdo con su riqueza, ingresos o posibilidades económicas y que dicha aportación sea la mínima posible para no ahuyentar o empobrecer al contribuyente. </w:t>
      </w:r>
    </w:p>
    <w:p w14:paraId="24E00C83"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szCs w:val="22"/>
        </w:rPr>
        <w:t xml:space="preserve"> </w:t>
      </w:r>
      <w:r w:rsidRPr="00377C51">
        <w:rPr>
          <w:rFonts w:ascii="Palatino Linotype" w:hAnsi="Palatino Linotype"/>
          <w:b/>
          <w:szCs w:val="22"/>
        </w:rPr>
        <w:t>Equidad:</w:t>
      </w:r>
      <w:r w:rsidRPr="00377C51">
        <w:rPr>
          <w:rFonts w:ascii="Palatino Linotype" w:hAnsi="Palatino Linotype"/>
          <w:szCs w:val="22"/>
        </w:rPr>
        <w:t xml:space="preserve"> Que el impacto del gravamen sea el mismo para todas las personas físicas o morales colocadas en la misma circunstancia contributiva, trato igual frente a sujetos iguales y desiguales entre desiguales. </w:t>
      </w:r>
    </w:p>
    <w:p w14:paraId="424CC512"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 xml:space="preserve"> Destino:</w:t>
      </w:r>
      <w:r w:rsidRPr="00377C51">
        <w:rPr>
          <w:rFonts w:ascii="Palatino Linotype" w:hAnsi="Palatino Linotype"/>
          <w:szCs w:val="22"/>
        </w:rPr>
        <w:t xml:space="preserve"> Para el sostenimiento de los gastos públicos. </w:t>
      </w:r>
    </w:p>
    <w:p w14:paraId="16312852"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lastRenderedPageBreak/>
        <w:t xml:space="preserve"> Legalidad:</w:t>
      </w:r>
      <w:r w:rsidRPr="00377C51">
        <w:rPr>
          <w:rFonts w:ascii="Palatino Linotype" w:hAnsi="Palatino Linotype"/>
          <w:szCs w:val="22"/>
        </w:rPr>
        <w:t xml:space="preserve"> La contribución invariablemente debe de estar prevista en ley. </w:t>
      </w:r>
    </w:p>
    <w:p w14:paraId="76E49107" w14:textId="77777777" w:rsidR="005E2445" w:rsidRPr="00377C51" w:rsidRDefault="005E2445" w:rsidP="005E2445">
      <w:pPr>
        <w:pStyle w:val="Prrafodelista"/>
        <w:numPr>
          <w:ilvl w:val="0"/>
          <w:numId w:val="6"/>
        </w:numPr>
        <w:spacing w:line="360" w:lineRule="auto"/>
        <w:contextualSpacing w:val="0"/>
        <w:jc w:val="both"/>
        <w:rPr>
          <w:rFonts w:ascii="Palatino Linotype" w:hAnsi="Palatino Linotype"/>
          <w:szCs w:val="22"/>
        </w:rPr>
      </w:pPr>
      <w:r w:rsidRPr="00377C51">
        <w:rPr>
          <w:rFonts w:ascii="Palatino Linotype" w:hAnsi="Palatino Linotype"/>
          <w:b/>
          <w:szCs w:val="22"/>
        </w:rPr>
        <w:t xml:space="preserve"> Época de pago:</w:t>
      </w:r>
      <w:r w:rsidRPr="00377C51">
        <w:rPr>
          <w:rFonts w:ascii="Palatino Linotype" w:hAnsi="Palatino Linotype"/>
          <w:szCs w:val="22"/>
        </w:rPr>
        <w:t xml:space="preserve"> Conforme a lo establecido en la normatividad aplicable. </w:t>
      </w:r>
    </w:p>
    <w:p w14:paraId="399C9F12" w14:textId="77777777" w:rsidR="000D122C" w:rsidRPr="00377C51" w:rsidRDefault="000D122C" w:rsidP="005E2445">
      <w:pPr>
        <w:pStyle w:val="Sinespaciado"/>
        <w:spacing w:line="360" w:lineRule="auto"/>
        <w:jc w:val="both"/>
        <w:rPr>
          <w:rFonts w:ascii="Palatino Linotype" w:hAnsi="Palatino Linotype"/>
        </w:rPr>
      </w:pPr>
    </w:p>
    <w:p w14:paraId="488F542C" w14:textId="77777777" w:rsidR="005E2445" w:rsidRPr="00377C51" w:rsidRDefault="005E2445" w:rsidP="005E2445">
      <w:pPr>
        <w:pStyle w:val="Sinespaciado"/>
        <w:spacing w:line="360" w:lineRule="auto"/>
        <w:jc w:val="both"/>
        <w:rPr>
          <w:rFonts w:ascii="Palatino Linotype" w:hAnsi="Palatino Linotype"/>
        </w:rPr>
      </w:pPr>
      <w:r w:rsidRPr="00377C51">
        <w:rPr>
          <w:rFonts w:ascii="Palatino Linotype" w:hAnsi="Palatino Linotype"/>
        </w:rPr>
        <w:t xml:space="preserve">En este tenor, es menester tomar en cuenta lo dispuesto por el Código Financiero del Estado de México y Municipios, el cual </w:t>
      </w:r>
      <w:r w:rsidRPr="00377C51">
        <w:rPr>
          <w:rFonts w:ascii="Palatino Linotype" w:hAnsi="Palatino Linotype"/>
          <w:b/>
          <w:u w:val="single"/>
        </w:rPr>
        <w:t>regula la actividad financiera</w:t>
      </w:r>
      <w:r w:rsidRPr="00377C51">
        <w:rPr>
          <w:rFonts w:ascii="Palatino Linotype" w:hAnsi="Palatino Linotype"/>
        </w:rPr>
        <w:t xml:space="preserve"> estatal y </w:t>
      </w:r>
      <w:r w:rsidRPr="00377C51">
        <w:rPr>
          <w:rFonts w:ascii="Palatino Linotype" w:hAnsi="Palatino Linotype"/>
          <w:b/>
          <w:u w:val="single"/>
        </w:rPr>
        <w:t>municipal</w:t>
      </w:r>
      <w:r w:rsidRPr="00377C51">
        <w:rPr>
          <w:rFonts w:ascii="Palatino Linotype" w:hAnsi="Palatino Linotype"/>
        </w:rPr>
        <w:t xml:space="preserve">, </w:t>
      </w:r>
      <w:r w:rsidRPr="00377C51">
        <w:rPr>
          <w:rFonts w:ascii="Palatino Linotype" w:hAnsi="Palatino Linotype"/>
          <w:b/>
          <w:u w:val="single"/>
        </w:rPr>
        <w:t>entendiendo a dicha actividad la que comprende la obtención</w:t>
      </w:r>
      <w:r w:rsidRPr="00377C51">
        <w:rPr>
          <w:rFonts w:ascii="Palatino Linotype" w:hAnsi="Palatino Linotype"/>
        </w:rPr>
        <w:t xml:space="preserve">, administración y aplicación </w:t>
      </w:r>
      <w:r w:rsidRPr="00377C51">
        <w:rPr>
          <w:rFonts w:ascii="Palatino Linotype" w:hAnsi="Palatino Linotype"/>
          <w:b/>
          <w:u w:val="single"/>
        </w:rPr>
        <w:t>de los ingresos públicos</w:t>
      </w:r>
      <w:r w:rsidRPr="00377C51">
        <w:rPr>
          <w:rFonts w:ascii="Palatino Linotype" w:hAnsi="Palatino Linotype"/>
        </w:rPr>
        <w:t>, así como lo conducente a la transparencia y difusión de la información financiera relativa a la presupuestario, ejercicio, evaluación y rendición de cuentas, en apego a las disposiciones aplicables en la materia.</w:t>
      </w:r>
    </w:p>
    <w:p w14:paraId="3D9D05A2" w14:textId="77777777" w:rsidR="005E2445" w:rsidRPr="00377C51" w:rsidRDefault="005E2445" w:rsidP="005E2445">
      <w:pPr>
        <w:pStyle w:val="Sinespaciado"/>
        <w:spacing w:line="360" w:lineRule="auto"/>
        <w:jc w:val="both"/>
        <w:rPr>
          <w:rFonts w:ascii="Palatino Linotype" w:hAnsi="Palatino Linotype"/>
        </w:rPr>
      </w:pPr>
    </w:p>
    <w:p w14:paraId="4BEDF609" w14:textId="77777777"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t xml:space="preserve">Por tanto, se tiene que el artículo 7, del Código referido establece que </w:t>
      </w:r>
      <w:r w:rsidRPr="00377C51">
        <w:rPr>
          <w:rFonts w:ascii="Palatino Linotype" w:hAnsi="Palatino Linotype"/>
          <w:b/>
          <w:u w:val="single"/>
        </w:rPr>
        <w:t>para cubrir el gasto público y demás obligaciones a su cargo</w:t>
      </w:r>
      <w:r w:rsidRPr="00377C51">
        <w:rPr>
          <w:rFonts w:ascii="Palatino Linotype" w:hAnsi="Palatino Linotype"/>
        </w:rPr>
        <w:t xml:space="preserve">, el Estado y los Municipios percibirán en cada ejercicio fiscal los impuestos, </w:t>
      </w:r>
      <w:r w:rsidRPr="00377C51">
        <w:rPr>
          <w:rFonts w:ascii="Palatino Linotype" w:hAnsi="Palatino Linotype"/>
          <w:b/>
          <w:u w:val="single"/>
        </w:rPr>
        <w:t>derechos</w:t>
      </w:r>
      <w:r w:rsidRPr="00377C51">
        <w:rPr>
          <w:rFonts w:ascii="Palatino Linotype" w:hAnsi="Palatino Linotype"/>
        </w:rPr>
        <w:t xml:space="preserve">, aportaciones de mejoras, productos, aprovechamientos, ingresos derivados de la coordinación hacendaria, e ingresos provenientes de financiamientos, </w:t>
      </w:r>
      <w:r w:rsidRPr="00377C51">
        <w:rPr>
          <w:rFonts w:ascii="Palatino Linotype" w:hAnsi="Palatino Linotype"/>
          <w:b/>
          <w:u w:val="single"/>
        </w:rPr>
        <w:t>establecidos en la Ley de ingresos</w:t>
      </w:r>
      <w:r w:rsidRPr="00377C51">
        <w:rPr>
          <w:rFonts w:ascii="Palatino Linotype" w:hAnsi="Palatino Linotype"/>
        </w:rPr>
        <w:t xml:space="preserve">. </w:t>
      </w:r>
    </w:p>
    <w:p w14:paraId="03049D7A" w14:textId="77777777" w:rsidR="005E2445" w:rsidRPr="00377C51" w:rsidRDefault="005E2445" w:rsidP="005E2445">
      <w:pPr>
        <w:pStyle w:val="Sinespaciado"/>
        <w:spacing w:line="360" w:lineRule="auto"/>
        <w:ind w:firstLine="1"/>
        <w:jc w:val="both"/>
        <w:rPr>
          <w:rFonts w:ascii="Palatino Linotype" w:hAnsi="Palatino Linotype"/>
        </w:rPr>
      </w:pPr>
    </w:p>
    <w:p w14:paraId="6319FB81" w14:textId="77777777" w:rsidR="005E2445" w:rsidRPr="00377C51" w:rsidRDefault="005E2445" w:rsidP="005E2445">
      <w:pPr>
        <w:pStyle w:val="Sinespaciado"/>
        <w:spacing w:line="360" w:lineRule="auto"/>
        <w:ind w:firstLine="1"/>
        <w:jc w:val="both"/>
        <w:rPr>
          <w:rFonts w:ascii="Palatino Linotype" w:hAnsi="Palatino Linotype"/>
          <w:u w:val="single"/>
        </w:rPr>
      </w:pPr>
      <w:r w:rsidRPr="00377C51">
        <w:rPr>
          <w:rFonts w:ascii="Palatino Linotype" w:hAnsi="Palatino Linotype"/>
        </w:rPr>
        <w:t xml:space="preserve">Asimismo, </w:t>
      </w:r>
      <w:r w:rsidRPr="00377C51">
        <w:rPr>
          <w:rFonts w:ascii="Palatino Linotype" w:hAnsi="Palatino Linotype"/>
          <w:b/>
          <w:u w:val="single"/>
        </w:rPr>
        <w:t>el artículo 9, en su fracción II, define a los derechos como las contraprestaciones establecidos en este Código que deben pagar las personas físicas y jurídicas colectivas</w:t>
      </w:r>
      <w:r w:rsidRPr="00377C51">
        <w:rPr>
          <w:rFonts w:ascii="Palatino Linotype" w:hAnsi="Palatino Linotype"/>
        </w:rPr>
        <w:t xml:space="preserve">, por el uso o aprovechamiento de los bienes del domino público de la Entidad, así como </w:t>
      </w:r>
      <w:r w:rsidRPr="00377C51">
        <w:rPr>
          <w:rFonts w:ascii="Palatino Linotype" w:hAnsi="Palatino Linotype"/>
          <w:b/>
          <w:u w:val="single"/>
        </w:rPr>
        <w:t>por recibir servicios que preste</w:t>
      </w:r>
      <w:r w:rsidRPr="00377C51">
        <w:rPr>
          <w:rFonts w:ascii="Palatino Linotype" w:hAnsi="Palatino Linotype"/>
          <w:u w:val="single"/>
        </w:rPr>
        <w:t xml:space="preserve">, </w:t>
      </w:r>
      <w:r w:rsidRPr="00377C51">
        <w:rPr>
          <w:rFonts w:ascii="Palatino Linotype" w:hAnsi="Palatino Linotype"/>
          <w:b/>
          <w:u w:val="single"/>
        </w:rPr>
        <w:t>el Estado, sus organismos y</w:t>
      </w:r>
      <w:r w:rsidRPr="00377C51">
        <w:rPr>
          <w:rFonts w:ascii="Palatino Linotype" w:hAnsi="Palatino Linotype"/>
          <w:u w:val="single"/>
        </w:rPr>
        <w:t xml:space="preserve"> </w:t>
      </w:r>
      <w:r w:rsidRPr="00377C51">
        <w:rPr>
          <w:rFonts w:ascii="Palatino Linotype" w:hAnsi="Palatino Linotype"/>
          <w:b/>
          <w:u w:val="single"/>
        </w:rPr>
        <w:t>Municipios en funciones de derecho público</w:t>
      </w:r>
      <w:r w:rsidRPr="00377C51">
        <w:rPr>
          <w:rFonts w:ascii="Palatino Linotype" w:hAnsi="Palatino Linotype"/>
          <w:u w:val="single"/>
        </w:rPr>
        <w:t>.</w:t>
      </w:r>
    </w:p>
    <w:p w14:paraId="76D267D1" w14:textId="77777777" w:rsidR="004402F7" w:rsidRPr="00377C51" w:rsidRDefault="005E2445" w:rsidP="004402F7">
      <w:pPr>
        <w:spacing w:after="0" w:line="360" w:lineRule="auto"/>
        <w:contextualSpacing/>
        <w:jc w:val="both"/>
        <w:rPr>
          <w:rFonts w:ascii="Palatino Linotype" w:hAnsi="Palatino Linotype"/>
          <w:sz w:val="24"/>
          <w:szCs w:val="24"/>
        </w:rPr>
      </w:pPr>
      <w:r w:rsidRPr="00377C51">
        <w:rPr>
          <w:rFonts w:ascii="Palatino Linotype" w:hAnsi="Palatino Linotype"/>
          <w:sz w:val="24"/>
          <w:szCs w:val="24"/>
        </w:rPr>
        <w:lastRenderedPageBreak/>
        <w:t xml:space="preserve">En este sentido, la modalidad seleccionada por </w:t>
      </w:r>
      <w:r w:rsidRPr="00377C51">
        <w:rPr>
          <w:rFonts w:ascii="Palatino Linotype" w:hAnsi="Palatino Linotype"/>
          <w:b/>
          <w:sz w:val="24"/>
          <w:szCs w:val="24"/>
        </w:rPr>
        <w:t xml:space="preserve">El Recurrente </w:t>
      </w:r>
      <w:r w:rsidRPr="00377C51">
        <w:rPr>
          <w:rFonts w:ascii="Palatino Linotype" w:hAnsi="Palatino Linotype"/>
          <w:sz w:val="24"/>
          <w:szCs w:val="24"/>
        </w:rPr>
        <w:t xml:space="preserve">se encuentra regulada por el Código Financiero del Estado de México y Municipios en su artículo 73, fracción I, aplicable al </w:t>
      </w:r>
      <w:r w:rsidRPr="00377C51">
        <w:rPr>
          <w:rFonts w:ascii="Palatino Linotype" w:hAnsi="Palatino Linotype"/>
          <w:b/>
          <w:bCs/>
          <w:sz w:val="24"/>
          <w:szCs w:val="24"/>
        </w:rPr>
        <w:t>Sujeto Obligado</w:t>
      </w:r>
      <w:r w:rsidRPr="00377C51">
        <w:rPr>
          <w:rFonts w:ascii="Palatino Linotype" w:hAnsi="Palatino Linotype"/>
          <w:sz w:val="24"/>
          <w:szCs w:val="24"/>
        </w:rPr>
        <w:t xml:space="preserve"> al estar incluido en el Capítulo II “De los Derechos” del Título Tercero “De los Ingresos del Estado”, porción normativa que dispone a la literalidad lo siguiente:</w:t>
      </w:r>
    </w:p>
    <w:p w14:paraId="00E5B99C" w14:textId="77777777" w:rsidR="005E2445" w:rsidRPr="00377C51" w:rsidRDefault="005E2445" w:rsidP="004402F7">
      <w:pPr>
        <w:spacing w:after="0" w:line="360" w:lineRule="auto"/>
        <w:contextualSpacing/>
        <w:jc w:val="both"/>
        <w:rPr>
          <w:rFonts w:ascii="Palatino Linotype" w:hAnsi="Palatino Linotype"/>
          <w:sz w:val="24"/>
          <w:szCs w:val="24"/>
        </w:rPr>
      </w:pPr>
    </w:p>
    <w:p w14:paraId="080E52BE" w14:textId="045628BD" w:rsidR="005E2445" w:rsidRPr="00377C51" w:rsidRDefault="005E2445" w:rsidP="005E2445">
      <w:pPr>
        <w:pStyle w:val="Prrafodelista"/>
        <w:ind w:left="567" w:right="423"/>
        <w:jc w:val="both"/>
        <w:rPr>
          <w:rFonts w:ascii="Palatino Linotype" w:hAnsi="Palatino Linotype"/>
          <w:bCs/>
          <w:i/>
          <w:sz w:val="22"/>
          <w:szCs w:val="22"/>
        </w:rPr>
      </w:pPr>
      <w:r w:rsidRPr="00377C51">
        <w:rPr>
          <w:rFonts w:ascii="Palatino Linotype" w:hAnsi="Palatino Linotype"/>
          <w:b/>
          <w:i/>
          <w:sz w:val="22"/>
          <w:szCs w:val="22"/>
        </w:rPr>
        <w:t xml:space="preserve">“Artículo </w:t>
      </w:r>
      <w:r w:rsidR="00377C51" w:rsidRPr="00377C51">
        <w:rPr>
          <w:rFonts w:ascii="Palatino Linotype" w:hAnsi="Palatino Linotype"/>
          <w:b/>
          <w:i/>
          <w:sz w:val="22"/>
          <w:szCs w:val="22"/>
        </w:rPr>
        <w:t>148</w:t>
      </w:r>
      <w:r w:rsidRPr="00377C51">
        <w:rPr>
          <w:rFonts w:ascii="Palatino Linotype" w:hAnsi="Palatino Linotype"/>
          <w:b/>
          <w:i/>
          <w:sz w:val="22"/>
          <w:szCs w:val="22"/>
        </w:rPr>
        <w:t xml:space="preserve">.- </w:t>
      </w:r>
      <w:r w:rsidRPr="00377C51">
        <w:rPr>
          <w:rFonts w:ascii="Palatino Linotype" w:hAnsi="Palatino Linotype"/>
          <w:bCs/>
          <w:i/>
          <w:sz w:val="22"/>
          <w:szCs w:val="22"/>
        </w:rPr>
        <w:t xml:space="preserve">Por la expedición de los siguientes documentos se pagarán: </w:t>
      </w:r>
    </w:p>
    <w:p w14:paraId="2888F7ED" w14:textId="77777777" w:rsidR="005E2445" w:rsidRPr="00586001" w:rsidRDefault="005E2445" w:rsidP="005E2445">
      <w:pPr>
        <w:pStyle w:val="Prrafodelista"/>
        <w:ind w:left="567" w:right="423"/>
        <w:jc w:val="center"/>
        <w:rPr>
          <w:rFonts w:ascii="Palatino Linotype" w:hAnsi="Palatino Linotype"/>
          <w:b/>
          <w:i/>
          <w:sz w:val="22"/>
          <w:szCs w:val="22"/>
        </w:rPr>
      </w:pPr>
      <w:r w:rsidRPr="00586001">
        <w:rPr>
          <w:rFonts w:ascii="Palatino Linotype" w:hAnsi="Palatino Linotype"/>
          <w:b/>
          <w:i/>
          <w:sz w:val="22"/>
          <w:szCs w:val="22"/>
        </w:rPr>
        <w:t>TARIFA</w: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215"/>
      </w:tblGrid>
      <w:tr w:rsidR="00377C51" w:rsidRPr="00377C51" w14:paraId="439D561B" w14:textId="77777777" w:rsidTr="00377C51">
        <w:tc>
          <w:tcPr>
            <w:tcW w:w="4459" w:type="dxa"/>
          </w:tcPr>
          <w:p w14:paraId="09F4C061" w14:textId="03A3203C" w:rsidR="00377C51" w:rsidRPr="00377C51" w:rsidRDefault="00377C51" w:rsidP="005E2445">
            <w:pPr>
              <w:pStyle w:val="Prrafodelista"/>
              <w:ind w:left="0" w:right="423"/>
              <w:jc w:val="center"/>
              <w:rPr>
                <w:rFonts w:ascii="Palatino Linotype" w:hAnsi="Palatino Linotype"/>
                <w:i/>
                <w:sz w:val="22"/>
                <w:szCs w:val="22"/>
              </w:rPr>
            </w:pPr>
            <w:r w:rsidRPr="00377C51">
              <w:rPr>
                <w:rFonts w:ascii="Palatino Linotype" w:hAnsi="Palatino Linotype"/>
                <w:b/>
                <w:i/>
                <w:sz w:val="22"/>
                <w:szCs w:val="22"/>
              </w:rPr>
              <w:t>Concepto</w:t>
            </w:r>
          </w:p>
        </w:tc>
        <w:tc>
          <w:tcPr>
            <w:tcW w:w="4459" w:type="dxa"/>
          </w:tcPr>
          <w:p w14:paraId="0D850855" w14:textId="7234BEDB" w:rsidR="00377C51" w:rsidRPr="00377C51" w:rsidRDefault="00377C51" w:rsidP="005E2445">
            <w:pPr>
              <w:pStyle w:val="Prrafodelista"/>
              <w:ind w:left="0" w:right="423"/>
              <w:jc w:val="center"/>
              <w:rPr>
                <w:rFonts w:ascii="Palatino Linotype" w:hAnsi="Palatino Linotype"/>
                <w:i/>
                <w:sz w:val="22"/>
                <w:szCs w:val="22"/>
              </w:rPr>
            </w:pPr>
            <w:r w:rsidRPr="00377C51">
              <w:rPr>
                <w:rFonts w:ascii="Palatino Linotype" w:hAnsi="Palatino Linotype"/>
                <w:b/>
                <w:i/>
                <w:sz w:val="22"/>
                <w:szCs w:val="22"/>
              </w:rPr>
              <w:t>NÚMERO DE VECES EL VALOR DIARIO DE LA UNIDAD DE MEDIDA Y ACTUALIZACIÓN VIGENTE</w:t>
            </w:r>
          </w:p>
        </w:tc>
      </w:tr>
      <w:tr w:rsidR="00377C51" w:rsidRPr="00377C51" w14:paraId="33C67B50" w14:textId="77777777" w:rsidTr="00377C51">
        <w:tc>
          <w:tcPr>
            <w:tcW w:w="4459" w:type="dxa"/>
          </w:tcPr>
          <w:p w14:paraId="4AFAC83B" w14:textId="77777777" w:rsidR="00377C51" w:rsidRPr="00377C51" w:rsidRDefault="00377C51" w:rsidP="00377C51">
            <w:pPr>
              <w:pStyle w:val="Prrafodelista"/>
              <w:ind w:left="0" w:right="53"/>
              <w:rPr>
                <w:rFonts w:ascii="Palatino Linotype" w:hAnsi="Palatino Linotype"/>
                <w:i/>
                <w:sz w:val="22"/>
                <w:szCs w:val="22"/>
              </w:rPr>
            </w:pPr>
            <w:r w:rsidRPr="00377C51">
              <w:rPr>
                <w:rFonts w:ascii="Palatino Linotype" w:hAnsi="Palatino Linotype"/>
                <w:i/>
                <w:sz w:val="22"/>
                <w:szCs w:val="22"/>
              </w:rPr>
              <w:t>II. Por la expedición de copias certificadas:</w:t>
            </w:r>
          </w:p>
          <w:p w14:paraId="557B9832" w14:textId="39C25E6E" w:rsidR="00377C51" w:rsidRPr="00377C51" w:rsidRDefault="00377C51" w:rsidP="00377C51">
            <w:pPr>
              <w:ind w:right="564"/>
              <w:rPr>
                <w:rFonts w:ascii="Palatino Linotype" w:hAnsi="Palatino Linotype"/>
                <w:b/>
                <w:i/>
              </w:rPr>
            </w:pPr>
            <w:r w:rsidRPr="00377C51">
              <w:rPr>
                <w:rFonts w:ascii="Palatino Linotype" w:hAnsi="Palatino Linotype"/>
                <w:b/>
                <w:i/>
              </w:rPr>
              <w:t xml:space="preserve">A). Por la primera hoja.                                                  </w:t>
            </w:r>
          </w:p>
          <w:p w14:paraId="018A8FC8" w14:textId="1DFB2B35" w:rsidR="00377C51" w:rsidRPr="00377C51" w:rsidRDefault="00377C51" w:rsidP="00377C51">
            <w:pPr>
              <w:ind w:right="564"/>
              <w:rPr>
                <w:rFonts w:ascii="Palatino Linotype" w:hAnsi="Palatino Linotype"/>
                <w:i/>
              </w:rPr>
            </w:pPr>
            <w:r w:rsidRPr="00377C51">
              <w:rPr>
                <w:rFonts w:ascii="Palatino Linotype" w:hAnsi="Palatino Linotype"/>
                <w:b/>
                <w:i/>
              </w:rPr>
              <w:t xml:space="preserve">B). Por cada hoja subsecuente.                                      </w:t>
            </w:r>
          </w:p>
          <w:p w14:paraId="2C16848C" w14:textId="4C4FFB5C" w:rsidR="00377C51" w:rsidRPr="00377C51" w:rsidRDefault="00377C51" w:rsidP="00377C51">
            <w:pPr>
              <w:ind w:right="564"/>
              <w:rPr>
                <w:rFonts w:ascii="Palatino Linotype" w:hAnsi="Palatino Linotype"/>
                <w:b/>
                <w:i/>
              </w:rPr>
            </w:pPr>
            <w:r w:rsidRPr="00377C51">
              <w:rPr>
                <w:rFonts w:ascii="Palatino Linotype" w:hAnsi="Palatino Linotype"/>
                <w:i/>
              </w:rPr>
              <w:t xml:space="preserve">(…)” </w:t>
            </w:r>
          </w:p>
        </w:tc>
        <w:tc>
          <w:tcPr>
            <w:tcW w:w="4459" w:type="dxa"/>
          </w:tcPr>
          <w:p w14:paraId="46C7436F" w14:textId="77777777" w:rsidR="00377C51" w:rsidRPr="00377C51" w:rsidRDefault="00377C51" w:rsidP="00377C51">
            <w:pPr>
              <w:ind w:right="564"/>
              <w:rPr>
                <w:rFonts w:ascii="Palatino Linotype" w:hAnsi="Palatino Linotype"/>
                <w:b/>
                <w:i/>
              </w:rPr>
            </w:pPr>
          </w:p>
          <w:p w14:paraId="70AD634C" w14:textId="77777777" w:rsidR="00377C51" w:rsidRPr="00377C51" w:rsidRDefault="00377C51" w:rsidP="00377C51">
            <w:pPr>
              <w:ind w:right="564"/>
              <w:jc w:val="center"/>
              <w:rPr>
                <w:rFonts w:ascii="Palatino Linotype" w:hAnsi="Palatino Linotype"/>
                <w:b/>
                <w:i/>
              </w:rPr>
            </w:pPr>
            <w:r w:rsidRPr="00377C51">
              <w:rPr>
                <w:rFonts w:ascii="Palatino Linotype" w:hAnsi="Palatino Linotype"/>
                <w:b/>
                <w:i/>
              </w:rPr>
              <w:t>$</w:t>
            </w:r>
            <w:r w:rsidRPr="00377C51">
              <w:t xml:space="preserve"> </w:t>
            </w:r>
            <w:r w:rsidRPr="00377C51">
              <w:rPr>
                <w:rFonts w:ascii="Palatino Linotype" w:hAnsi="Palatino Linotype"/>
                <w:b/>
                <w:i/>
              </w:rPr>
              <w:t>0.850</w:t>
            </w:r>
          </w:p>
          <w:p w14:paraId="120236F1" w14:textId="7A027BB0" w:rsidR="00377C51" w:rsidRPr="00377C51" w:rsidRDefault="00377C51" w:rsidP="00377C51">
            <w:pPr>
              <w:ind w:right="564"/>
              <w:jc w:val="center"/>
              <w:rPr>
                <w:rFonts w:ascii="Palatino Linotype" w:hAnsi="Palatino Linotype"/>
                <w:i/>
              </w:rPr>
            </w:pPr>
            <w:r w:rsidRPr="00377C51">
              <w:rPr>
                <w:rFonts w:ascii="Palatino Linotype" w:hAnsi="Palatino Linotype"/>
                <w:b/>
                <w:i/>
              </w:rPr>
              <w:t>$</w:t>
            </w:r>
            <w:r w:rsidRPr="00377C51">
              <w:t xml:space="preserve"> </w:t>
            </w:r>
            <w:r w:rsidRPr="00377C51">
              <w:rPr>
                <w:rFonts w:ascii="Palatino Linotype" w:hAnsi="Palatino Linotype"/>
                <w:b/>
                <w:i/>
              </w:rPr>
              <w:t>0.417</w:t>
            </w:r>
          </w:p>
          <w:p w14:paraId="47B55171" w14:textId="77777777" w:rsidR="00377C51" w:rsidRPr="00377C51" w:rsidRDefault="00377C51" w:rsidP="00377C51">
            <w:pPr>
              <w:ind w:right="564"/>
              <w:rPr>
                <w:rFonts w:ascii="Palatino Linotype" w:hAnsi="Palatino Linotype"/>
                <w:b/>
                <w:i/>
              </w:rPr>
            </w:pPr>
          </w:p>
          <w:p w14:paraId="76E7C03A" w14:textId="77777777" w:rsidR="00377C51" w:rsidRPr="00377C51" w:rsidRDefault="00377C51" w:rsidP="005E2445">
            <w:pPr>
              <w:pStyle w:val="Prrafodelista"/>
              <w:ind w:left="0" w:right="423"/>
              <w:jc w:val="center"/>
              <w:rPr>
                <w:rFonts w:ascii="Palatino Linotype" w:hAnsi="Palatino Linotype"/>
                <w:b/>
                <w:i/>
                <w:sz w:val="22"/>
                <w:szCs w:val="22"/>
              </w:rPr>
            </w:pPr>
          </w:p>
        </w:tc>
      </w:tr>
    </w:tbl>
    <w:p w14:paraId="51FF1B41" w14:textId="77777777" w:rsidR="005E2445" w:rsidRPr="00377C51" w:rsidRDefault="005E2445" w:rsidP="005E2445">
      <w:pPr>
        <w:pStyle w:val="Prrafodelista"/>
        <w:spacing w:line="360" w:lineRule="auto"/>
        <w:ind w:left="1418" w:right="564"/>
        <w:rPr>
          <w:rFonts w:ascii="Palatino Linotype" w:hAnsi="Palatino Linotype"/>
          <w:b/>
          <w:i/>
          <w:sz w:val="22"/>
          <w:szCs w:val="22"/>
        </w:rPr>
      </w:pPr>
    </w:p>
    <w:p w14:paraId="42C57477" w14:textId="37C7BACD"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t xml:space="preserve">Así, se tiene que el cobro por copias certificadas es un derecho que cobran el Estado y sus organismos y su destino es cubrir el gasto público y demás obligaciones a su cargo, por lo cual, al eximir del pago al particular, en el caso en concreto al Recurrente, se ocasiona un perjuicio al ente público, pues se le está privando de la ganancia lícita que debiera haberse obtenido con el cumplimiento de la obligación del solicitante a realizar el pago establecido en el artículo </w:t>
      </w:r>
      <w:r w:rsidR="00377C51" w:rsidRPr="00377C51">
        <w:rPr>
          <w:rFonts w:ascii="Palatino Linotype" w:hAnsi="Palatino Linotype"/>
        </w:rPr>
        <w:t>148</w:t>
      </w:r>
      <w:r w:rsidRPr="00377C51">
        <w:rPr>
          <w:rFonts w:ascii="Palatino Linotype" w:hAnsi="Palatino Linotype"/>
        </w:rPr>
        <w:t>, del multicitado Código Financiero.</w:t>
      </w:r>
    </w:p>
    <w:p w14:paraId="2C11C9A1" w14:textId="77777777" w:rsidR="005E2445" w:rsidRPr="00377C51" w:rsidRDefault="005E2445" w:rsidP="005E2445">
      <w:pPr>
        <w:pStyle w:val="Sinespaciado"/>
        <w:spacing w:line="360" w:lineRule="auto"/>
        <w:ind w:firstLine="1"/>
        <w:jc w:val="both"/>
        <w:rPr>
          <w:rFonts w:ascii="Palatino Linotype" w:hAnsi="Palatino Linotype"/>
        </w:rPr>
      </w:pPr>
    </w:p>
    <w:p w14:paraId="4170FB82" w14:textId="77777777" w:rsidR="005E2445" w:rsidRPr="00377C51" w:rsidRDefault="005E2445" w:rsidP="005E2445">
      <w:pPr>
        <w:spacing w:after="0" w:line="360" w:lineRule="auto"/>
        <w:contextualSpacing/>
        <w:jc w:val="both"/>
        <w:rPr>
          <w:rFonts w:ascii="Palatino Linotype" w:hAnsi="Palatino Linotype"/>
        </w:rPr>
      </w:pPr>
      <w:r w:rsidRPr="00377C51">
        <w:rPr>
          <w:rFonts w:ascii="Palatino Linotype" w:hAnsi="Palatino Linotype"/>
        </w:rPr>
        <w:lastRenderedPageBreak/>
        <w:t>De forma complementaria, resultan aplicables los artículos 9, fracción III, 17 y 174 de la Ley de Transparencia y Acceso a la Información Pública del Estado de México y Municipios, los cuales en su contenido establecen lo siguiente:</w:t>
      </w:r>
    </w:p>
    <w:p w14:paraId="266D71C9" w14:textId="77777777" w:rsidR="005E2445" w:rsidRPr="00377C51" w:rsidRDefault="005E2445" w:rsidP="005E2445">
      <w:pPr>
        <w:spacing w:after="0" w:line="360" w:lineRule="auto"/>
        <w:contextualSpacing/>
        <w:jc w:val="both"/>
        <w:rPr>
          <w:rFonts w:ascii="Palatino Linotype" w:hAnsi="Palatino Linotype"/>
        </w:rPr>
      </w:pPr>
    </w:p>
    <w:p w14:paraId="4FB2F167"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Times New Roman"/>
          <w:b/>
          <w:i/>
          <w:lang w:val="es-ES" w:eastAsia="es-ES"/>
        </w:rPr>
        <w:t>“</w:t>
      </w:r>
      <w:r w:rsidRPr="00377C51">
        <w:rPr>
          <w:rFonts w:ascii="Palatino Linotype" w:eastAsia="Times New Roman" w:hAnsi="Palatino Linotype" w:cs="Arial"/>
          <w:b/>
          <w:i/>
          <w:color w:val="000000" w:themeColor="text1"/>
        </w:rPr>
        <w:t>Artículo 9.</w:t>
      </w:r>
      <w:r w:rsidRPr="00377C51">
        <w:rPr>
          <w:rFonts w:ascii="Palatino Linotype" w:eastAsia="Times New Roman" w:hAnsi="Palatino Linotype" w:cs="Arial"/>
          <w:i/>
          <w:color w:val="000000" w:themeColor="text1"/>
        </w:rPr>
        <w:t xml:space="preserve"> El Instituto deberá regir su funcionamiento de acuerdo a los siguientes principios: </w:t>
      </w:r>
    </w:p>
    <w:p w14:paraId="1EE3DDE7"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 xml:space="preserve">(…) </w:t>
      </w:r>
    </w:p>
    <w:p w14:paraId="26C4A676"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 xml:space="preserve">III. Gratuidad: Consiste en que el acceso a la información pública no genera costo alguno para los solicitantes, </w:t>
      </w:r>
      <w:r w:rsidRPr="00377C51">
        <w:rPr>
          <w:rFonts w:ascii="Palatino Linotype" w:eastAsia="Times New Roman" w:hAnsi="Palatino Linotype" w:cs="Arial"/>
          <w:b/>
          <w:bCs/>
          <w:i/>
          <w:color w:val="000000" w:themeColor="text1"/>
          <w:u w:val="single"/>
        </w:rPr>
        <w:t>sólo podrá requerirse el cobro correspondiente a la modalidad de reproducción y entrega solicitada conforme a lo establecido en la presente Ley y demás disposiciones jurídicas aplicables</w:t>
      </w:r>
      <w:r w:rsidRPr="00377C51">
        <w:rPr>
          <w:rFonts w:ascii="Palatino Linotype" w:eastAsia="Times New Roman" w:hAnsi="Palatino Linotype" w:cs="Arial"/>
          <w:b/>
          <w:bCs/>
          <w:i/>
          <w:color w:val="000000" w:themeColor="text1"/>
        </w:rPr>
        <w:t>;</w:t>
      </w:r>
    </w:p>
    <w:p w14:paraId="6132B18A"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i/>
          <w:color w:val="000000" w:themeColor="text1"/>
        </w:rPr>
      </w:pPr>
      <w:r w:rsidRPr="00377C51">
        <w:rPr>
          <w:rFonts w:ascii="Palatino Linotype" w:eastAsia="Times New Roman" w:hAnsi="Palatino Linotype" w:cs="Arial"/>
          <w:i/>
          <w:color w:val="000000" w:themeColor="text1"/>
        </w:rPr>
        <w:t>(…)</w:t>
      </w:r>
    </w:p>
    <w:p w14:paraId="70D1EF92"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r w:rsidRPr="00377C51">
        <w:rPr>
          <w:rFonts w:ascii="Palatino Linotype" w:eastAsia="Times New Roman" w:hAnsi="Palatino Linotype" w:cs="Arial"/>
          <w:b/>
          <w:i/>
          <w:color w:val="000000" w:themeColor="text1"/>
        </w:rPr>
        <w:t>Artículo 17.</w:t>
      </w:r>
      <w:r w:rsidRPr="00377C51">
        <w:rPr>
          <w:rFonts w:ascii="Palatino Linotype" w:eastAsia="Times New Roman" w:hAnsi="Palatino Linotype" w:cs="Arial"/>
          <w:i/>
          <w:color w:val="000000" w:themeColor="text1"/>
        </w:rPr>
        <w:t xml:space="preserve"> La búsqueda y acceso a la información es gratuita </w:t>
      </w:r>
      <w:r w:rsidRPr="00377C51">
        <w:rPr>
          <w:rFonts w:ascii="Palatino Linotype" w:eastAsia="Times New Roman" w:hAnsi="Palatino Linotype" w:cs="Arial"/>
          <w:b/>
          <w:bCs/>
          <w:i/>
          <w:color w:val="000000" w:themeColor="text1"/>
        </w:rPr>
        <w:t xml:space="preserve">y </w:t>
      </w:r>
      <w:r w:rsidRPr="00377C51">
        <w:rPr>
          <w:rFonts w:ascii="Palatino Linotype" w:eastAsia="Times New Roman" w:hAnsi="Palatino Linotype" w:cs="Arial"/>
          <w:b/>
          <w:bCs/>
          <w:i/>
          <w:color w:val="000000" w:themeColor="text1"/>
          <w:u w:val="single"/>
        </w:rPr>
        <w:t>solo se cubrirán los gastos de reproducción, o por la modalidad de entrega solicitada</w:t>
      </w:r>
      <w:r w:rsidRPr="00377C51">
        <w:rPr>
          <w:rFonts w:ascii="Palatino Linotype" w:eastAsia="Times New Roman" w:hAnsi="Palatino Linotype" w:cs="Arial"/>
          <w:b/>
          <w:bCs/>
          <w:i/>
          <w:color w:val="000000" w:themeColor="text1"/>
        </w:rPr>
        <w:t>,</w:t>
      </w:r>
      <w:r w:rsidRPr="00377C51">
        <w:rPr>
          <w:rFonts w:ascii="Palatino Linotype" w:eastAsia="Times New Roman" w:hAnsi="Palatino Linotype" w:cs="Arial"/>
          <w:i/>
          <w:color w:val="000000" w:themeColor="text1"/>
        </w:rPr>
        <w:t xml:space="preserve"> así como por el envío, que en su caso se genere</w:t>
      </w:r>
      <w:r w:rsidRPr="00377C51">
        <w:rPr>
          <w:rFonts w:ascii="Palatino Linotype" w:eastAsia="Times New Roman" w:hAnsi="Palatino Linotype" w:cs="Arial"/>
          <w:b/>
          <w:bCs/>
          <w:i/>
          <w:color w:val="000000" w:themeColor="text1"/>
        </w:rPr>
        <w:t xml:space="preserve">, </w:t>
      </w:r>
      <w:r w:rsidRPr="00377C51">
        <w:rPr>
          <w:rFonts w:ascii="Palatino Linotype" w:eastAsia="Times New Roman" w:hAnsi="Palatino Linotype" w:cs="Arial"/>
          <w:b/>
          <w:bCs/>
          <w:i/>
          <w:color w:val="000000" w:themeColor="text1"/>
          <w:u w:val="single"/>
        </w:rPr>
        <w:t>de conformidad con los derechos, productos y aprovechamientos establecidos en la legislación aplicable, sin que exceda de los límites establecidos en la presente Ley</w:t>
      </w:r>
      <w:r w:rsidRPr="00377C51">
        <w:rPr>
          <w:rFonts w:ascii="Palatino Linotype" w:eastAsia="Times New Roman" w:hAnsi="Palatino Linotype" w:cs="Arial"/>
          <w:b/>
          <w:bCs/>
          <w:i/>
          <w:color w:val="000000" w:themeColor="text1"/>
        </w:rPr>
        <w:t>.</w:t>
      </w:r>
    </w:p>
    <w:p w14:paraId="40E09838"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Arial"/>
          <w:b/>
          <w:bCs/>
          <w:i/>
          <w:color w:val="000000" w:themeColor="text1"/>
        </w:rPr>
      </w:pPr>
    </w:p>
    <w:p w14:paraId="033C70A4"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b/>
          <w:i/>
          <w:lang w:val="es-ES" w:eastAsia="es-ES"/>
        </w:rPr>
        <w:t>Artículo 174.</w:t>
      </w:r>
      <w:r w:rsidRPr="00377C51">
        <w:rPr>
          <w:rFonts w:ascii="Palatino Linotype" w:eastAsia="Times New Roman" w:hAnsi="Palatino Linotype" w:cs="Times New Roman"/>
          <w:i/>
          <w:lang w:val="es-ES" w:eastAsia="es-ES"/>
        </w:rPr>
        <w:t xml:space="preserve"> En caso de existir costos para obtener la información deberán cubrirse de manera previa a la entrega y no podrán ser superiores a la suma de:</w:t>
      </w:r>
    </w:p>
    <w:p w14:paraId="40BA0451" w14:textId="77777777" w:rsidR="005E2445" w:rsidRPr="00377C51" w:rsidRDefault="005E2445" w:rsidP="005E2445">
      <w:pPr>
        <w:autoSpaceDE w:val="0"/>
        <w:autoSpaceDN w:val="0"/>
        <w:adjustRightInd w:val="0"/>
        <w:spacing w:after="0" w:line="240" w:lineRule="auto"/>
        <w:ind w:left="567" w:right="423"/>
        <w:jc w:val="both"/>
        <w:rPr>
          <w:rFonts w:ascii="Palatino Linotype" w:eastAsia="Times New Roman" w:hAnsi="Palatino Linotype" w:cs="Times New Roman"/>
          <w:i/>
          <w:lang w:val="es-ES" w:eastAsia="es-ES"/>
        </w:rPr>
      </w:pPr>
    </w:p>
    <w:p w14:paraId="3B446EDF" w14:textId="77777777" w:rsidR="005E2445" w:rsidRPr="00377C51" w:rsidRDefault="005E2445" w:rsidP="005E2445">
      <w:pPr>
        <w:pStyle w:val="Prrafodelista"/>
        <w:numPr>
          <w:ilvl w:val="0"/>
          <w:numId w:val="9"/>
        </w:numPr>
        <w:autoSpaceDE w:val="0"/>
        <w:autoSpaceDN w:val="0"/>
        <w:adjustRightInd w:val="0"/>
        <w:ind w:left="567" w:right="423" w:firstLine="426"/>
        <w:jc w:val="both"/>
        <w:rPr>
          <w:rFonts w:ascii="Palatino Linotype" w:eastAsia="Times New Roman" w:hAnsi="Palatino Linotype"/>
          <w:bCs/>
          <w:i/>
          <w:sz w:val="22"/>
          <w:szCs w:val="22"/>
        </w:rPr>
      </w:pPr>
      <w:r w:rsidRPr="00377C51">
        <w:rPr>
          <w:rFonts w:ascii="Palatino Linotype" w:eastAsia="Times New Roman" w:hAnsi="Palatino Linotype"/>
          <w:bCs/>
          <w:i/>
          <w:sz w:val="22"/>
          <w:szCs w:val="22"/>
        </w:rPr>
        <w:t>El costo de los materiales utilizados en la reproducción de la información</w:t>
      </w:r>
    </w:p>
    <w:p w14:paraId="4B5E2A84" w14:textId="77777777" w:rsidR="005E2445" w:rsidRPr="00377C51" w:rsidRDefault="005E2445" w:rsidP="005E2445">
      <w:pPr>
        <w:pStyle w:val="Prrafodelista"/>
        <w:numPr>
          <w:ilvl w:val="0"/>
          <w:numId w:val="9"/>
        </w:numPr>
        <w:autoSpaceDE w:val="0"/>
        <w:autoSpaceDN w:val="0"/>
        <w:adjustRightInd w:val="0"/>
        <w:ind w:left="709" w:right="423" w:firstLine="243"/>
        <w:jc w:val="both"/>
        <w:rPr>
          <w:rFonts w:ascii="Palatino Linotype" w:eastAsia="Times New Roman" w:hAnsi="Palatino Linotype"/>
          <w:b/>
          <w:bCs/>
          <w:i/>
          <w:sz w:val="22"/>
          <w:szCs w:val="22"/>
          <w:u w:val="single"/>
        </w:rPr>
      </w:pPr>
      <w:r w:rsidRPr="00377C51">
        <w:rPr>
          <w:rFonts w:ascii="Palatino Linotype" w:eastAsia="Times New Roman" w:hAnsi="Palatino Linotype"/>
          <w:i/>
          <w:sz w:val="22"/>
          <w:szCs w:val="22"/>
        </w:rPr>
        <w:t xml:space="preserve">  El costo de envío, en su caso; y</w:t>
      </w:r>
    </w:p>
    <w:p w14:paraId="7691EB0F" w14:textId="77777777" w:rsidR="005E2445" w:rsidRPr="00377C51" w:rsidRDefault="005E2445" w:rsidP="005E2445">
      <w:pPr>
        <w:pStyle w:val="Prrafodelista"/>
        <w:numPr>
          <w:ilvl w:val="0"/>
          <w:numId w:val="9"/>
        </w:numPr>
        <w:autoSpaceDE w:val="0"/>
        <w:autoSpaceDN w:val="0"/>
        <w:adjustRightInd w:val="0"/>
        <w:ind w:left="567" w:right="423" w:firstLine="243"/>
        <w:jc w:val="both"/>
        <w:rPr>
          <w:rFonts w:ascii="Palatino Linotype" w:eastAsia="Times New Roman" w:hAnsi="Palatino Linotype"/>
          <w:b/>
          <w:bCs/>
          <w:i/>
          <w:sz w:val="22"/>
          <w:szCs w:val="22"/>
          <w:u w:val="single"/>
        </w:rPr>
      </w:pPr>
      <w:r w:rsidRPr="00377C51">
        <w:rPr>
          <w:rFonts w:ascii="Palatino Linotype" w:eastAsia="Times New Roman" w:hAnsi="Palatino Linotype"/>
          <w:b/>
          <w:bCs/>
          <w:i/>
          <w:sz w:val="22"/>
          <w:szCs w:val="22"/>
          <w:u w:val="single"/>
        </w:rPr>
        <w:t xml:space="preserve"> El pago de la certificación de los documentos, cuando proceda.</w:t>
      </w:r>
    </w:p>
    <w:p w14:paraId="56F387DF"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57B065BB"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i/>
          <w:lang w:val="es-ES" w:eastAsia="es-ES"/>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253B8A1B"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782DF91C"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r w:rsidRPr="00377C51">
        <w:rPr>
          <w:rFonts w:ascii="Palatino Linotype" w:eastAsia="Times New Roman" w:hAnsi="Palatino Linotype" w:cs="Times New Roman"/>
          <w:i/>
          <w:lang w:val="es-ES" w:eastAsia="es-ES"/>
        </w:rPr>
        <w:t>Los sujetos obligados a los que no les sea aplicable el Código Financiero del Estado de México y Municipios deberán establecer cuotas que no sean mayores a las dispuestas en dicho ordenamiento.</w:t>
      </w:r>
    </w:p>
    <w:p w14:paraId="60ACB7CB" w14:textId="77777777" w:rsidR="00377C51" w:rsidRPr="00377C51" w:rsidRDefault="00377C51"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i/>
          <w:lang w:val="es-ES" w:eastAsia="es-ES"/>
        </w:rPr>
      </w:pPr>
    </w:p>
    <w:p w14:paraId="16BA9612" w14:textId="77777777" w:rsidR="005E2445" w:rsidRPr="00377C51" w:rsidRDefault="005E2445" w:rsidP="005E2445">
      <w:pPr>
        <w:autoSpaceDE w:val="0"/>
        <w:autoSpaceDN w:val="0"/>
        <w:adjustRightInd w:val="0"/>
        <w:spacing w:after="0" w:line="240" w:lineRule="auto"/>
        <w:ind w:left="567" w:right="423"/>
        <w:contextualSpacing/>
        <w:jc w:val="both"/>
        <w:rPr>
          <w:rFonts w:ascii="Palatino Linotype" w:eastAsia="Times New Roman" w:hAnsi="Palatino Linotype" w:cs="Times New Roman"/>
          <w:b/>
          <w:bCs/>
          <w:i/>
          <w:lang w:val="es-ES" w:eastAsia="es-ES"/>
        </w:rPr>
      </w:pPr>
      <w:r w:rsidRPr="00377C51">
        <w:rPr>
          <w:rFonts w:ascii="Palatino Linotype" w:eastAsia="Times New Roman" w:hAnsi="Palatino Linotype" w:cs="Times New Roman"/>
          <w:i/>
          <w:lang w:val="es-ES" w:eastAsia="es-ES"/>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377C51">
        <w:rPr>
          <w:rFonts w:ascii="Palatino Linotype" w:eastAsia="Times New Roman" w:hAnsi="Palatino Linotype" w:cs="Times New Roman"/>
          <w:b/>
          <w:bCs/>
          <w:i/>
          <w:lang w:val="es-ES" w:eastAsia="es-ES"/>
        </w:rPr>
        <w:t>[Sic]</w:t>
      </w:r>
    </w:p>
    <w:p w14:paraId="0F1BDD6D" w14:textId="77777777" w:rsidR="005E2445" w:rsidRPr="00377C51" w:rsidRDefault="005E2445" w:rsidP="005E2445">
      <w:pPr>
        <w:pStyle w:val="Sinespaciado"/>
        <w:spacing w:line="360" w:lineRule="auto"/>
        <w:ind w:firstLine="1"/>
        <w:jc w:val="both"/>
        <w:rPr>
          <w:rFonts w:ascii="Palatino Linotype" w:hAnsi="Palatino Linotype"/>
        </w:rPr>
      </w:pPr>
    </w:p>
    <w:p w14:paraId="3B0A4A82" w14:textId="77777777" w:rsidR="005E2445" w:rsidRPr="00377C51" w:rsidRDefault="005E2445" w:rsidP="005E2445">
      <w:pPr>
        <w:pStyle w:val="Sinespaciado"/>
        <w:spacing w:line="360" w:lineRule="auto"/>
        <w:ind w:firstLine="1"/>
        <w:jc w:val="both"/>
        <w:rPr>
          <w:rFonts w:ascii="Palatino Linotype" w:hAnsi="Palatino Linotype"/>
          <w:b/>
          <w:u w:val="single"/>
        </w:rPr>
      </w:pPr>
      <w:r w:rsidRPr="00377C51">
        <w:rPr>
          <w:rFonts w:ascii="Palatino Linotype" w:hAnsi="Palatino Linotype"/>
        </w:rPr>
        <w:t>En virtud de lo anterior, resulta inconcuso que la certificación de documentos configura un servicio que presta el Estado en sus funciones de derecho público,</w:t>
      </w:r>
      <w:r w:rsidRPr="00377C51">
        <w:rPr>
          <w:rFonts w:ascii="Palatino Linotype" w:hAnsi="Palatino Linotype"/>
          <w:b/>
        </w:rPr>
        <w:t xml:space="preserve"> </w:t>
      </w:r>
      <w:r w:rsidRPr="00377C51">
        <w:rPr>
          <w:rFonts w:ascii="Palatino Linotype" w:hAnsi="Palatino Linotype"/>
        </w:rPr>
        <w:t xml:space="preserve">de ahí que resulte necesario la recuperación de tales gastos, en el caso en particular, mediante el pago de un derecho establecido en la normatividad aplicable, </w:t>
      </w:r>
      <w:r w:rsidRPr="00377C51">
        <w:rPr>
          <w:rFonts w:ascii="Palatino Linotype" w:hAnsi="Palatino Linotype"/>
          <w:b/>
          <w:u w:val="single"/>
        </w:rPr>
        <w:t xml:space="preserve">el cual invariablemente no podrá ser desestimado, condonado o inaplicado, pues conforme a la normatividad previamente referida se reconoce la imposición de un gravamen incluso con independencia del número de fojas. </w:t>
      </w:r>
    </w:p>
    <w:p w14:paraId="14D921A4" w14:textId="77777777" w:rsidR="005E2445" w:rsidRPr="00377C51" w:rsidRDefault="005E2445" w:rsidP="005E2445">
      <w:pPr>
        <w:pStyle w:val="Sinespaciado"/>
        <w:spacing w:line="360" w:lineRule="auto"/>
        <w:ind w:firstLine="1"/>
        <w:jc w:val="both"/>
        <w:rPr>
          <w:rFonts w:ascii="Palatino Linotype" w:hAnsi="Palatino Linotype"/>
          <w:b/>
          <w:u w:val="single"/>
        </w:rPr>
      </w:pPr>
    </w:p>
    <w:p w14:paraId="68EC3DD5" w14:textId="77777777" w:rsidR="005E2445" w:rsidRPr="00377C51" w:rsidRDefault="005E2445" w:rsidP="005E2445">
      <w:pPr>
        <w:pStyle w:val="Sinespaciado"/>
        <w:spacing w:line="360" w:lineRule="auto"/>
        <w:ind w:firstLine="1"/>
        <w:jc w:val="both"/>
        <w:rPr>
          <w:rFonts w:ascii="Palatino Linotype" w:hAnsi="Palatino Linotype"/>
        </w:rPr>
      </w:pPr>
      <w:r w:rsidRPr="00377C51">
        <w:rPr>
          <w:rFonts w:ascii="Palatino Linotype" w:hAnsi="Palatino Linotype"/>
        </w:rPr>
        <w:t xml:space="preserve">Por ello, conviene señalar lo estipulado por el Poder Judicial de la Federación a través de la tesis aislada con número de registro </w:t>
      </w:r>
      <w:r w:rsidRPr="00377C51">
        <w:rPr>
          <w:rFonts w:ascii="Palatino Linotype" w:hAnsi="Palatino Linotype"/>
          <w:b/>
        </w:rPr>
        <w:t>2007573</w:t>
      </w:r>
      <w:r w:rsidRPr="00377C51">
        <w:rPr>
          <w:rFonts w:ascii="Palatino Linotype" w:hAnsi="Palatino Linotype"/>
        </w:rPr>
        <w:t xml:space="preserve"> de la Décima Época, sustentada por la Segunda Sala de la Suprema Corte de Justicia de la Nación, órgano colegiado que se ha pronunciado en cuanto al control constitucional concentrado o difuso en los términos siguientes: </w:t>
      </w:r>
    </w:p>
    <w:p w14:paraId="4A0D097E" w14:textId="77777777" w:rsidR="005E2445" w:rsidRPr="00377C51" w:rsidRDefault="005E2445" w:rsidP="005E2445">
      <w:pPr>
        <w:pStyle w:val="Sinespaciado"/>
        <w:rPr>
          <w:rFonts w:ascii="Palatino Linotype" w:hAnsi="Palatino Linotype"/>
        </w:rPr>
      </w:pPr>
    </w:p>
    <w:p w14:paraId="7131FCF0" w14:textId="77777777" w:rsidR="005E2445" w:rsidRPr="00377C51" w:rsidRDefault="005E2445" w:rsidP="005E2445">
      <w:pPr>
        <w:pStyle w:val="Citas"/>
        <w:spacing w:before="0" w:after="0" w:line="240" w:lineRule="auto"/>
        <w:rPr>
          <w:b/>
          <w:lang w:eastAsia="es-MX"/>
        </w:rPr>
      </w:pPr>
      <w:r w:rsidRPr="00377C51">
        <w:rPr>
          <w:b/>
          <w:lang w:eastAsia="es-MX"/>
        </w:rPr>
        <w:t>“CONTROL CONSTITUCIONAL CONCENTRADO O DIFUSO. LAS AUTORIDADES ADMINISTRATIVAS NO ESTÁN FACULTADAS PARA REALIZARLO.</w:t>
      </w:r>
    </w:p>
    <w:p w14:paraId="25C17F0C" w14:textId="77777777" w:rsidR="005E2445" w:rsidRPr="00377C51" w:rsidRDefault="005E2445" w:rsidP="005E2445">
      <w:pPr>
        <w:pStyle w:val="Citas"/>
        <w:spacing w:before="0" w:after="0" w:line="240" w:lineRule="auto"/>
        <w:rPr>
          <w:lang w:eastAsia="es-MX"/>
        </w:rPr>
      </w:pPr>
    </w:p>
    <w:p w14:paraId="0B33AC94" w14:textId="77777777" w:rsidR="005E2445" w:rsidRPr="00377C51" w:rsidRDefault="005E2445" w:rsidP="005E2445">
      <w:pPr>
        <w:pStyle w:val="Citas"/>
        <w:spacing w:before="0" w:after="0" w:line="240" w:lineRule="auto"/>
        <w:rPr>
          <w:rFonts w:cs="Times New Roman"/>
          <w:sz w:val="24"/>
          <w:szCs w:val="24"/>
          <w:lang w:eastAsia="es-MX"/>
        </w:rPr>
      </w:pPr>
      <w:r w:rsidRPr="00377C51">
        <w:rPr>
          <w:lang w:eastAsia="es-MX"/>
        </w:rPr>
        <w:t>El artículo </w:t>
      </w:r>
      <w:hyperlink r:id="rId8" w:history="1">
        <w:r w:rsidRPr="00377C51">
          <w:rPr>
            <w:color w:val="007BFF"/>
            <w:u w:val="single"/>
            <w:lang w:eastAsia="es-MX"/>
          </w:rPr>
          <w:t>1o. de la Constitución Política de los Estados Unidos Mexicanos</w:t>
        </w:r>
      </w:hyperlink>
      <w:r w:rsidRPr="00377C51">
        <w:rPr>
          <w:lang w:eastAsia="es-MX"/>
        </w:rPr>
        <w:t xml:space="preserve"> establece que todas las autoridades, en el ámbito de sus competencias, deben cumplir con una serie de obligaciones en materia de derechos humanos. Sin </w:t>
      </w:r>
      <w:r w:rsidRPr="00377C51">
        <w:rPr>
          <w:lang w:eastAsia="es-MX"/>
        </w:rPr>
        <w:lastRenderedPageBreak/>
        <w:t>embargo, en términos de la tesis </w:t>
      </w:r>
      <w:hyperlink r:id="rId9" w:tgtFrame="_blank" w:history="1">
        <w:r w:rsidRPr="00377C51">
          <w:rPr>
            <w:color w:val="007BFF"/>
            <w:u w:val="single"/>
            <w:lang w:eastAsia="es-MX"/>
          </w:rPr>
          <w:t>P. LXIX/2011 (9a.)</w:t>
        </w:r>
      </w:hyperlink>
      <w:r w:rsidRPr="00377C51">
        <w:rPr>
          <w:lang w:eastAsia="es-MX"/>
        </w:rPr>
        <w:t xml:space="preserve"> (*), del Tribunal Pleno de la Suprema Corte de Justicia de la Nación, </w:t>
      </w:r>
      <w:r w:rsidRPr="00377C51">
        <w:rPr>
          <w:b/>
          <w:u w:val="single"/>
          <w:lang w:eastAsia="es-MX"/>
        </w:rPr>
        <w:t xml:space="preserve">las autoridades administrativas no están facultadas para realizar algún tipo de control constitucional, sea concentrado o difuso; es decir, no pueden declarar la invalidez de un determinado precepto e </w:t>
      </w:r>
      <w:proofErr w:type="spellStart"/>
      <w:r w:rsidRPr="00377C51">
        <w:rPr>
          <w:b/>
          <w:u w:val="single"/>
          <w:lang w:eastAsia="es-MX"/>
        </w:rPr>
        <w:t>inaplicarlo</w:t>
      </w:r>
      <w:proofErr w:type="spellEnd"/>
      <w:r w:rsidRPr="00377C51">
        <w:rPr>
          <w:b/>
          <w:u w:val="single"/>
          <w:lang w:eastAsia="es-MX"/>
        </w:rPr>
        <w:t>, ni siquiera bajo el argumento de una reparación de derechos humanos,</w:t>
      </w:r>
      <w:r w:rsidRPr="00377C51">
        <w:rPr>
          <w:lang w:eastAsia="es-MX"/>
        </w:rPr>
        <w:t xml:space="preserve"> ya que ello implicaría desatender los requisitos de procedencia señalados por las leyes para interponer un medio de defensa, y que deben cumplirse de manera previa a un pronunciamiento de fondo del asunto. En todo caso, han de interpretar las disposiciones jurídicas en el sentido más favorable a las personas, pero sin que ello llegue a descuidar las facultades y funciones que deben desempeñar en atención a sus ámbitos competenciales. Aceptar lo contrario, generaría incertidumbre jurídica en franca contravención a otros derechos humanos como los de legalidad, debido proceso y seguridad jurídica, previstos en los artículos </w:t>
      </w:r>
      <w:hyperlink r:id="rId10" w:history="1">
        <w:r w:rsidRPr="00377C51">
          <w:rPr>
            <w:color w:val="007BFF"/>
            <w:u w:val="single"/>
            <w:lang w:eastAsia="es-MX"/>
          </w:rPr>
          <w:t>14 y 16 constitucionales</w:t>
        </w:r>
      </w:hyperlink>
      <w:r w:rsidRPr="00377C51">
        <w:rPr>
          <w:lang w:eastAsia="es-MX"/>
        </w:rPr>
        <w:t>.</w:t>
      </w:r>
    </w:p>
    <w:p w14:paraId="58706C9A" w14:textId="77777777" w:rsidR="005E2445" w:rsidRPr="00377C51" w:rsidRDefault="005E2445" w:rsidP="005E2445">
      <w:pPr>
        <w:pStyle w:val="Citas"/>
        <w:spacing w:before="0" w:after="0" w:line="240" w:lineRule="auto"/>
        <w:rPr>
          <w:lang w:eastAsia="es-MX"/>
        </w:rPr>
      </w:pPr>
    </w:p>
    <w:p w14:paraId="6C032AAE" w14:textId="77777777" w:rsidR="005E2445" w:rsidRPr="00377C51" w:rsidRDefault="005E2445" w:rsidP="005E2445">
      <w:pPr>
        <w:pStyle w:val="Citas"/>
        <w:spacing w:before="0" w:after="0" w:line="240" w:lineRule="auto"/>
        <w:rPr>
          <w:b/>
          <w:lang w:eastAsia="es-MX"/>
        </w:rPr>
      </w:pPr>
      <w:r w:rsidRPr="00377C51">
        <w:rPr>
          <w:lang w:eastAsia="es-MX"/>
        </w:rPr>
        <w:t xml:space="preserve">Amparo directo en revisión 1640/2014. Ramón Enrique Luque Félix. 13 de agosto de 2014. Unanimidad de cuatro votos de los Ministros Alberto Pérez </w:t>
      </w:r>
      <w:proofErr w:type="spellStart"/>
      <w:r w:rsidRPr="00377C51">
        <w:rPr>
          <w:lang w:eastAsia="es-MX"/>
        </w:rPr>
        <w:t>Dayán</w:t>
      </w:r>
      <w:proofErr w:type="spellEnd"/>
      <w:r w:rsidRPr="00377C51">
        <w:rPr>
          <w:lang w:eastAsia="es-MX"/>
        </w:rPr>
        <w:t xml:space="preserve">, José Fernando Franco González Salas, Margarita Beatriz Luna Ramos y Luis María Aguilar Morales. Ausente: Sergio A. Valls Hernández. Ponente: José Fernando Franco González Salas. Secretarios: Maura Angélica Sanabria Martínez y Everardo Maya Arias.” </w:t>
      </w:r>
      <w:r w:rsidRPr="00377C51">
        <w:rPr>
          <w:b/>
          <w:lang w:eastAsia="es-MX"/>
        </w:rPr>
        <w:t xml:space="preserve">[Sic] </w:t>
      </w:r>
    </w:p>
    <w:p w14:paraId="50895424" w14:textId="77777777" w:rsidR="005E2445" w:rsidRPr="00377C51" w:rsidRDefault="005E2445" w:rsidP="004402F7">
      <w:pPr>
        <w:spacing w:after="0" w:line="360" w:lineRule="auto"/>
        <w:contextualSpacing/>
        <w:jc w:val="both"/>
        <w:rPr>
          <w:rFonts w:ascii="Palatino Linotype" w:hAnsi="Palatino Linotype"/>
          <w:sz w:val="24"/>
          <w:szCs w:val="24"/>
        </w:rPr>
      </w:pPr>
    </w:p>
    <w:p w14:paraId="36703701" w14:textId="05729997" w:rsidR="005E2445" w:rsidRPr="00377C51" w:rsidRDefault="005E2445" w:rsidP="005E2445">
      <w:pPr>
        <w:spacing w:after="0" w:line="360" w:lineRule="auto"/>
        <w:contextualSpacing/>
        <w:jc w:val="both"/>
        <w:rPr>
          <w:rFonts w:ascii="Palatino Linotype" w:hAnsi="Palatino Linotype"/>
          <w:sz w:val="24"/>
        </w:rPr>
      </w:pPr>
      <w:r w:rsidRPr="00377C51">
        <w:rPr>
          <w:rFonts w:ascii="Palatino Linotype" w:hAnsi="Palatino Linotype"/>
          <w:sz w:val="24"/>
        </w:rPr>
        <w:t xml:space="preserve">Con base en lo anteriormente expuesto, a consideración de quien suscribe, en la resolución emitida se debió haber considerado que, si bien la respuesta dada por el </w:t>
      </w:r>
      <w:r w:rsidRPr="00377C51">
        <w:rPr>
          <w:rFonts w:ascii="Palatino Linotype" w:hAnsi="Palatino Linotype"/>
          <w:b/>
          <w:sz w:val="24"/>
        </w:rPr>
        <w:t>Sujeto Obli</w:t>
      </w:r>
      <w:r w:rsidRPr="00377C51">
        <w:rPr>
          <w:rFonts w:ascii="Palatino Linotype" w:hAnsi="Palatino Linotype"/>
          <w:sz w:val="24"/>
        </w:rPr>
        <w:t xml:space="preserve">gado no fue suficiente para colmar las pretensiones del </w:t>
      </w:r>
      <w:r w:rsidRPr="00377C51">
        <w:rPr>
          <w:rFonts w:ascii="Palatino Linotype" w:hAnsi="Palatino Linotype"/>
          <w:b/>
          <w:sz w:val="24"/>
        </w:rPr>
        <w:t>Recurrente</w:t>
      </w:r>
      <w:r w:rsidRPr="00377C51">
        <w:rPr>
          <w:rFonts w:ascii="Palatino Linotype" w:hAnsi="Palatino Linotype"/>
          <w:sz w:val="24"/>
        </w:rPr>
        <w:t xml:space="preserve">, esto no debió ser motivo suficiente para exceptuar del pago correspondiente a la expedición de las copias certificadas solicitadas por el particular, toda vez que este mismo así lo pidió en su solicitud de información, además de que es una obligación establecida por el Código Financiero, la Ley de Transparencia local y demás normatividad aplicable; lo cual, de no cumplirse, genera un perjuicio al municipio, </w:t>
      </w:r>
      <w:r w:rsidRPr="00377C51">
        <w:rPr>
          <w:rFonts w:ascii="Palatino Linotype" w:hAnsi="Palatino Linotype"/>
          <w:sz w:val="24"/>
        </w:rPr>
        <w:lastRenderedPageBreak/>
        <w:t>pues representa una fuente de ingreso con la que se pretende cubrir su gasto público y demás obligaciones</w:t>
      </w:r>
      <w:r w:rsidR="00377C51" w:rsidRPr="00377C51">
        <w:rPr>
          <w:rFonts w:ascii="Palatino Linotype" w:hAnsi="Palatino Linotype"/>
        </w:rPr>
        <w:t>.</w:t>
      </w:r>
      <w:r w:rsidR="00377C51">
        <w:rPr>
          <w:rFonts w:ascii="Palatino Linotype" w:hAnsi="Palatino Linotype"/>
        </w:rPr>
        <w:t xml:space="preserve"> </w:t>
      </w:r>
      <w:r w:rsidRPr="00377C51">
        <w:rPr>
          <w:rFonts w:ascii="Palatino Linotype" w:hAnsi="Palatino Linotype"/>
          <w:sz w:val="24"/>
        </w:rPr>
        <w:t>En conclusión, este voto particular se emite con la intención de que se tome en cuenta que exceptuar a los particulares del pago de los derechos en favor de los sujetos obligados establecidos en la normatividad aplicable, tiene como consecuencia un menoscabo en el ingreso de éstos últimos, pues no solo se produce un perjuicio a los sujetos obligados, sino que se les obliga a cubrir con sus propios recursos los costos generados por los servicios que se le solicitó, en el caso en concreto, la expedición de copias certificadas, generando en consecuencia, un detrimento al erario público.------------------------------------------------------------------------------------------------------------------------------------------------------------------------------------------------------------------------------------------------------------------------------------------------------------------------------------------------------------------------------------------------------------------------------------------------------------------------------------------------------------------------------------------------------------------------------------------------------------------------------------------------------------------------------------------------------------------------------------------------------------------------------------------------------------------------------------------------------------------------------------------------------------------------------------------------------------------------------------------------------------------------------------------------------------------------------------------------------------------------------------------------------------------------------------------------------------------------------------------------------------------------------------------------------------------------------------------------------------------------------------------</w:t>
      </w:r>
      <w:r w:rsidR="00377C51">
        <w:rPr>
          <w:rFonts w:ascii="Palatino Linotype" w:hAnsi="Palatino Linotype"/>
          <w:sz w:val="24"/>
        </w:rPr>
        <w:t>---------------------------------------------------------------------------------------------------------------------------------------------------------------------------</w:t>
      </w:r>
      <w:bookmarkStart w:id="0" w:name="_GoBack"/>
      <w:bookmarkEnd w:id="0"/>
      <w:r w:rsidR="00377C51">
        <w:rPr>
          <w:rFonts w:ascii="Palatino Linotype" w:hAnsi="Palatino Linotype"/>
          <w:sz w:val="24"/>
        </w:rPr>
        <w:t>--------</w:t>
      </w:r>
      <w:r w:rsidRPr="00377C51">
        <w:rPr>
          <w:rFonts w:ascii="Palatino Linotype" w:hAnsi="Palatino Linotype"/>
          <w:sz w:val="24"/>
        </w:rPr>
        <w:t xml:space="preserve"> </w:t>
      </w:r>
    </w:p>
    <w:p w14:paraId="09FB0373" w14:textId="77777777" w:rsidR="005E2445" w:rsidRPr="00377C51" w:rsidRDefault="005E2445" w:rsidP="004402F7">
      <w:pPr>
        <w:spacing w:after="0" w:line="360" w:lineRule="auto"/>
        <w:contextualSpacing/>
        <w:jc w:val="both"/>
        <w:rPr>
          <w:rFonts w:ascii="Palatino Linotype" w:hAnsi="Palatino Linotype"/>
          <w:sz w:val="24"/>
          <w:szCs w:val="24"/>
        </w:rPr>
      </w:pPr>
    </w:p>
    <w:sectPr w:rsidR="005E2445" w:rsidRPr="00377C51" w:rsidSect="00DD7AD0">
      <w:headerReference w:type="even" r:id="rId11"/>
      <w:headerReference w:type="default" r:id="rId12"/>
      <w:footerReference w:type="default" r:id="rId13"/>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7A215" w14:textId="77777777" w:rsidR="00DD103D" w:rsidRDefault="00DD103D" w:rsidP="004C1443">
      <w:pPr>
        <w:spacing w:after="0" w:line="240" w:lineRule="auto"/>
      </w:pPr>
      <w:r>
        <w:separator/>
      </w:r>
    </w:p>
  </w:endnote>
  <w:endnote w:type="continuationSeparator" w:id="0">
    <w:p w14:paraId="74EE7F29" w14:textId="77777777" w:rsidR="00DD103D" w:rsidRDefault="00DD103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1ADB9A31"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5123C0">
              <w:rPr>
                <w:b/>
                <w:bCs/>
                <w:noProof/>
              </w:rPr>
              <w:t>12</w:t>
            </w:r>
            <w:r>
              <w:rPr>
                <w:b/>
                <w:bCs/>
              </w:rPr>
              <w:fldChar w:fldCharType="end"/>
            </w:r>
            <w:r>
              <w:t xml:space="preserve"> de </w:t>
            </w:r>
            <w:r>
              <w:rPr>
                <w:b/>
                <w:bCs/>
              </w:rPr>
              <w:fldChar w:fldCharType="begin"/>
            </w:r>
            <w:r>
              <w:rPr>
                <w:b/>
                <w:bCs/>
              </w:rPr>
              <w:instrText>NUMPAGES</w:instrText>
            </w:r>
            <w:r>
              <w:rPr>
                <w:b/>
                <w:bCs/>
              </w:rPr>
              <w:fldChar w:fldCharType="separate"/>
            </w:r>
            <w:r w:rsidR="005123C0">
              <w:rPr>
                <w:b/>
                <w:bCs/>
                <w:noProof/>
              </w:rPr>
              <w:t>12</w:t>
            </w:r>
            <w:r>
              <w:rPr>
                <w:b/>
                <w:bCs/>
              </w:rPr>
              <w:fldChar w:fldCharType="end"/>
            </w:r>
          </w:p>
        </w:sdtContent>
      </w:sdt>
    </w:sdtContent>
  </w:sdt>
  <w:p w14:paraId="75B70CDC" w14:textId="77777777" w:rsidR="00DD7AD0" w:rsidRDefault="005123C0"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1EC12" w14:textId="77777777" w:rsidR="00DD103D" w:rsidRDefault="00DD103D" w:rsidP="004C1443">
      <w:pPr>
        <w:spacing w:after="0" w:line="240" w:lineRule="auto"/>
      </w:pPr>
      <w:r>
        <w:separator/>
      </w:r>
    </w:p>
  </w:footnote>
  <w:footnote w:type="continuationSeparator" w:id="0">
    <w:p w14:paraId="3D3D48CE" w14:textId="77777777" w:rsidR="00DD103D" w:rsidRDefault="00DD103D"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DE15"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5C2B8FE7" wp14:editId="0E3C773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272C55"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B49DAA"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E3760" w14:textId="77777777" w:rsidR="00DD7AD0" w:rsidRDefault="005123C0"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40B59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style="position:absolute;left:0;text-align:left;margin-left:0;margin-top:0;width:547.2pt;height:82.05pt;rotation:315;z-index:-251657728;mso-position-horizontal:center;mso-position-horizontal-relative:margin;mso-position-vertical:center;mso-position-vertical-relative:margin"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107C430C" wp14:editId="0A24E30D">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51AF116D" w14:textId="77777777" w:rsidR="00DD7AD0" w:rsidRDefault="005123C0" w:rsidP="00DD7AD0">
    <w:pPr>
      <w:pStyle w:val="Encabezado"/>
      <w:jc w:val="right"/>
      <w:rPr>
        <w:rFonts w:ascii="Arial" w:hAnsi="Arial" w:cs="Arial"/>
        <w:sz w:val="20"/>
        <w:szCs w:val="20"/>
      </w:rPr>
    </w:pPr>
  </w:p>
  <w:p w14:paraId="443C5B3D" w14:textId="77777777" w:rsidR="00DD7AD0" w:rsidRDefault="005123C0" w:rsidP="00DD7AD0">
    <w:pPr>
      <w:pStyle w:val="Encabezado"/>
      <w:jc w:val="right"/>
      <w:rPr>
        <w:rFonts w:ascii="Arial" w:hAnsi="Arial" w:cs="Arial"/>
        <w:sz w:val="20"/>
        <w:szCs w:val="20"/>
      </w:rPr>
    </w:pPr>
  </w:p>
  <w:p w14:paraId="5A85086D" w14:textId="77777777" w:rsidR="00DD7AD0" w:rsidRPr="009E6EF2" w:rsidRDefault="00613A04" w:rsidP="00DD7AD0">
    <w:pPr>
      <w:pStyle w:val="Encabezado"/>
      <w:jc w:val="right"/>
      <w:rPr>
        <w:rFonts w:ascii="Palatino Linotype" w:hAnsi="Palatino Linotype" w:cs="Arial"/>
        <w:b/>
        <w:szCs w:val="20"/>
      </w:rPr>
    </w:pPr>
    <w:r w:rsidRPr="009E6EF2">
      <w:rPr>
        <w:rFonts w:ascii="Palatino Linotype" w:hAnsi="Palatino Linotype" w:cs="Arial"/>
        <w:b/>
        <w:szCs w:val="20"/>
      </w:rPr>
      <w:t xml:space="preserve">VOTO </w:t>
    </w:r>
    <w:r w:rsidR="007B733E" w:rsidRPr="009E6EF2">
      <w:rPr>
        <w:rFonts w:ascii="Palatino Linotype" w:hAnsi="Palatino Linotype" w:cs="Arial"/>
        <w:b/>
        <w:szCs w:val="20"/>
      </w:rPr>
      <w:t>PARTICULAR</w:t>
    </w:r>
    <w:r w:rsidRPr="009E6EF2">
      <w:rPr>
        <w:rFonts w:ascii="Palatino Linotype" w:hAnsi="Palatino Linotype" w:cs="Arial"/>
        <w:b/>
        <w:szCs w:val="20"/>
      </w:rPr>
      <w:t xml:space="preserve"> </w:t>
    </w:r>
  </w:p>
  <w:p w14:paraId="3CA13290" w14:textId="77777777" w:rsidR="00DD7AD0" w:rsidRPr="009E6EF2" w:rsidRDefault="00613A04" w:rsidP="00DD7AD0">
    <w:pPr>
      <w:pStyle w:val="Encabezado"/>
      <w:jc w:val="right"/>
      <w:rPr>
        <w:rFonts w:ascii="Palatino Linotype" w:hAnsi="Palatino Linotype" w:cs="Arial"/>
        <w:b/>
        <w:bCs/>
        <w:szCs w:val="20"/>
        <w:lang w:eastAsia="es-MX"/>
      </w:rPr>
    </w:pPr>
    <w:r w:rsidRPr="009E6EF2">
      <w:rPr>
        <w:rFonts w:ascii="Palatino Linotype" w:hAnsi="Palatino Linotype" w:cs="Arial"/>
        <w:b/>
        <w:szCs w:val="20"/>
      </w:rPr>
      <w:t xml:space="preserve">RECURSO DE REVISIÓN </w:t>
    </w:r>
    <w:r w:rsidR="000D122C" w:rsidRPr="009E6EF2">
      <w:rPr>
        <w:rFonts w:ascii="Palatino Linotype" w:hAnsi="Palatino Linotype" w:cs="Arial"/>
        <w:b/>
        <w:bCs/>
        <w:szCs w:val="20"/>
        <w:lang w:eastAsia="es-MX"/>
      </w:rPr>
      <w:t>04</w:t>
    </w:r>
    <w:r w:rsidR="000D122C">
      <w:rPr>
        <w:rFonts w:ascii="Palatino Linotype" w:hAnsi="Palatino Linotype" w:cs="Arial"/>
        <w:b/>
        <w:bCs/>
        <w:szCs w:val="20"/>
        <w:lang w:eastAsia="es-MX"/>
      </w:rPr>
      <w:t>316</w:t>
    </w:r>
    <w:r w:rsidR="00043B20" w:rsidRPr="009E6EF2">
      <w:rPr>
        <w:rFonts w:ascii="Palatino Linotype" w:hAnsi="Palatino Linotype" w:cs="Arial"/>
        <w:b/>
        <w:bCs/>
        <w:szCs w:val="20"/>
        <w:lang w:eastAsia="es-MX"/>
      </w:rPr>
      <w:t>/INFOEM/IP/RR/20</w:t>
    </w:r>
    <w:r w:rsidR="009E6EF2" w:rsidRPr="009E6EF2">
      <w:rPr>
        <w:rFonts w:ascii="Palatino Linotype" w:hAnsi="Palatino Linotype" w:cs="Arial"/>
        <w:b/>
        <w:bCs/>
        <w:szCs w:val="20"/>
        <w:lang w:eastAsia="es-MX"/>
      </w:rPr>
      <w:t>21</w:t>
    </w:r>
  </w:p>
  <w:p w14:paraId="0F1D868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2FB5E79"/>
    <w:multiLevelType w:val="hybridMultilevel"/>
    <w:tmpl w:val="899C8B9C"/>
    <w:lvl w:ilvl="0" w:tplc="810AC6F0">
      <w:start w:val="1"/>
      <w:numFmt w:val="decimal"/>
      <w:lvlText w:val="%1."/>
      <w:lvlJc w:val="left"/>
      <w:pPr>
        <w:ind w:left="720" w:hanging="360"/>
      </w:pPr>
      <w:rPr>
        <w:rFonts w:eastAsia="Times New Roman"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8F74677"/>
    <w:multiLevelType w:val="hybridMultilevel"/>
    <w:tmpl w:val="CE04E740"/>
    <w:lvl w:ilvl="0" w:tplc="2910D20E">
      <w:start w:val="1"/>
      <w:numFmt w:val="upperRoman"/>
      <w:lvlText w:val="%1."/>
      <w:lvlJc w:val="righ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8"/>
  </w:num>
  <w:num w:numId="4">
    <w:abstractNumId w:val="6"/>
  </w:num>
  <w:num w:numId="5">
    <w:abstractNumId w:val="7"/>
  </w:num>
  <w:num w:numId="6">
    <w:abstractNumId w:val="9"/>
  </w:num>
  <w:num w:numId="7">
    <w:abstractNumId w:val="2"/>
  </w:num>
  <w:num w:numId="8">
    <w:abstractNumId w:val="1"/>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43B20"/>
    <w:rsid w:val="0009787F"/>
    <w:rsid w:val="000D122C"/>
    <w:rsid w:val="000D21E7"/>
    <w:rsid w:val="000E1ABA"/>
    <w:rsid w:val="000E517C"/>
    <w:rsid w:val="000F14DA"/>
    <w:rsid w:val="000F1B77"/>
    <w:rsid w:val="000F49C4"/>
    <w:rsid w:val="00105765"/>
    <w:rsid w:val="00137BCF"/>
    <w:rsid w:val="00145FED"/>
    <w:rsid w:val="00186357"/>
    <w:rsid w:val="0019696B"/>
    <w:rsid w:val="001B3D19"/>
    <w:rsid w:val="001F4BBB"/>
    <w:rsid w:val="002351CE"/>
    <w:rsid w:val="002374B9"/>
    <w:rsid w:val="00240D8D"/>
    <w:rsid w:val="00252976"/>
    <w:rsid w:val="00256512"/>
    <w:rsid w:val="002C14F9"/>
    <w:rsid w:val="0031079C"/>
    <w:rsid w:val="00330955"/>
    <w:rsid w:val="00336332"/>
    <w:rsid w:val="00341093"/>
    <w:rsid w:val="00377C51"/>
    <w:rsid w:val="003847F7"/>
    <w:rsid w:val="00396F4A"/>
    <w:rsid w:val="003D76A7"/>
    <w:rsid w:val="003F52D7"/>
    <w:rsid w:val="004244B6"/>
    <w:rsid w:val="004402F7"/>
    <w:rsid w:val="00491A04"/>
    <w:rsid w:val="004C1443"/>
    <w:rsid w:val="004D5C09"/>
    <w:rsid w:val="004F5AE8"/>
    <w:rsid w:val="004F5D2F"/>
    <w:rsid w:val="005123C0"/>
    <w:rsid w:val="005251CB"/>
    <w:rsid w:val="00526C8E"/>
    <w:rsid w:val="00546280"/>
    <w:rsid w:val="005543EB"/>
    <w:rsid w:val="005733EB"/>
    <w:rsid w:val="00586001"/>
    <w:rsid w:val="005D0EB7"/>
    <w:rsid w:val="005E2445"/>
    <w:rsid w:val="005E760F"/>
    <w:rsid w:val="006069F7"/>
    <w:rsid w:val="00613A04"/>
    <w:rsid w:val="006A51FD"/>
    <w:rsid w:val="006D627E"/>
    <w:rsid w:val="006E64A7"/>
    <w:rsid w:val="006F544E"/>
    <w:rsid w:val="006F7F79"/>
    <w:rsid w:val="00707558"/>
    <w:rsid w:val="0071133A"/>
    <w:rsid w:val="0071304D"/>
    <w:rsid w:val="007518F5"/>
    <w:rsid w:val="00787CFE"/>
    <w:rsid w:val="007B5209"/>
    <w:rsid w:val="007B733E"/>
    <w:rsid w:val="007C0DCC"/>
    <w:rsid w:val="007C4507"/>
    <w:rsid w:val="008037AF"/>
    <w:rsid w:val="00852785"/>
    <w:rsid w:val="00865DEB"/>
    <w:rsid w:val="008D6140"/>
    <w:rsid w:val="008E47B8"/>
    <w:rsid w:val="008F6B22"/>
    <w:rsid w:val="00900682"/>
    <w:rsid w:val="00911F00"/>
    <w:rsid w:val="00915E74"/>
    <w:rsid w:val="0099768F"/>
    <w:rsid w:val="009B46D0"/>
    <w:rsid w:val="009C651B"/>
    <w:rsid w:val="009E6EF2"/>
    <w:rsid w:val="00A430F5"/>
    <w:rsid w:val="00A85CFE"/>
    <w:rsid w:val="00A9353F"/>
    <w:rsid w:val="00AF71C1"/>
    <w:rsid w:val="00B0055F"/>
    <w:rsid w:val="00B40E2E"/>
    <w:rsid w:val="00B6198B"/>
    <w:rsid w:val="00B71EFC"/>
    <w:rsid w:val="00B77C19"/>
    <w:rsid w:val="00C42420"/>
    <w:rsid w:val="00C61583"/>
    <w:rsid w:val="00C96E88"/>
    <w:rsid w:val="00CF11A8"/>
    <w:rsid w:val="00D014A2"/>
    <w:rsid w:val="00D26D4E"/>
    <w:rsid w:val="00D675E4"/>
    <w:rsid w:val="00D875B1"/>
    <w:rsid w:val="00D953EF"/>
    <w:rsid w:val="00DB0A5B"/>
    <w:rsid w:val="00DB6F26"/>
    <w:rsid w:val="00DC5F78"/>
    <w:rsid w:val="00DD103D"/>
    <w:rsid w:val="00DD13E2"/>
    <w:rsid w:val="00E554DC"/>
    <w:rsid w:val="00E6367E"/>
    <w:rsid w:val="00E92686"/>
    <w:rsid w:val="00F07361"/>
    <w:rsid w:val="00F57C84"/>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06C20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comentario">
    <w:name w:val="annotation reference"/>
    <w:basedOn w:val="Fuentedeprrafopredeter"/>
    <w:uiPriority w:val="99"/>
    <w:semiHidden/>
    <w:unhideWhenUsed/>
    <w:rsid w:val="005543EB"/>
    <w:rPr>
      <w:sz w:val="16"/>
      <w:szCs w:val="16"/>
    </w:rPr>
  </w:style>
  <w:style w:type="paragraph" w:styleId="Textocomentario">
    <w:name w:val="annotation text"/>
    <w:basedOn w:val="Normal"/>
    <w:link w:val="TextocomentarioCar"/>
    <w:uiPriority w:val="99"/>
    <w:semiHidden/>
    <w:unhideWhenUsed/>
    <w:rsid w:val="005543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43EB"/>
    <w:rPr>
      <w:sz w:val="20"/>
      <w:szCs w:val="20"/>
    </w:rPr>
  </w:style>
  <w:style w:type="paragraph" w:styleId="Asuntodelcomentario">
    <w:name w:val="annotation subject"/>
    <w:basedOn w:val="Textocomentario"/>
    <w:next w:val="Textocomentario"/>
    <w:link w:val="AsuntodelcomentarioCar"/>
    <w:uiPriority w:val="99"/>
    <w:semiHidden/>
    <w:unhideWhenUsed/>
    <w:rsid w:val="005543EB"/>
    <w:rPr>
      <w:b/>
      <w:bCs/>
    </w:rPr>
  </w:style>
  <w:style w:type="character" w:customStyle="1" w:styleId="AsuntodelcomentarioCar">
    <w:name w:val="Asunto del comentario Car"/>
    <w:basedOn w:val="TextocomentarioCar"/>
    <w:link w:val="Asuntodelcomentario"/>
    <w:uiPriority w:val="99"/>
    <w:semiHidden/>
    <w:rsid w:val="005543EB"/>
    <w:rPr>
      <w:b/>
      <w:bCs/>
      <w:sz w:val="20"/>
      <w:szCs w:val="20"/>
    </w:rPr>
  </w:style>
  <w:style w:type="table" w:styleId="Tablaconcuadrcula">
    <w:name w:val="Table Grid"/>
    <w:basedOn w:val="Tablanormal"/>
    <w:uiPriority w:val="39"/>
    <w:rsid w:val="00377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sjf2.scjn.gob.mx/detalle/tesis/16052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5CE3-837D-49B9-93CF-8841FE51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2662</Words>
  <Characters>14643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2021-10-29T18:01:00Z</cp:lastPrinted>
  <dcterms:created xsi:type="dcterms:W3CDTF">2021-10-29T17:59:00Z</dcterms:created>
  <dcterms:modified xsi:type="dcterms:W3CDTF">2022-02-01T16:49:00Z</dcterms:modified>
</cp:coreProperties>
</file>