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68" w:rsidRPr="008D60B1" w:rsidRDefault="00A039A7" w:rsidP="00F74468">
      <w:pPr>
        <w:spacing w:after="0" w:line="360" w:lineRule="auto"/>
        <w:jc w:val="both"/>
        <w:rPr>
          <w:rFonts w:ascii="Palatino Linotype" w:hAnsi="Palatino Linotype"/>
          <w:b/>
        </w:rPr>
      </w:pPr>
      <w:r>
        <w:rPr>
          <w:rFonts w:ascii="Palatino Linotype" w:hAnsi="Palatino Linotype"/>
          <w:b/>
        </w:rPr>
        <w:t>VOTO PARTICULAR QUE FORMULA LA COMISIONADA</w:t>
      </w:r>
      <w:r w:rsidR="00F74468" w:rsidRPr="008D60B1">
        <w:rPr>
          <w:rFonts w:ascii="Palatino Linotype" w:hAnsi="Palatino Linotype"/>
          <w:b/>
        </w:rPr>
        <w:t xml:space="preserve"> </w:t>
      </w:r>
      <w:r>
        <w:rPr>
          <w:rFonts w:ascii="Palatino Linotype" w:hAnsi="Palatino Linotype"/>
          <w:b/>
        </w:rPr>
        <w:t>GUADALUPE RAMÍREZ PEÑA</w:t>
      </w:r>
      <w:r w:rsidR="00F74468" w:rsidRPr="008D60B1">
        <w:rPr>
          <w:rFonts w:ascii="Palatino Linotype" w:hAnsi="Palatino Linotype"/>
          <w:b/>
        </w:rPr>
        <w:t xml:space="preserve">, EN RELACIÓN CON LA RESOLUCIÓN DICTADA POR EL PLENO DEL INSTITUTO DE TRANSPARENCIA, ACCESO A LA INFORMACIÓN PÚBLICA Y </w:t>
      </w:r>
      <w:r w:rsidRPr="008D60B1">
        <w:rPr>
          <w:rFonts w:ascii="Palatino Linotype" w:hAnsi="Palatino Linotype"/>
          <w:b/>
        </w:rPr>
        <w:t xml:space="preserve">PROTECCIÓN DE DATOS PERSONALES DEL ESTADO </w:t>
      </w:r>
      <w:r>
        <w:rPr>
          <w:rFonts w:ascii="Palatino Linotype" w:hAnsi="Palatino Linotype"/>
          <w:b/>
        </w:rPr>
        <w:t>DE MÉXICO Y MUNICIPIOS, EN LA TRIGÉSIMA</w:t>
      </w:r>
      <w:r w:rsidRPr="008D60B1">
        <w:rPr>
          <w:rFonts w:ascii="Palatino Linotype" w:hAnsi="Palatino Linotype"/>
          <w:b/>
        </w:rPr>
        <w:t xml:space="preserve"> SESIÓN ORDINARIA DEL </w:t>
      </w:r>
      <w:r>
        <w:rPr>
          <w:rFonts w:ascii="Palatino Linotype" w:hAnsi="Palatino Linotype"/>
          <w:b/>
        </w:rPr>
        <w:t>PRIMERO</w:t>
      </w:r>
      <w:r w:rsidRPr="008D60B1">
        <w:rPr>
          <w:rFonts w:ascii="Palatino Linotype" w:hAnsi="Palatino Linotype"/>
          <w:b/>
        </w:rPr>
        <w:t xml:space="preserve"> </w:t>
      </w:r>
      <w:r>
        <w:rPr>
          <w:rFonts w:ascii="Palatino Linotype" w:hAnsi="Palatino Linotype"/>
          <w:b/>
        </w:rPr>
        <w:t xml:space="preserve">DE SEPTIEMBRE </w:t>
      </w:r>
      <w:r w:rsidRPr="008D60B1">
        <w:rPr>
          <w:rFonts w:ascii="Palatino Linotype" w:hAnsi="Palatino Linotype"/>
          <w:b/>
        </w:rPr>
        <w:t xml:space="preserve">DE DOS </w:t>
      </w:r>
      <w:r>
        <w:rPr>
          <w:rFonts w:ascii="Palatino Linotype" w:hAnsi="Palatino Linotype"/>
          <w:b/>
        </w:rPr>
        <w:t>MIL VEINTIUNO, EN EL RECURSO DE REVISIÓN 03692/INFOEM/IP/RR/2021</w:t>
      </w:r>
      <w:r w:rsidR="00BA1D6F">
        <w:rPr>
          <w:rFonts w:ascii="Palatino Linotype" w:hAnsi="Palatino Linotype"/>
          <w:b/>
        </w:rPr>
        <w:t>.</w:t>
      </w:r>
    </w:p>
    <w:p w:rsidR="00F74468" w:rsidRPr="008D60B1" w:rsidRDefault="00F74468" w:rsidP="00F74468">
      <w:pPr>
        <w:spacing w:after="0" w:line="240" w:lineRule="auto"/>
        <w:jc w:val="both"/>
        <w:rPr>
          <w:rFonts w:ascii="Palatino Linotype" w:hAnsi="Palatino Linotype"/>
          <w:b/>
        </w:rPr>
      </w:pPr>
    </w:p>
    <w:p w:rsidR="00D22E21" w:rsidRDefault="00F74468" w:rsidP="00F74468">
      <w:pPr>
        <w:spacing w:after="0" w:line="360" w:lineRule="auto"/>
        <w:jc w:val="both"/>
        <w:rPr>
          <w:rFonts w:ascii="Palatino Linotype" w:hAnsi="Palatino Linotype"/>
        </w:rPr>
      </w:pPr>
      <w:r w:rsidRPr="008D60B1">
        <w:rPr>
          <w:rFonts w:ascii="Palatino Linotype" w:hAnsi="Palatino Linotype"/>
        </w:rPr>
        <w:t>Con fundamento en lo dispuesto por el artículo 14 fracción XI del Reglamento Interior del Instituto de Transparencia, Acceso a la Información Pública y Protección de Datos Personales del E</w:t>
      </w:r>
      <w:r w:rsidR="00A039A7">
        <w:rPr>
          <w:rFonts w:ascii="Palatino Linotype" w:hAnsi="Palatino Linotype"/>
        </w:rPr>
        <w:t>stado de México y Municipios, la Comisionada Guadalupe Ramírez Peña</w:t>
      </w:r>
      <w:r w:rsidRPr="008D60B1">
        <w:rPr>
          <w:rFonts w:ascii="Palatino Linotype" w:hAnsi="Palatino Linotype"/>
        </w:rPr>
        <w:t xml:space="preserve"> emite </w:t>
      </w:r>
      <w:r w:rsidRPr="008D60B1">
        <w:rPr>
          <w:rFonts w:ascii="Palatino Linotype" w:hAnsi="Palatino Linotype"/>
          <w:b/>
        </w:rPr>
        <w:t xml:space="preserve">VOTO PARTICULAR </w:t>
      </w:r>
      <w:r w:rsidRPr="008D60B1">
        <w:rPr>
          <w:rFonts w:ascii="Palatino Linotype" w:hAnsi="Palatino Linotype"/>
        </w:rPr>
        <w:t>respecto a la resolución dictada en el recurso de revisión número 0</w:t>
      </w:r>
      <w:r w:rsidR="00A039A7">
        <w:rPr>
          <w:rFonts w:ascii="Palatino Linotype" w:hAnsi="Palatino Linotype"/>
        </w:rPr>
        <w:t>3692/INFOEM/IP/RR/2021</w:t>
      </w:r>
      <w:r w:rsidRPr="008D60B1">
        <w:rPr>
          <w:rFonts w:ascii="Palatino Linotype" w:hAnsi="Palatino Linotype"/>
        </w:rPr>
        <w:t>, pronunciada por el Pleno de este Instituto an</w:t>
      </w:r>
      <w:r w:rsidR="00A039A7">
        <w:rPr>
          <w:rFonts w:ascii="Palatino Linotype" w:hAnsi="Palatino Linotype"/>
        </w:rPr>
        <w:t>te el proyecto presentado por la Comisionada</w:t>
      </w:r>
      <w:r w:rsidR="00BA1D6F">
        <w:rPr>
          <w:rFonts w:ascii="Palatino Linotype" w:hAnsi="Palatino Linotype"/>
        </w:rPr>
        <w:t xml:space="preserve"> </w:t>
      </w:r>
      <w:r w:rsidR="00A039A7" w:rsidRPr="00A039A7">
        <w:rPr>
          <w:rFonts w:ascii="Palatino Linotype" w:hAnsi="Palatino Linotype"/>
        </w:rPr>
        <w:t>Sharon Cristina Morales Martínez</w:t>
      </w:r>
      <w:r w:rsidR="00D22E21">
        <w:rPr>
          <w:rFonts w:ascii="Palatino Linotype" w:hAnsi="Palatino Linotype"/>
        </w:rPr>
        <w:t>.</w:t>
      </w:r>
    </w:p>
    <w:p w:rsidR="00D22E21" w:rsidRDefault="00D22E21" w:rsidP="00F74468">
      <w:pPr>
        <w:spacing w:after="0" w:line="360" w:lineRule="auto"/>
        <w:jc w:val="both"/>
        <w:rPr>
          <w:rFonts w:ascii="Palatino Linotype" w:hAnsi="Palatino Linotype"/>
        </w:rPr>
      </w:pPr>
    </w:p>
    <w:p w:rsidR="00A039A7" w:rsidRDefault="00A039A7" w:rsidP="00F74468">
      <w:pPr>
        <w:spacing w:after="0" w:line="360" w:lineRule="auto"/>
        <w:jc w:val="both"/>
        <w:rPr>
          <w:rFonts w:ascii="Palatino Linotype" w:hAnsi="Palatino Linotype"/>
        </w:rPr>
      </w:pPr>
      <w:r>
        <w:rPr>
          <w:rFonts w:ascii="Palatino Linotype" w:hAnsi="Palatino Linotype"/>
        </w:rPr>
        <w:t xml:space="preserve">En el presente recurso de revisión, la solicitud de acceso a la información pública consistió en que el </w:t>
      </w:r>
      <w:r w:rsidRPr="00A039A7">
        <w:rPr>
          <w:rFonts w:ascii="Palatino Linotype" w:hAnsi="Palatino Linotype"/>
        </w:rPr>
        <w:t>Organismo Público Descentralizado Municipal para la Prestación de Los Servicios de Agua Potable Alcantarillado y Saneamiento de Cuautitlán Izcalli denominado OPERAGUA, O.P.D.M., le proporcionara lo siguiente:</w:t>
      </w:r>
    </w:p>
    <w:p w:rsidR="00A039A7" w:rsidRDefault="00A039A7" w:rsidP="00F74468">
      <w:pPr>
        <w:spacing w:after="0" w:line="360" w:lineRule="auto"/>
        <w:jc w:val="both"/>
        <w:rPr>
          <w:rFonts w:ascii="Palatino Linotype" w:hAnsi="Palatino Linotype"/>
        </w:rPr>
      </w:pPr>
    </w:p>
    <w:p w:rsidR="00A039A7" w:rsidRPr="00A039A7" w:rsidRDefault="00A039A7" w:rsidP="00A039A7">
      <w:pPr>
        <w:pStyle w:val="Prrafodelista"/>
        <w:numPr>
          <w:ilvl w:val="0"/>
          <w:numId w:val="4"/>
        </w:numPr>
        <w:spacing w:after="0" w:line="360" w:lineRule="auto"/>
        <w:jc w:val="both"/>
        <w:rPr>
          <w:rFonts w:ascii="Palatino Linotype" w:hAnsi="Palatino Linotype"/>
        </w:rPr>
      </w:pPr>
      <w:r>
        <w:rPr>
          <w:rFonts w:ascii="Palatino Linotype" w:hAnsi="Palatino Linotype"/>
        </w:rPr>
        <w:t>U</w:t>
      </w:r>
      <w:r w:rsidRPr="00A039A7">
        <w:rPr>
          <w:rFonts w:ascii="Palatino Linotype" w:hAnsi="Palatino Linotype"/>
        </w:rPr>
        <w:t>na lista con el nombre de cada una de las obras hidráulicas en las que fueron utilizados los $23, 740,111.00 provenientes del Programa de Devolución de Derechos (PRODDER) de la CONAGUA con los montos de dinero utilizados en cada una de dichas obras hidráulicas</w:t>
      </w:r>
      <w:r w:rsidR="00117EDA">
        <w:rPr>
          <w:rFonts w:ascii="Palatino Linotype" w:hAnsi="Palatino Linotype"/>
        </w:rPr>
        <w:t>, en el ejercicio fiscal 2020.</w:t>
      </w:r>
    </w:p>
    <w:p w:rsidR="00A039A7" w:rsidRPr="008D60B1" w:rsidRDefault="00A039A7" w:rsidP="00F74468">
      <w:pPr>
        <w:spacing w:after="0" w:line="360" w:lineRule="auto"/>
        <w:jc w:val="both"/>
        <w:rPr>
          <w:rFonts w:ascii="Palatino Linotype" w:hAnsi="Palatino Linotype"/>
        </w:rPr>
      </w:pPr>
    </w:p>
    <w:p w:rsidR="00A039A7" w:rsidRDefault="00A039A7" w:rsidP="00A039A7">
      <w:pPr>
        <w:spacing w:after="0" w:line="360" w:lineRule="auto"/>
        <w:jc w:val="both"/>
        <w:rPr>
          <w:rFonts w:ascii="Palatino Linotype" w:hAnsi="Palatino Linotype" w:cs="Arial"/>
        </w:rPr>
      </w:pPr>
      <w:r>
        <w:rPr>
          <w:rFonts w:ascii="Palatino Linotype" w:hAnsi="Palatino Linotype"/>
        </w:rPr>
        <w:lastRenderedPageBreak/>
        <w:t>En respuesta el Sujeto Obligado, manifestó que la</w:t>
      </w:r>
      <w:r w:rsidRPr="004C5EE0">
        <w:rPr>
          <w:rFonts w:ascii="Palatino Linotype" w:hAnsi="Palatino Linotype" w:cs="Arial"/>
        </w:rPr>
        <w:t xml:space="preserve"> Dirección de Administración y Finanzas a través de la Coordinación de Finanzas no contaba con dicha información, toda vez que sin bien</w:t>
      </w:r>
      <w:r w:rsidRPr="00257F76">
        <w:rPr>
          <w:rFonts w:ascii="Palatino Linotype" w:hAnsi="Palatino Linotype" w:cs="Arial"/>
        </w:rPr>
        <w:t xml:space="preserve"> es cierto</w:t>
      </w:r>
      <w:r>
        <w:rPr>
          <w:rFonts w:ascii="Palatino Linotype" w:hAnsi="Palatino Linotype" w:cs="Arial"/>
        </w:rPr>
        <w:t>,</w:t>
      </w:r>
      <w:r w:rsidRPr="00257F76">
        <w:rPr>
          <w:rFonts w:ascii="Palatino Linotype" w:hAnsi="Palatino Linotype" w:cs="Arial"/>
        </w:rPr>
        <w:t xml:space="preserve"> que</w:t>
      </w:r>
      <w:r>
        <w:rPr>
          <w:rFonts w:ascii="Palatino Linotype" w:hAnsi="Palatino Linotype" w:cs="Arial"/>
        </w:rPr>
        <w:t xml:space="preserve"> la Dirección en comento, a través de la C</w:t>
      </w:r>
      <w:r w:rsidRPr="00257F76">
        <w:rPr>
          <w:rFonts w:ascii="Palatino Linotype" w:hAnsi="Palatino Linotype" w:cs="Arial"/>
        </w:rPr>
        <w:t>oordinación de Finanzas programa, provisiona y realiza los pagos solicitados, es la Dirección de Construcción y Operación Hidráulica quien lleva a cabo la programación de las obras hidráulicas, el control presupuestal de estas y quien revisa, aprueba y solicita el pago de las estimaciones, aunado a que el programa federal PRODDER es coordinado por el Departamento de Ejecución de Proyectos adscri</w:t>
      </w:r>
      <w:r>
        <w:rPr>
          <w:rFonts w:ascii="Palatino Linotype" w:hAnsi="Palatino Linotype" w:cs="Arial"/>
        </w:rPr>
        <w:t>to a la ya mencionada Dirección de Construcción;</w:t>
      </w:r>
      <w:r w:rsidRPr="00257F76">
        <w:rPr>
          <w:rFonts w:ascii="Palatino Linotype" w:hAnsi="Palatino Linotype" w:cs="Arial"/>
        </w:rPr>
        <w:t xml:space="preserve"> por lo tanto</w:t>
      </w:r>
      <w:r>
        <w:rPr>
          <w:rFonts w:ascii="Palatino Linotype" w:hAnsi="Palatino Linotype" w:cs="Arial"/>
        </w:rPr>
        <w:t>,</w:t>
      </w:r>
      <w:r w:rsidRPr="00257F76">
        <w:rPr>
          <w:rFonts w:ascii="Palatino Linotype" w:hAnsi="Palatino Linotype" w:cs="Arial"/>
        </w:rPr>
        <w:t xml:space="preserve"> corresponde a la misma el resguardo y manejo de la información solicitada y no a la Coordinación de Finanzas</w:t>
      </w:r>
      <w:r>
        <w:rPr>
          <w:rFonts w:ascii="Palatino Linotype" w:hAnsi="Palatino Linotype" w:cs="Arial"/>
        </w:rPr>
        <w:t>.</w:t>
      </w:r>
    </w:p>
    <w:p w:rsidR="00A039A7" w:rsidRDefault="00A039A7" w:rsidP="00A039A7">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otra parte, </w:t>
      </w:r>
      <w:r w:rsidRPr="00257F76">
        <w:rPr>
          <w:rFonts w:ascii="Palatino Linotype" w:hAnsi="Palatino Linotype" w:cs="Arial"/>
        </w:rPr>
        <w:t>la Dirección de Construcción y Operación Hidráulica</w:t>
      </w:r>
      <w:r>
        <w:rPr>
          <w:rFonts w:ascii="Palatino Linotype" w:hAnsi="Palatino Linotype" w:cs="Arial"/>
        </w:rPr>
        <w:t xml:space="preserve"> manifestó haber realizado tareas en conjunto con la coordinación de </w:t>
      </w:r>
      <w:r w:rsidRPr="00257F76">
        <w:rPr>
          <w:rFonts w:ascii="Palatino Linotype" w:hAnsi="Palatino Linotype" w:cs="Arial"/>
        </w:rPr>
        <w:t xml:space="preserve">Ejecución de Proyectos, </w:t>
      </w:r>
      <w:r>
        <w:rPr>
          <w:rFonts w:ascii="Palatino Linotype" w:hAnsi="Palatino Linotype" w:cs="Arial"/>
        </w:rPr>
        <w:t xml:space="preserve">encontrando que, con los fondos del ejercicio fiscal de </w:t>
      </w:r>
      <w:r w:rsidRPr="00257F76">
        <w:rPr>
          <w:rFonts w:ascii="Palatino Linotype" w:hAnsi="Palatino Linotype" w:cs="Arial"/>
          <w:b/>
        </w:rPr>
        <w:t>2021</w:t>
      </w:r>
      <w:r>
        <w:rPr>
          <w:rFonts w:ascii="Palatino Linotype" w:hAnsi="Palatino Linotype" w:cs="Arial"/>
          <w:b/>
        </w:rPr>
        <w:t xml:space="preserve">, </w:t>
      </w:r>
      <w:r>
        <w:rPr>
          <w:rFonts w:ascii="Palatino Linotype" w:hAnsi="Palatino Linotype" w:cs="Arial"/>
        </w:rPr>
        <w:t>se realizaron dos obras consistentes en:</w:t>
      </w:r>
    </w:p>
    <w:p w:rsidR="00A039A7" w:rsidRDefault="00A039A7" w:rsidP="00A039A7">
      <w:pPr>
        <w:pStyle w:val="Prrafodelista"/>
        <w:numPr>
          <w:ilvl w:val="0"/>
          <w:numId w:val="5"/>
        </w:numPr>
        <w:spacing w:before="100" w:beforeAutospacing="1" w:after="100" w:afterAutospacing="1" w:line="360" w:lineRule="auto"/>
        <w:jc w:val="both"/>
        <w:rPr>
          <w:rFonts w:ascii="Palatino Linotype" w:hAnsi="Palatino Linotype" w:cs="Arial"/>
        </w:rPr>
      </w:pPr>
      <w:r w:rsidRPr="00257F76">
        <w:rPr>
          <w:rFonts w:ascii="Palatino Linotype" w:hAnsi="Palatino Linotype" w:cs="Arial"/>
        </w:rPr>
        <w:t>Rehabilitación de la planta de bombeo denominada “Sistema Booster”, con una inversión total de $4,134,015.61</w:t>
      </w:r>
      <w:r>
        <w:rPr>
          <w:rFonts w:ascii="Palatino Linotype" w:hAnsi="Palatino Linotype" w:cs="Arial"/>
        </w:rPr>
        <w:t xml:space="preserve">; y, </w:t>
      </w:r>
    </w:p>
    <w:p w:rsidR="00A039A7" w:rsidRPr="00257F76" w:rsidRDefault="00A039A7" w:rsidP="00A039A7">
      <w:pPr>
        <w:pStyle w:val="Prrafodelista"/>
        <w:numPr>
          <w:ilvl w:val="0"/>
          <w:numId w:val="5"/>
        </w:numPr>
        <w:spacing w:before="100" w:beforeAutospacing="1" w:after="100" w:afterAutospacing="1" w:line="360" w:lineRule="auto"/>
        <w:contextualSpacing w:val="0"/>
        <w:jc w:val="both"/>
        <w:rPr>
          <w:rFonts w:ascii="Palatino Linotype" w:hAnsi="Palatino Linotype" w:cs="Arial"/>
        </w:rPr>
      </w:pPr>
      <w:r w:rsidRPr="00257F76">
        <w:rPr>
          <w:rFonts w:ascii="Palatino Linotype" w:hAnsi="Palatino Linotype" w:cs="Arial"/>
        </w:rPr>
        <w:t>Rehabilitación o Sustitución de equipo electromecánico para pozos de agua potable, con una inversión total de $7, 111,361.71</w:t>
      </w:r>
      <w:r>
        <w:rPr>
          <w:rFonts w:ascii="Palatino Linotype" w:hAnsi="Palatino Linotype" w:cs="Arial"/>
        </w:rPr>
        <w:t>.</w:t>
      </w:r>
    </w:p>
    <w:p w:rsidR="00A039A7" w:rsidRDefault="00A039A7" w:rsidP="00F74468">
      <w:pPr>
        <w:spacing w:after="0" w:line="360" w:lineRule="auto"/>
        <w:jc w:val="both"/>
        <w:rPr>
          <w:rFonts w:ascii="Palatino Linotype" w:hAnsi="Palatino Linotype"/>
        </w:rPr>
      </w:pPr>
    </w:p>
    <w:p w:rsidR="00A039A7" w:rsidRDefault="00A039A7" w:rsidP="00F74468">
      <w:pPr>
        <w:spacing w:after="0" w:line="360" w:lineRule="auto"/>
        <w:jc w:val="both"/>
        <w:rPr>
          <w:rFonts w:ascii="Palatino Linotype" w:hAnsi="Palatino Linotype"/>
        </w:rPr>
      </w:pPr>
    </w:p>
    <w:p w:rsidR="00A039A7" w:rsidRDefault="00A039A7" w:rsidP="00F74468">
      <w:pPr>
        <w:spacing w:after="0" w:line="360" w:lineRule="auto"/>
        <w:jc w:val="both"/>
        <w:rPr>
          <w:rFonts w:ascii="Palatino Linotype" w:hAnsi="Palatino Linotype"/>
        </w:rPr>
      </w:pPr>
    </w:p>
    <w:p w:rsidR="00A039A7" w:rsidRDefault="00A039A7" w:rsidP="00F74468">
      <w:pPr>
        <w:spacing w:after="0" w:line="360" w:lineRule="auto"/>
        <w:jc w:val="both"/>
        <w:rPr>
          <w:rFonts w:ascii="Palatino Linotype" w:hAnsi="Palatino Linotype"/>
        </w:rPr>
      </w:pPr>
    </w:p>
    <w:p w:rsidR="00117EDA" w:rsidRDefault="00A039A7" w:rsidP="00117EDA">
      <w:pPr>
        <w:spacing w:after="0" w:line="360" w:lineRule="auto"/>
        <w:jc w:val="both"/>
        <w:rPr>
          <w:rFonts w:ascii="Palatino Linotype" w:hAnsi="Palatino Linotype" w:cs="Arial"/>
        </w:rPr>
      </w:pPr>
      <w:r>
        <w:rPr>
          <w:rFonts w:ascii="Palatino Linotype" w:hAnsi="Palatino Linotype"/>
        </w:rPr>
        <w:lastRenderedPageBreak/>
        <w:t>Ante la respuesta, el particular se inconforma en lo medular porque el pidió la información de</w:t>
      </w:r>
      <w:r w:rsidR="00117EDA">
        <w:rPr>
          <w:rFonts w:ascii="Palatino Linotype" w:hAnsi="Palatino Linotype"/>
        </w:rPr>
        <w:t>l ejercicio fiscal de</w:t>
      </w:r>
      <w:r>
        <w:rPr>
          <w:rFonts w:ascii="Palatino Linotype" w:hAnsi="Palatino Linotype"/>
        </w:rPr>
        <w:t xml:space="preserve"> 2020 </w:t>
      </w:r>
      <w:r w:rsidR="00117EDA">
        <w:rPr>
          <w:rFonts w:ascii="Palatino Linotype" w:hAnsi="Palatino Linotype"/>
        </w:rPr>
        <w:t xml:space="preserve">y </w:t>
      </w:r>
      <w:r w:rsidR="00117EDA">
        <w:rPr>
          <w:rFonts w:ascii="Palatino Linotype" w:hAnsi="Palatino Linotype" w:cs="Arial"/>
        </w:rPr>
        <w:t>en la respuesta únicamente se refirieron obras llevadas a cabo en el año 2021; agregando que, existe una diferencia presupuestal entre lo recibido para ejercer en obras hidráulicas y lo justificado con la realización de dos obras por una cantidad de once punto dos millones de pesos de los que e</w:t>
      </w:r>
      <w:r w:rsidR="00117EDA" w:rsidRPr="00117EDA">
        <w:rPr>
          <w:rFonts w:ascii="Palatino Linotype" w:hAnsi="Palatino Linotype" w:cs="Arial"/>
        </w:rPr>
        <w:t>l Sujeto Obligado</w:t>
      </w:r>
      <w:r w:rsidR="00117EDA">
        <w:rPr>
          <w:rFonts w:ascii="Palatino Linotype" w:hAnsi="Palatino Linotype" w:cs="Arial"/>
          <w:b/>
        </w:rPr>
        <w:t xml:space="preserve"> </w:t>
      </w:r>
      <w:r w:rsidR="00117EDA">
        <w:rPr>
          <w:rFonts w:ascii="Palatino Linotype" w:hAnsi="Palatino Linotype" w:cs="Arial"/>
        </w:rPr>
        <w:t>no menciona en que obras fueron utilizados.</w:t>
      </w:r>
    </w:p>
    <w:p w:rsidR="00117EDA" w:rsidRDefault="00117EDA" w:rsidP="00117EDA">
      <w:pPr>
        <w:spacing w:after="0" w:line="360" w:lineRule="auto"/>
        <w:jc w:val="both"/>
        <w:rPr>
          <w:rFonts w:ascii="Palatino Linotype" w:hAnsi="Palatino Linotype" w:cs="Arial"/>
        </w:rPr>
      </w:pPr>
    </w:p>
    <w:p w:rsidR="00117EDA" w:rsidRDefault="00117EDA" w:rsidP="00117EDA">
      <w:pPr>
        <w:spacing w:after="0" w:line="360" w:lineRule="auto"/>
        <w:jc w:val="both"/>
        <w:rPr>
          <w:rFonts w:ascii="Palatino Linotype" w:hAnsi="Palatino Linotype" w:cs="Arial"/>
        </w:rPr>
      </w:pPr>
      <w:r>
        <w:rPr>
          <w:rFonts w:ascii="Palatino Linotype" w:hAnsi="Palatino Linotype" w:cs="Arial"/>
        </w:rPr>
        <w:t xml:space="preserve">Una vez notificado el recurso de revisión, el Sujeto Obligado en vía de informe justificado manifestó que por un error humano se anotó el ejercicio fiscal 2021, pero que en realidad la información remitida en informe justificado era del año 2020, agregando que la diferencia presupuestal referida por el hoy </w:t>
      </w:r>
      <w:r w:rsidRPr="00117EDA">
        <w:rPr>
          <w:rFonts w:ascii="Palatino Linotype" w:hAnsi="Palatino Linotype" w:cs="Arial"/>
        </w:rPr>
        <w:t>recurrente</w:t>
      </w:r>
      <w:r>
        <w:rPr>
          <w:rFonts w:ascii="Palatino Linotype" w:hAnsi="Palatino Linotype" w:cs="Arial"/>
          <w:b/>
        </w:rPr>
        <w:t xml:space="preserve"> </w:t>
      </w:r>
      <w:r>
        <w:rPr>
          <w:rFonts w:ascii="Palatino Linotype" w:hAnsi="Palatino Linotype" w:cs="Arial"/>
        </w:rPr>
        <w:t>en sus razones o motivos de inconformidad no fue lo originalmente solicitado por el particular; sin embargo, refirió que el monto no ejercido en obras hidráulicas se basó en los Lineamientos marcados por el Programa de Devolución de Derechos (PRODDER).</w:t>
      </w:r>
    </w:p>
    <w:p w:rsidR="00117EDA" w:rsidRDefault="00117EDA" w:rsidP="00117EDA">
      <w:pPr>
        <w:spacing w:after="0" w:line="360" w:lineRule="auto"/>
        <w:jc w:val="both"/>
        <w:rPr>
          <w:rFonts w:ascii="Palatino Linotype" w:hAnsi="Palatino Linotype" w:cs="Arial"/>
        </w:rPr>
      </w:pPr>
    </w:p>
    <w:p w:rsidR="00117EDA" w:rsidRPr="00810F32" w:rsidRDefault="00117EDA" w:rsidP="00117EDA">
      <w:pPr>
        <w:spacing w:line="360" w:lineRule="auto"/>
        <w:jc w:val="both"/>
        <w:rPr>
          <w:rFonts w:ascii="Palatino Linotype" w:hAnsi="Palatino Linotype"/>
        </w:rPr>
      </w:pPr>
      <w:r>
        <w:rPr>
          <w:rFonts w:ascii="Palatino Linotype" w:hAnsi="Palatino Linotype"/>
        </w:rPr>
        <w:t>Así las cosas la Comisionada</w:t>
      </w:r>
      <w:r w:rsidRPr="008D60B1">
        <w:rPr>
          <w:rFonts w:ascii="Palatino Linotype" w:hAnsi="Palatino Linotype"/>
        </w:rPr>
        <w:t xml:space="preserve"> ponente</w:t>
      </w:r>
      <w:r w:rsidRPr="00783812">
        <w:rPr>
          <w:rFonts w:ascii="Palatino Linotype" w:hAnsi="Palatino Linotype"/>
        </w:rPr>
        <w:t xml:space="preserve">, en la resolución </w:t>
      </w:r>
      <w:r w:rsidRPr="008D60B1">
        <w:rPr>
          <w:rFonts w:ascii="Palatino Linotype" w:hAnsi="Palatino Linotype"/>
        </w:rPr>
        <w:t>presentada ante</w:t>
      </w:r>
      <w:r>
        <w:rPr>
          <w:rFonts w:ascii="Palatino Linotype" w:hAnsi="Palatino Linotype"/>
        </w:rPr>
        <w:t xml:space="preserve"> el Pleno de este Instituto, considera fundados los motivos de inconformidad hechos valer por la recurrente y ordena vía </w:t>
      </w:r>
      <w:r w:rsidRPr="007B222D">
        <w:rPr>
          <w:rFonts w:ascii="Palatino Linotype" w:eastAsia="Times New Roman" w:hAnsi="Palatino Linotype" w:cs="Arial"/>
          <w:color w:val="000000"/>
          <w:sz w:val="24"/>
          <w:szCs w:val="24"/>
          <w:lang w:val="es-ES_tradnl" w:eastAsia="es-ES"/>
        </w:rPr>
        <w:t>Sistema de Acceso a Información Mexiquense (</w:t>
      </w:r>
      <w:r>
        <w:rPr>
          <w:rFonts w:ascii="Palatino Linotype" w:eastAsia="Times New Roman" w:hAnsi="Palatino Linotype" w:cs="Arial"/>
          <w:color w:val="000000"/>
          <w:sz w:val="24"/>
          <w:szCs w:val="24"/>
          <w:lang w:val="es-ES_tradnl" w:eastAsia="es-ES"/>
        </w:rPr>
        <w:t>SAIMEX</w:t>
      </w:r>
      <w:r w:rsidRPr="00810F32">
        <w:rPr>
          <w:rFonts w:ascii="Palatino Linotype" w:hAnsi="Palatino Linotype"/>
        </w:rPr>
        <w:t>), lo siguiente:</w:t>
      </w:r>
    </w:p>
    <w:p w:rsidR="00117EDA" w:rsidRPr="00117EDA" w:rsidRDefault="00117EDA" w:rsidP="00117EDA">
      <w:pPr>
        <w:spacing w:before="100" w:beforeAutospacing="1" w:after="100" w:afterAutospacing="1"/>
        <w:ind w:left="851" w:right="902"/>
        <w:jc w:val="both"/>
        <w:rPr>
          <w:rFonts w:ascii="Palatino Linotype" w:hAnsi="Palatino Linotype"/>
          <w:bCs/>
          <w:i/>
        </w:rPr>
      </w:pPr>
      <w:r w:rsidRPr="003A04C6">
        <w:rPr>
          <w:rFonts w:ascii="Palatino Linotype" w:hAnsi="Palatino Linotype"/>
          <w:bCs/>
          <w:i/>
        </w:rPr>
        <w:t xml:space="preserve"> “</w:t>
      </w:r>
      <w:r>
        <w:rPr>
          <w:rFonts w:ascii="Palatino Linotype" w:hAnsi="Palatino Linotype"/>
          <w:bCs/>
          <w:i/>
        </w:rPr>
        <w:t>El documento en donde conste el reintegro del</w:t>
      </w:r>
      <w:r w:rsidRPr="004C3319">
        <w:rPr>
          <w:rFonts w:ascii="Palatino Linotype" w:hAnsi="Palatino Linotype"/>
          <w:bCs/>
          <w:i/>
        </w:rPr>
        <w:t xml:space="preserve"> presupuesto</w:t>
      </w:r>
      <w:r>
        <w:rPr>
          <w:rFonts w:ascii="Palatino Linotype" w:hAnsi="Palatino Linotype"/>
          <w:bCs/>
          <w:i/>
        </w:rPr>
        <w:t xml:space="preserve"> no ejercido </w:t>
      </w:r>
      <w:r w:rsidRPr="004C3319">
        <w:rPr>
          <w:rFonts w:ascii="Palatino Linotype" w:hAnsi="Palatino Linotype"/>
          <w:bCs/>
          <w:i/>
        </w:rPr>
        <w:t>a la Tesorería de la Federación, del Programa</w:t>
      </w:r>
      <w:r>
        <w:rPr>
          <w:rFonts w:ascii="Palatino Linotype" w:hAnsi="Palatino Linotype"/>
          <w:bCs/>
          <w:i/>
        </w:rPr>
        <w:t xml:space="preserve"> de Devolución de Derechos</w:t>
      </w:r>
      <w:r w:rsidRPr="004C3319">
        <w:rPr>
          <w:rFonts w:ascii="Palatino Linotype" w:hAnsi="Palatino Linotype"/>
          <w:bCs/>
          <w:i/>
        </w:rPr>
        <w:t xml:space="preserve"> </w:t>
      </w:r>
      <w:r>
        <w:rPr>
          <w:rFonts w:ascii="Palatino Linotype" w:hAnsi="Palatino Linotype"/>
          <w:bCs/>
          <w:i/>
        </w:rPr>
        <w:t>(</w:t>
      </w:r>
      <w:r w:rsidRPr="004C3319">
        <w:rPr>
          <w:rFonts w:ascii="Palatino Linotype" w:hAnsi="Palatino Linotype"/>
          <w:bCs/>
          <w:i/>
        </w:rPr>
        <w:t>PRODDER</w:t>
      </w:r>
      <w:r>
        <w:rPr>
          <w:rFonts w:ascii="Palatino Linotype" w:hAnsi="Palatino Linotype"/>
          <w:bCs/>
          <w:i/>
        </w:rPr>
        <w:t>)</w:t>
      </w:r>
      <w:r w:rsidRPr="004C3319">
        <w:rPr>
          <w:rFonts w:ascii="Palatino Linotype" w:hAnsi="Palatino Linotype"/>
          <w:bCs/>
          <w:i/>
        </w:rPr>
        <w:t xml:space="preserve"> en el ejercicio fiscal de 2020</w:t>
      </w:r>
      <w:r w:rsidRPr="00070B86">
        <w:rPr>
          <w:rFonts w:ascii="Palatino Linotype" w:hAnsi="Palatino Linotype"/>
          <w:i/>
        </w:rPr>
        <w:t>.”</w:t>
      </w:r>
      <w:r>
        <w:rPr>
          <w:rFonts w:ascii="Palatino Linotype" w:hAnsi="Palatino Linotype"/>
          <w:i/>
        </w:rPr>
        <w:t>(Sic)</w:t>
      </w:r>
    </w:p>
    <w:p w:rsidR="00117EDA" w:rsidRDefault="00117EDA" w:rsidP="004043CD">
      <w:pPr>
        <w:spacing w:before="240" w:after="240" w:line="360" w:lineRule="auto"/>
        <w:jc w:val="both"/>
        <w:rPr>
          <w:rFonts w:ascii="Palatino Linotype" w:hAnsi="Palatino Linotype"/>
        </w:rPr>
      </w:pPr>
      <w:r>
        <w:rPr>
          <w:rFonts w:ascii="Palatino Linotype" w:hAnsi="Palatino Linotype"/>
        </w:rPr>
        <w:t>Sin embargo, la suscrita considera que los motivos de inconformidad</w:t>
      </w:r>
      <w:r w:rsidR="002811AC">
        <w:rPr>
          <w:rFonts w:ascii="Palatino Linotype" w:hAnsi="Palatino Linotype"/>
        </w:rPr>
        <w:t xml:space="preserve"> hechos valer por el recurrente</w:t>
      </w:r>
      <w:r>
        <w:rPr>
          <w:rFonts w:ascii="Palatino Linotype" w:hAnsi="Palatino Linotype"/>
        </w:rPr>
        <w:t xml:space="preserve"> son </w:t>
      </w:r>
      <w:r w:rsidR="002811AC">
        <w:rPr>
          <w:rFonts w:ascii="Palatino Linotype" w:hAnsi="Palatino Linotype"/>
        </w:rPr>
        <w:t>infundados, en razón de los siguientes dos argumentos:</w:t>
      </w:r>
    </w:p>
    <w:p w:rsidR="002811AC" w:rsidRDefault="002811AC" w:rsidP="004043CD">
      <w:pPr>
        <w:spacing w:before="240" w:after="240" w:line="360" w:lineRule="auto"/>
        <w:jc w:val="both"/>
        <w:rPr>
          <w:rFonts w:ascii="Palatino Linotype" w:hAnsi="Palatino Linotype"/>
        </w:rPr>
      </w:pPr>
      <w:r>
        <w:rPr>
          <w:rFonts w:ascii="Palatino Linotype" w:hAnsi="Palatino Linotype"/>
        </w:rPr>
        <w:lastRenderedPageBreak/>
        <w:t>En primer lugar, a través del informe justificado el Sujeto Obligado hizo la precisión que por un error humano en la respuesta se informó que las obras realizadas fueron del ejercicio fiscal 2021, pero que la realidad fueron las obras que se realizaron en año 2020, como fue solicitado por el particular y por ende queda satisfecho el motivo de inconformidad del recurrente.</w:t>
      </w:r>
    </w:p>
    <w:p w:rsidR="002811AC" w:rsidRDefault="002811AC" w:rsidP="002811AC">
      <w:pPr>
        <w:spacing w:after="0" w:line="360" w:lineRule="auto"/>
        <w:jc w:val="both"/>
        <w:rPr>
          <w:rFonts w:ascii="Palatino Linotype" w:hAnsi="Palatino Linotype" w:cs="Arial"/>
        </w:rPr>
      </w:pPr>
      <w:r>
        <w:rPr>
          <w:rFonts w:ascii="Palatino Linotype" w:hAnsi="Palatino Linotype"/>
        </w:rPr>
        <w:t>En segundo lugar, sobre el motivo de inconformidad en donde señala el recurrente “</w:t>
      </w:r>
      <w:r>
        <w:rPr>
          <w:rFonts w:ascii="Palatino Linotype" w:hAnsi="Palatino Linotype" w:cs="Arial"/>
        </w:rPr>
        <w:t>existe una diferencia presupuestal entre lo recibido para ejercer en obras hidráulicas y lo justificado con la realización de dos obras por una cantidad de once punto dos millones de pesos de los que e</w:t>
      </w:r>
      <w:r w:rsidRPr="00117EDA">
        <w:rPr>
          <w:rFonts w:ascii="Palatino Linotype" w:hAnsi="Palatino Linotype" w:cs="Arial"/>
        </w:rPr>
        <w:t>l Sujeto Obligado</w:t>
      </w:r>
      <w:r>
        <w:rPr>
          <w:rFonts w:ascii="Palatino Linotype" w:hAnsi="Palatino Linotype" w:cs="Arial"/>
          <w:b/>
        </w:rPr>
        <w:t xml:space="preserve"> </w:t>
      </w:r>
      <w:r>
        <w:rPr>
          <w:rFonts w:ascii="Palatino Linotype" w:hAnsi="Palatino Linotype" w:cs="Arial"/>
        </w:rPr>
        <w:t>no menciona en que obras fueron utilizados”, esto a raíz de que en la respuesta se le informo que las obras realizadas con los fondos del ejercicio fiscal 2020, fueron:</w:t>
      </w:r>
    </w:p>
    <w:p w:rsidR="002811AC" w:rsidRDefault="002811AC" w:rsidP="002811AC">
      <w:pPr>
        <w:pStyle w:val="Prrafodelista"/>
        <w:numPr>
          <w:ilvl w:val="0"/>
          <w:numId w:val="6"/>
        </w:numPr>
        <w:spacing w:before="100" w:beforeAutospacing="1" w:after="100" w:afterAutospacing="1" w:line="360" w:lineRule="auto"/>
        <w:contextualSpacing w:val="0"/>
        <w:jc w:val="both"/>
        <w:rPr>
          <w:rFonts w:ascii="Palatino Linotype" w:hAnsi="Palatino Linotype" w:cs="Arial"/>
        </w:rPr>
      </w:pPr>
      <w:r w:rsidRPr="00257F76">
        <w:rPr>
          <w:rFonts w:ascii="Palatino Linotype" w:hAnsi="Palatino Linotype" w:cs="Arial"/>
        </w:rPr>
        <w:t>Rehabilitación de la planta de bombeo denominada “Sistema Booster”, con una inversión total de $4,134,015.61</w:t>
      </w:r>
      <w:r>
        <w:rPr>
          <w:rFonts w:ascii="Palatino Linotype" w:hAnsi="Palatino Linotype" w:cs="Arial"/>
        </w:rPr>
        <w:t xml:space="preserve">; y, </w:t>
      </w:r>
    </w:p>
    <w:p w:rsidR="002811AC" w:rsidRPr="00257F76" w:rsidRDefault="002811AC" w:rsidP="002811AC">
      <w:pPr>
        <w:pStyle w:val="Prrafodelista"/>
        <w:numPr>
          <w:ilvl w:val="0"/>
          <w:numId w:val="6"/>
        </w:numPr>
        <w:spacing w:before="100" w:beforeAutospacing="1" w:after="100" w:afterAutospacing="1" w:line="360" w:lineRule="auto"/>
        <w:contextualSpacing w:val="0"/>
        <w:jc w:val="both"/>
        <w:rPr>
          <w:rFonts w:ascii="Palatino Linotype" w:hAnsi="Palatino Linotype" w:cs="Arial"/>
        </w:rPr>
      </w:pPr>
      <w:r w:rsidRPr="00257F76">
        <w:rPr>
          <w:rFonts w:ascii="Palatino Linotype" w:hAnsi="Palatino Linotype" w:cs="Arial"/>
        </w:rPr>
        <w:t>Rehabilitación o Sustitución de equipo electromecánico para pozos de agua potable, con una inversión total de $7, 111,361.71</w:t>
      </w:r>
      <w:r>
        <w:rPr>
          <w:rFonts w:ascii="Palatino Linotype" w:hAnsi="Palatino Linotype" w:cs="Arial"/>
        </w:rPr>
        <w:t>.” (Sic)</w:t>
      </w:r>
    </w:p>
    <w:p w:rsidR="002811AC" w:rsidRDefault="002811AC" w:rsidP="002811AC">
      <w:pPr>
        <w:spacing w:after="0" w:line="360" w:lineRule="auto"/>
        <w:jc w:val="both"/>
        <w:rPr>
          <w:rFonts w:ascii="Palatino Linotype" w:hAnsi="Palatino Linotype"/>
        </w:rPr>
      </w:pPr>
      <w:r>
        <w:rPr>
          <w:rFonts w:ascii="Palatino Linotype" w:hAnsi="Palatino Linotype" w:cs="Arial"/>
        </w:rPr>
        <w:t>Ahora bien, la diferenci</w:t>
      </w:r>
      <w:r w:rsidR="00BD3B1B">
        <w:rPr>
          <w:rFonts w:ascii="Palatino Linotype" w:hAnsi="Palatino Linotype" w:cs="Arial"/>
        </w:rPr>
        <w:t xml:space="preserve">a que menciona el recurrente consiste en el resultado de </w:t>
      </w:r>
      <w:r>
        <w:rPr>
          <w:rFonts w:ascii="Palatino Linotype" w:hAnsi="Palatino Linotype"/>
        </w:rPr>
        <w:t xml:space="preserve">la suma de las dos obras mencionadas en el párrafo </w:t>
      </w:r>
      <w:r w:rsidR="00BD3B1B">
        <w:rPr>
          <w:rFonts w:ascii="Palatino Linotype" w:hAnsi="Palatino Linotype"/>
        </w:rPr>
        <w:t xml:space="preserve">anterior, con la resta del total solicitado por el particular consistente en los </w:t>
      </w:r>
      <w:r w:rsidR="00BD3B1B" w:rsidRPr="00A039A7">
        <w:rPr>
          <w:rFonts w:ascii="Palatino Linotype" w:hAnsi="Palatino Linotype"/>
        </w:rPr>
        <w:t>$23, 740,111.00</w:t>
      </w:r>
      <w:r w:rsidR="00BD3B1B">
        <w:rPr>
          <w:rFonts w:ascii="Palatino Linotype" w:hAnsi="Palatino Linotype"/>
        </w:rPr>
        <w:t>, lo que fue abordado por la ponencia resolutora debidamente fundado y motivado, ordenando el documento que por ley corresponde.</w:t>
      </w:r>
    </w:p>
    <w:p w:rsidR="00BD3B1B" w:rsidRDefault="00BD3B1B" w:rsidP="002811AC">
      <w:pPr>
        <w:spacing w:after="0" w:line="360" w:lineRule="auto"/>
        <w:jc w:val="both"/>
        <w:rPr>
          <w:rFonts w:ascii="Palatino Linotype" w:hAnsi="Palatino Linotype"/>
        </w:rPr>
      </w:pPr>
    </w:p>
    <w:p w:rsidR="00BD3B1B" w:rsidRDefault="00BD3B1B" w:rsidP="00BD3B1B">
      <w:pPr>
        <w:spacing w:line="360" w:lineRule="auto"/>
        <w:ind w:right="49"/>
        <w:jc w:val="both"/>
        <w:rPr>
          <w:rFonts w:ascii="Palatino Linotype" w:hAnsi="Palatino Linotype"/>
          <w:color w:val="222222"/>
          <w:shd w:val="clear" w:color="auto" w:fill="FFFFFF"/>
        </w:rPr>
      </w:pPr>
      <w:r>
        <w:rPr>
          <w:rFonts w:ascii="Palatino Linotype" w:hAnsi="Palatino Linotype"/>
        </w:rPr>
        <w:t xml:space="preserve">No obstante, dicho motivo de inconformidad considero que es un plus petito; </w:t>
      </w:r>
      <w:r>
        <w:rPr>
          <w:rFonts w:ascii="Palatino Linotype" w:hAnsi="Palatino Linotype"/>
          <w:color w:val="222222"/>
          <w:shd w:val="clear" w:color="auto" w:fill="FFFFFF"/>
        </w:rPr>
        <w:t xml:space="preserve">es decir, establece una nueva solicitud de información realizada a través del recurso de revisión, ya que en su solicitud solo requirió una </w:t>
      </w:r>
      <w:r w:rsidRPr="00A039A7">
        <w:rPr>
          <w:rFonts w:ascii="Palatino Linotype" w:hAnsi="Palatino Linotype"/>
        </w:rPr>
        <w:t xml:space="preserve">lista con el nombre de cada una de las obras hidráulicas </w:t>
      </w:r>
      <w:r w:rsidRPr="00A039A7">
        <w:rPr>
          <w:rFonts w:ascii="Palatino Linotype" w:hAnsi="Palatino Linotype"/>
        </w:rPr>
        <w:lastRenderedPageBreak/>
        <w:t>en las que fueron utilizados los $23, 740,111.00 provenientes del Programa de Devolución de D</w:t>
      </w:r>
      <w:r>
        <w:rPr>
          <w:rFonts w:ascii="Palatino Linotype" w:hAnsi="Palatino Linotype"/>
        </w:rPr>
        <w:t>erechos (PRODDER) de la CONAGUA.</w:t>
      </w:r>
    </w:p>
    <w:p w:rsidR="00BD3B1B" w:rsidRDefault="00BD3B1B" w:rsidP="00BD3B1B">
      <w:pPr>
        <w:shd w:val="clear" w:color="auto" w:fill="FFFFFF"/>
        <w:spacing w:line="360" w:lineRule="auto"/>
        <w:jc w:val="both"/>
        <w:rPr>
          <w:rFonts w:ascii="Palatino Linotype" w:hAnsi="Palatino Linotype"/>
          <w:color w:val="000000"/>
        </w:rPr>
      </w:pPr>
      <w:r>
        <w:rPr>
          <w:rFonts w:ascii="Palatino Linotype" w:hAnsi="Palatino Linotype"/>
          <w:color w:val="222222"/>
        </w:rPr>
        <w:t>Por lo anterior</w:t>
      </w:r>
      <w:r>
        <w:rPr>
          <w:rFonts w:ascii="Palatino Linotype" w:hAnsi="Palatino Linotype"/>
          <w:color w:val="000000"/>
        </w:rPr>
        <w:t>, resulta claro que el recurrente pretende ampliar los alcances de la solicitud de información. Por lo que en términos del artículo 36, fracción II de la Ley de la Materia, este Instituto no está facultado para resolver con respecto a ampliaciones a solicitudes de información presentadas por medios distintos a los que señala el artículo 155 de la Ley de la materia, ya que el recurso de revisión no constituye un medio válido para solicitar información adicional.</w:t>
      </w:r>
    </w:p>
    <w:p w:rsidR="00BD3B1B" w:rsidRDefault="00BD3B1B" w:rsidP="00BD3B1B">
      <w:pPr>
        <w:spacing w:before="240" w:after="240" w:line="360" w:lineRule="auto"/>
        <w:ind w:right="49"/>
        <w:jc w:val="both"/>
        <w:rPr>
          <w:rFonts w:ascii="Palatino Linotype" w:hAnsi="Palatino Linotype"/>
          <w:color w:val="222222"/>
          <w:shd w:val="clear" w:color="auto" w:fill="FFFFFF"/>
          <w:lang w:val="es-ES_tradnl"/>
        </w:rPr>
      </w:pPr>
      <w:r>
        <w:rPr>
          <w:rFonts w:ascii="Palatino Linotype" w:hAnsi="Palatino Linotype"/>
          <w:color w:val="222222"/>
          <w:shd w:val="clear" w:color="auto" w:fill="FFFFFF"/>
          <w:lang w:val="es-ES_tradnl"/>
        </w:rPr>
        <w:t>Sirve de apoyo el “Criterio de interpretación en el orden administrativo número 0027-10” emitido por el Instituto Federal de Acceso a la Información y Protección de datos, actualmente INAI, que a la letra dice:</w:t>
      </w:r>
    </w:p>
    <w:p w:rsidR="00BD3B1B" w:rsidRDefault="00BD3B1B" w:rsidP="00BD3B1B">
      <w:pPr>
        <w:shd w:val="clear" w:color="auto" w:fill="FFFFFF"/>
        <w:spacing w:before="240" w:after="240" w:line="288" w:lineRule="atLeast"/>
        <w:ind w:left="851" w:right="850"/>
        <w:jc w:val="both"/>
        <w:rPr>
          <w:rFonts w:ascii="Palatino Linotype" w:hAnsi="Palatino Linotype"/>
          <w:b/>
          <w:bCs/>
          <w:i/>
          <w:iCs/>
          <w:color w:val="000000"/>
        </w:rPr>
      </w:pPr>
      <w:r>
        <w:rPr>
          <w:rFonts w:ascii="Palatino Linotype" w:hAnsi="Palatino Linotype"/>
          <w:b/>
          <w:bCs/>
          <w:i/>
          <w:iCs/>
          <w:color w:val="000000"/>
        </w:rPr>
        <w:t>“0027-10:</w:t>
      </w:r>
    </w:p>
    <w:p w:rsidR="00BD3B1B" w:rsidRDefault="00BD3B1B" w:rsidP="00BD3B1B">
      <w:pPr>
        <w:shd w:val="clear" w:color="auto" w:fill="FFFFFF"/>
        <w:spacing w:before="240" w:after="240" w:line="288" w:lineRule="atLeast"/>
        <w:ind w:left="851" w:right="850"/>
        <w:jc w:val="both"/>
        <w:rPr>
          <w:color w:val="222222"/>
        </w:rPr>
      </w:pPr>
      <w:r>
        <w:rPr>
          <w:rFonts w:ascii="Palatino Linotype" w:hAnsi="Palatino Linotype"/>
          <w:b/>
          <w:bCs/>
          <w:i/>
          <w:iCs/>
          <w:color w:val="000000"/>
        </w:rPr>
        <w:t>Es improcedente ampliar las solicitudes de acceso a información pública o datos personales, a través de la interposición del recurso de revisión.</w:t>
      </w:r>
      <w:r>
        <w:rPr>
          <w:rFonts w:ascii="Palatino Linotype" w:hAnsi="Palatino Linotype"/>
          <w:i/>
          <w:iCs/>
          <w:color w:val="000000"/>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BD3B1B" w:rsidRDefault="00BD3B1B" w:rsidP="00BD3B1B">
      <w:pPr>
        <w:shd w:val="clear" w:color="auto" w:fill="FFFFFF"/>
        <w:spacing w:before="240" w:after="240" w:line="288" w:lineRule="atLeast"/>
        <w:ind w:left="851" w:right="850"/>
        <w:jc w:val="both"/>
        <w:rPr>
          <w:rFonts w:ascii="Palatino Linotype" w:hAnsi="Palatino Linotype"/>
          <w:b/>
          <w:bCs/>
          <w:i/>
          <w:iCs/>
          <w:color w:val="000000"/>
        </w:rPr>
      </w:pPr>
      <w:r>
        <w:rPr>
          <w:rFonts w:ascii="Palatino Linotype" w:hAnsi="Palatino Linotype"/>
          <w:i/>
          <w:iCs/>
          <w:color w:val="000000"/>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Pr>
          <w:rFonts w:ascii="Palatino Linotype" w:hAnsi="Palatino Linotype"/>
          <w:bCs/>
          <w:i/>
          <w:iCs/>
          <w:color w:val="000000"/>
        </w:rPr>
        <w:t>” (Sic)</w:t>
      </w:r>
    </w:p>
    <w:p w:rsidR="004F7A15" w:rsidRPr="004C0AE3" w:rsidRDefault="00BD3B1B" w:rsidP="004F7A15">
      <w:pPr>
        <w:autoSpaceDE w:val="0"/>
        <w:autoSpaceDN w:val="0"/>
        <w:adjustRightInd w:val="0"/>
        <w:spacing w:before="240" w:after="240" w:line="360" w:lineRule="auto"/>
        <w:jc w:val="both"/>
        <w:rPr>
          <w:rFonts w:ascii="Palatino Linotype" w:eastAsia="Calibri" w:hAnsi="Palatino Linotype"/>
        </w:rPr>
      </w:pPr>
      <w:r>
        <w:rPr>
          <w:rFonts w:ascii="Palatino Linotype" w:hAnsi="Palatino Linotype"/>
        </w:rPr>
        <w:lastRenderedPageBreak/>
        <w:t>De ahí que, el sentido del presente recurso de revisión considero que es un sobreseimiento, en razón de que el Sujeto Obligado en informe justificado, modifico el error que incurrió en su respuesta al referir que las obras que se mencionan en la respuesta n</w:t>
      </w:r>
      <w:r w:rsidR="004F7A15">
        <w:rPr>
          <w:rFonts w:ascii="Palatino Linotype" w:hAnsi="Palatino Linotype"/>
        </w:rPr>
        <w:t>o son del año dos mil veintiuno sino del año dos mil veinte, actualizándose con ello la</w:t>
      </w:r>
      <w:r w:rsidR="004F7A15" w:rsidRPr="004C0AE3">
        <w:rPr>
          <w:rFonts w:ascii="Palatino Linotype" w:eastAsia="Calibri" w:hAnsi="Palatino Linotype"/>
        </w:rPr>
        <w:t xml:space="preserve"> causal de sobreseimiento prevista en la fracción III del artículo 192 de la </w:t>
      </w:r>
      <w:r w:rsidR="004F7A15" w:rsidRPr="004C0AE3">
        <w:rPr>
          <w:rFonts w:ascii="Palatino Linotype" w:eastAsia="Calibri" w:hAnsi="Palatino Linotype" w:cs="Arial"/>
        </w:rPr>
        <w:t>Ley de Transparencia y Acceso a la Información Pública del Estado de México y Municipios</w:t>
      </w:r>
      <w:r w:rsidR="004F7A15" w:rsidRPr="004C0AE3">
        <w:rPr>
          <w:rFonts w:ascii="Palatino Linotype" w:eastAsia="Calibri" w:hAnsi="Palatino Linotype"/>
        </w:rPr>
        <w:t>, que dispone lo siguiente:</w:t>
      </w:r>
    </w:p>
    <w:p w:rsidR="004F7A15" w:rsidRDefault="004F7A15" w:rsidP="004F7A15">
      <w:pPr>
        <w:autoSpaceDE w:val="0"/>
        <w:autoSpaceDN w:val="0"/>
        <w:adjustRightInd w:val="0"/>
        <w:spacing w:before="240" w:after="240"/>
        <w:ind w:left="992" w:right="1043"/>
        <w:contextualSpacing/>
        <w:jc w:val="both"/>
        <w:rPr>
          <w:rFonts w:ascii="Palatino Linotype" w:hAnsi="Palatino Linotype" w:cs="Bookman Old Style"/>
          <w:i/>
        </w:rPr>
      </w:pPr>
      <w:r w:rsidRPr="00B33B44">
        <w:rPr>
          <w:rFonts w:ascii="Palatino Linotype" w:hAnsi="Palatino Linotype" w:cs="Bookman Old Style"/>
          <w:b/>
          <w:bCs/>
          <w:i/>
        </w:rPr>
        <w:t xml:space="preserve">“Artículo 192. </w:t>
      </w:r>
      <w:r w:rsidRPr="00B33B44">
        <w:rPr>
          <w:rFonts w:ascii="Palatino Linotype" w:hAnsi="Palatino Linotype" w:cs="Bookman Old Style"/>
          <w:i/>
        </w:rPr>
        <w:t>El recurso será sobreseído en todo o en parte cuando una vez admitido, se actualicen alguno de los siguientes supuestos:</w:t>
      </w:r>
    </w:p>
    <w:p w:rsidR="004F7A15" w:rsidRPr="00B33B44" w:rsidRDefault="004F7A15" w:rsidP="004F7A15">
      <w:pPr>
        <w:autoSpaceDE w:val="0"/>
        <w:autoSpaceDN w:val="0"/>
        <w:adjustRightInd w:val="0"/>
        <w:spacing w:before="240" w:after="240"/>
        <w:ind w:left="992" w:right="1043"/>
        <w:contextualSpacing/>
        <w:jc w:val="both"/>
        <w:rPr>
          <w:rFonts w:ascii="Palatino Linotype" w:hAnsi="Palatino Linotype" w:cs="Bookman Old Style"/>
          <w:i/>
        </w:rPr>
      </w:pPr>
      <w:r>
        <w:rPr>
          <w:rFonts w:ascii="Palatino Linotype" w:hAnsi="Palatino Linotype" w:cs="Bookman Old Style"/>
          <w:b/>
          <w:bCs/>
          <w:i/>
        </w:rPr>
        <w:t>…</w:t>
      </w:r>
    </w:p>
    <w:p w:rsidR="004F7A15" w:rsidRPr="00B33B44" w:rsidRDefault="004F7A15" w:rsidP="004F7A15">
      <w:pPr>
        <w:autoSpaceDE w:val="0"/>
        <w:autoSpaceDN w:val="0"/>
        <w:adjustRightInd w:val="0"/>
        <w:spacing w:before="240" w:after="240"/>
        <w:ind w:left="992" w:right="1043"/>
        <w:contextualSpacing/>
        <w:jc w:val="both"/>
        <w:rPr>
          <w:rFonts w:ascii="Palatino Linotype" w:hAnsi="Palatino Linotype" w:cs="Bookman Old Style"/>
          <w:b/>
          <w:i/>
        </w:rPr>
      </w:pPr>
      <w:r w:rsidRPr="00D912A5">
        <w:rPr>
          <w:rFonts w:ascii="Palatino Linotype" w:hAnsi="Palatino Linotype" w:cs="Bookman Old Style"/>
          <w:b/>
          <w:bCs/>
          <w:i/>
        </w:rPr>
        <w:t>III.</w:t>
      </w:r>
      <w:r w:rsidRPr="00D912A5">
        <w:rPr>
          <w:rFonts w:ascii="Palatino Linotype" w:hAnsi="Palatino Linotype" w:cs="Bookman Old Style"/>
          <w:b/>
          <w:i/>
        </w:rPr>
        <w:t xml:space="preserve"> El sujeto obligado responsable del acto lo modifique o revoque de tal manera que el recurso de revisión quede sin materia</w:t>
      </w:r>
      <w:r>
        <w:rPr>
          <w:rFonts w:ascii="Palatino Linotype" w:hAnsi="Palatino Linotype" w:cs="Bookman Old Style"/>
          <w:b/>
          <w:i/>
        </w:rPr>
        <w:t>…</w:t>
      </w:r>
      <w:r w:rsidRPr="00B33B44">
        <w:rPr>
          <w:rFonts w:ascii="Palatino Linotype" w:hAnsi="Palatino Linotype" w:cs="Bookman Old Style"/>
          <w:b/>
          <w:i/>
        </w:rPr>
        <w:t>”. (Sic)</w:t>
      </w:r>
    </w:p>
    <w:p w:rsidR="002811AC" w:rsidRDefault="002811AC" w:rsidP="004F7A15">
      <w:pPr>
        <w:spacing w:after="0" w:line="360" w:lineRule="auto"/>
        <w:jc w:val="both"/>
        <w:rPr>
          <w:rFonts w:ascii="Palatino Linotype" w:hAnsi="Palatino Linotype"/>
        </w:rPr>
      </w:pPr>
      <w:r>
        <w:rPr>
          <w:rFonts w:ascii="Palatino Linotype" w:hAnsi="Palatino Linotype"/>
        </w:rPr>
        <w:t xml:space="preserve"> </w:t>
      </w:r>
    </w:p>
    <w:p w:rsidR="004102EB" w:rsidRDefault="0036116F" w:rsidP="004F7A15">
      <w:pPr>
        <w:spacing w:before="240" w:after="0" w:line="360" w:lineRule="auto"/>
        <w:jc w:val="both"/>
        <w:rPr>
          <w:rFonts w:ascii="Palatino Linotype" w:hAnsi="Palatino Linotype" w:cs="Arial"/>
        </w:rPr>
      </w:pPr>
      <w:r w:rsidRPr="008D60B1">
        <w:rPr>
          <w:rFonts w:ascii="Palatino Linotype" w:hAnsi="Palatino Linotype" w:cs="Arial"/>
        </w:rPr>
        <w:t xml:space="preserve">Por todo lo expuesto es que formulo el presente voto particular, en los términos precisados, </w:t>
      </w:r>
      <w:r w:rsidR="00941B56" w:rsidRPr="008D60B1">
        <w:rPr>
          <w:rFonts w:ascii="Palatino Linotype" w:hAnsi="Palatino Linotype" w:cs="Arial"/>
        </w:rPr>
        <w:t xml:space="preserve">concluyendo </w:t>
      </w:r>
      <w:r w:rsidRPr="008D60B1">
        <w:rPr>
          <w:rFonts w:ascii="Palatino Linotype" w:hAnsi="Palatino Linotype" w:cs="Arial"/>
        </w:rPr>
        <w:t xml:space="preserve">que las consideraciones aquí expuestas hubieran resultado importantes para </w:t>
      </w:r>
      <w:r w:rsidR="004F7A15">
        <w:rPr>
          <w:rFonts w:ascii="Palatino Linotype" w:hAnsi="Palatino Linotype" w:cs="Arial"/>
        </w:rPr>
        <w:t>el sentido de la resolución.</w:t>
      </w:r>
    </w:p>
    <w:p w:rsidR="00901D78" w:rsidRDefault="0071046D" w:rsidP="004F7A15">
      <w:pPr>
        <w:spacing w:before="240" w:after="0"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154856</wp:posOffset>
                </wp:positionH>
                <wp:positionV relativeFrom="paragraph">
                  <wp:posOffset>109800</wp:posOffset>
                </wp:positionV>
                <wp:extent cx="5478449" cy="2854518"/>
                <wp:effectExtent l="0" t="0" r="27305" b="22225"/>
                <wp:wrapNone/>
                <wp:docPr id="3" name="Conector recto 3"/>
                <wp:cNvGraphicFramePr/>
                <a:graphic xmlns:a="http://schemas.openxmlformats.org/drawingml/2006/main">
                  <a:graphicData uri="http://schemas.microsoft.com/office/word/2010/wordprocessingShape">
                    <wps:wsp>
                      <wps:cNvCnPr/>
                      <wps:spPr>
                        <a:xfrm>
                          <a:off x="0" y="0"/>
                          <a:ext cx="5478449" cy="28545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8A1DDC"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2pt,8.65pt" to="443.55pt,2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" strokecolor="black [3200]" strokeweight=".5pt">
                <v:stroke joinstyle="miter"/>
              </v:line>
            </w:pict>
          </mc:Fallback>
        </mc:AlternateContent>
      </w:r>
    </w:p>
    <w:p w:rsidR="00901D78" w:rsidRDefault="00901D78" w:rsidP="004F7A15">
      <w:pPr>
        <w:spacing w:before="240" w:after="0" w:line="360" w:lineRule="auto"/>
        <w:jc w:val="both"/>
        <w:rPr>
          <w:rFonts w:ascii="Palatino Linotype" w:hAnsi="Palatino Linotype" w:cs="Arial"/>
        </w:rPr>
      </w:pPr>
    </w:p>
    <w:p w:rsidR="00901D78" w:rsidRDefault="00901D78" w:rsidP="004F7A15">
      <w:pPr>
        <w:spacing w:before="240" w:after="0" w:line="360" w:lineRule="auto"/>
        <w:jc w:val="both"/>
        <w:rPr>
          <w:rFonts w:ascii="Palatino Linotype" w:hAnsi="Palatino Linotype" w:cs="Arial"/>
        </w:rPr>
        <w:sectPr w:rsidR="00901D78"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pPr>
    </w:p>
    <w:p w:rsidR="00901D78" w:rsidRDefault="00901D78" w:rsidP="004F7A15">
      <w:pPr>
        <w:spacing w:before="240" w:after="0" w:line="360" w:lineRule="auto"/>
        <w:jc w:val="both"/>
        <w:rPr>
          <w:rFonts w:ascii="Palatino Linotype" w:hAnsi="Palatino Linotype" w:cs="Arial"/>
        </w:rPr>
      </w:pPr>
      <w:bookmarkStart w:id="0" w:name="_GoBack"/>
      <w:bookmarkEnd w:id="0"/>
    </w:p>
    <w:p w:rsidR="00901D78" w:rsidRDefault="00901D78" w:rsidP="004F7A15">
      <w:pPr>
        <w:spacing w:before="240" w:after="0" w:line="360" w:lineRule="auto"/>
        <w:jc w:val="both"/>
        <w:rPr>
          <w:rFonts w:ascii="Palatino Linotype" w:hAnsi="Palatino Linotype" w:cs="Arial"/>
        </w:rPr>
      </w:pPr>
    </w:p>
    <w:p w:rsidR="00901D78" w:rsidRDefault="00901D78" w:rsidP="004F7A15">
      <w:pPr>
        <w:spacing w:before="240" w:after="0" w:line="360" w:lineRule="auto"/>
        <w:jc w:val="both"/>
        <w:rPr>
          <w:rFonts w:ascii="Palatino Linotype" w:hAnsi="Palatino Linotype" w:cs="Arial"/>
        </w:rPr>
      </w:pPr>
    </w:p>
    <w:p w:rsidR="00901D78" w:rsidRDefault="00901D78" w:rsidP="004F7A15">
      <w:pPr>
        <w:spacing w:before="240" w:after="0" w:line="360" w:lineRule="auto"/>
        <w:jc w:val="both"/>
        <w:rPr>
          <w:rFonts w:ascii="Palatino Linotype" w:hAnsi="Palatino Linotype" w:cs="Arial"/>
        </w:rPr>
      </w:pPr>
    </w:p>
    <w:p w:rsidR="00901D78" w:rsidRPr="004F7A15" w:rsidRDefault="00901D78" w:rsidP="004F7A15">
      <w:pPr>
        <w:spacing w:before="240" w:after="0" w:line="360" w:lineRule="auto"/>
        <w:jc w:val="both"/>
        <w:rPr>
          <w:rFonts w:ascii="Palatino Linotype" w:hAnsi="Palatino Linotype" w:cs="Arial"/>
        </w:rPr>
      </w:pPr>
    </w:p>
    <w:sectPr w:rsidR="00901D78" w:rsidRPr="004F7A15" w:rsidSect="00115CE3">
      <w:head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121" w:rsidRDefault="00DB4121" w:rsidP="00F74468">
      <w:pPr>
        <w:spacing w:after="0" w:line="240" w:lineRule="auto"/>
      </w:pPr>
      <w:r>
        <w:separator/>
      </w:r>
    </w:p>
  </w:endnote>
  <w:endnote w:type="continuationSeparator" w:id="0">
    <w:p w:rsidR="00DB4121" w:rsidRDefault="00DB4121" w:rsidP="00F7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4A53F2"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40211">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40211">
      <w:rPr>
        <w:rFonts w:ascii="Arial" w:hAnsi="Arial" w:cs="Arial"/>
        <w:b/>
        <w:bCs/>
        <w:noProof/>
        <w:sz w:val="20"/>
        <w:szCs w:val="20"/>
      </w:rPr>
      <w:t>7</w:t>
    </w:r>
    <w:r w:rsidRPr="00986599">
      <w:rPr>
        <w:rFonts w:ascii="Arial" w:hAnsi="Arial" w:cs="Arial"/>
        <w:b/>
        <w:bCs/>
        <w:sz w:val="20"/>
        <w:szCs w:val="20"/>
      </w:rPr>
      <w:fldChar w:fldCharType="end"/>
    </w:r>
  </w:p>
  <w:p w:rsidR="00D758BE" w:rsidRDefault="00940211"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121" w:rsidRDefault="00DB4121" w:rsidP="00F74468">
      <w:pPr>
        <w:spacing w:after="0" w:line="240" w:lineRule="auto"/>
      </w:pPr>
      <w:r>
        <w:separator/>
      </w:r>
    </w:p>
  </w:footnote>
  <w:footnote w:type="continuationSeparator" w:id="0">
    <w:p w:rsidR="00DB4121" w:rsidRDefault="00DB4121" w:rsidP="00F74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4A53F2">
    <w:pPr>
      <w:pStyle w:val="Encabezado"/>
    </w:pPr>
    <w:r>
      <w:rPr>
        <w:noProof/>
        <w:lang w:val="es-MX" w:eastAsia="es-MX"/>
      </w:rPr>
      <mc:AlternateContent>
        <mc:Choice Requires="wps">
          <w:drawing>
            <wp:anchor distT="0" distB="0" distL="114300" distR="114300" simplePos="0" relativeHeight="251659264" behindDoc="1" locked="0" layoutInCell="0" allowOverlap="1" wp14:anchorId="5C1395AF" wp14:editId="7662328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4A53F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1395A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4A53F2"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4A53F2"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039BB6A" wp14:editId="31D79EE9">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940211" w:rsidP="007263BB">
    <w:pPr>
      <w:pStyle w:val="Encabezado"/>
      <w:jc w:val="right"/>
      <w:rPr>
        <w:rFonts w:ascii="Arial" w:hAnsi="Arial" w:cs="Arial"/>
        <w:sz w:val="20"/>
        <w:szCs w:val="20"/>
      </w:rPr>
    </w:pPr>
  </w:p>
  <w:p w:rsidR="00D758BE" w:rsidRDefault="00940211" w:rsidP="007263BB">
    <w:pPr>
      <w:pStyle w:val="Encabezado"/>
      <w:jc w:val="right"/>
      <w:rPr>
        <w:rFonts w:ascii="Arial" w:hAnsi="Arial" w:cs="Arial"/>
        <w:sz w:val="20"/>
        <w:szCs w:val="20"/>
      </w:rPr>
    </w:pPr>
  </w:p>
  <w:p w:rsidR="00706042" w:rsidRPr="00563D0F" w:rsidRDefault="004A53F2"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4A53F2"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00BA1D6F">
      <w:rPr>
        <w:rFonts w:ascii="Palatino Linotype" w:hAnsi="Palatino Linotype" w:cs="Arial"/>
        <w:b/>
        <w:sz w:val="20"/>
        <w:szCs w:val="20"/>
      </w:rPr>
      <w:t xml:space="preserve">REVISIÓN: </w:t>
    </w:r>
    <w:r w:rsidR="004043CD" w:rsidRPr="004043CD">
      <w:rPr>
        <w:rFonts w:ascii="Palatino Linotype" w:hAnsi="Palatino Linotype" w:cs="Arial"/>
        <w:b/>
        <w:sz w:val="20"/>
        <w:szCs w:val="20"/>
      </w:rPr>
      <w:t>0</w:t>
    </w:r>
    <w:r w:rsidR="00A039A7">
      <w:rPr>
        <w:rFonts w:ascii="Palatino Linotype" w:hAnsi="Palatino Linotype" w:cs="Arial"/>
        <w:b/>
        <w:sz w:val="20"/>
        <w:szCs w:val="20"/>
      </w:rPr>
      <w:t>3692/INFOEM/IP/RR/2021</w:t>
    </w:r>
  </w:p>
  <w:p w:rsidR="00D758BE" w:rsidRDefault="00940211" w:rsidP="007263BB">
    <w:pPr>
      <w:pStyle w:val="Encabezado"/>
      <w:jc w:val="right"/>
      <w:rPr>
        <w:rFonts w:ascii="Palatino Linotype" w:hAnsi="Palatino Linotype" w:cs="Arial"/>
        <w:sz w:val="20"/>
        <w:szCs w:val="20"/>
      </w:rPr>
    </w:pPr>
  </w:p>
  <w:p w:rsidR="00233AB2" w:rsidRDefault="00940211"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78" w:rsidRDefault="00901D78" w:rsidP="007263BB">
    <w:pPr>
      <w:pStyle w:val="Encabezado"/>
      <w:jc w:val="right"/>
      <w:rPr>
        <w:rFonts w:ascii="Arial" w:hAnsi="Arial" w:cs="Arial"/>
        <w:sz w:val="20"/>
        <w:szCs w:val="20"/>
      </w:rPr>
    </w:pPr>
  </w:p>
  <w:p w:rsidR="00901D78" w:rsidRDefault="00901D78" w:rsidP="007263BB">
    <w:pPr>
      <w:pStyle w:val="Encabezado"/>
      <w:jc w:val="right"/>
      <w:rPr>
        <w:rFonts w:ascii="Arial" w:hAnsi="Arial" w:cs="Arial"/>
        <w:sz w:val="20"/>
        <w:szCs w:val="20"/>
      </w:rPr>
    </w:pPr>
  </w:p>
  <w:p w:rsidR="00901D78" w:rsidRDefault="00901D78" w:rsidP="007263BB">
    <w:pPr>
      <w:pStyle w:val="Encabezado"/>
      <w:jc w:val="right"/>
      <w:rPr>
        <w:rFonts w:ascii="Arial" w:hAnsi="Arial" w:cs="Arial"/>
        <w:sz w:val="20"/>
        <w:szCs w:val="20"/>
      </w:rPr>
    </w:pPr>
  </w:p>
  <w:p w:rsidR="00901D78" w:rsidRDefault="00901D78" w:rsidP="007263BB">
    <w:pPr>
      <w:pStyle w:val="Encabezado"/>
      <w:jc w:val="right"/>
      <w:rPr>
        <w:rFonts w:ascii="Palatino Linotype" w:hAnsi="Palatino Linotype" w:cs="Arial"/>
        <w:sz w:val="20"/>
        <w:szCs w:val="20"/>
      </w:rPr>
    </w:pPr>
  </w:p>
  <w:p w:rsidR="00901D78" w:rsidRDefault="00901D78"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2"/>
      <w:numFmt w:val="lowerLetter"/>
      <w:lvlText w:val="%1)"/>
      <w:lvlJc w:val="left"/>
      <w:pPr>
        <w:ind w:left="943" w:hanging="239"/>
      </w:pPr>
      <w:rPr>
        <w:rFonts w:ascii="Times New Roman" w:hAnsi="Times New Roman" w:cs="Times New Roman"/>
        <w:b w:val="0"/>
        <w:bCs w:val="0"/>
        <w:i/>
        <w:iCs/>
        <w:spacing w:val="2"/>
        <w:w w:val="89"/>
        <w:sz w:val="22"/>
        <w:szCs w:val="22"/>
      </w:rPr>
    </w:lvl>
    <w:lvl w:ilvl="1">
      <w:numFmt w:val="bullet"/>
      <w:lvlText w:val="•"/>
      <w:lvlJc w:val="left"/>
      <w:pPr>
        <w:ind w:left="1726" w:hanging="239"/>
      </w:pPr>
    </w:lvl>
    <w:lvl w:ilvl="2">
      <w:numFmt w:val="bullet"/>
      <w:lvlText w:val="•"/>
      <w:lvlJc w:val="left"/>
      <w:pPr>
        <w:ind w:left="2512" w:hanging="239"/>
      </w:pPr>
    </w:lvl>
    <w:lvl w:ilvl="3">
      <w:numFmt w:val="bullet"/>
      <w:lvlText w:val="•"/>
      <w:lvlJc w:val="left"/>
      <w:pPr>
        <w:ind w:left="3298" w:hanging="239"/>
      </w:pPr>
    </w:lvl>
    <w:lvl w:ilvl="4">
      <w:numFmt w:val="bullet"/>
      <w:lvlText w:val="•"/>
      <w:lvlJc w:val="left"/>
      <w:pPr>
        <w:ind w:left="4084" w:hanging="239"/>
      </w:pPr>
    </w:lvl>
    <w:lvl w:ilvl="5">
      <w:numFmt w:val="bullet"/>
      <w:lvlText w:val="•"/>
      <w:lvlJc w:val="left"/>
      <w:pPr>
        <w:ind w:left="4870" w:hanging="239"/>
      </w:pPr>
    </w:lvl>
    <w:lvl w:ilvl="6">
      <w:numFmt w:val="bullet"/>
      <w:lvlText w:val="•"/>
      <w:lvlJc w:val="left"/>
      <w:pPr>
        <w:ind w:left="5656" w:hanging="239"/>
      </w:pPr>
    </w:lvl>
    <w:lvl w:ilvl="7">
      <w:numFmt w:val="bullet"/>
      <w:lvlText w:val="•"/>
      <w:lvlJc w:val="left"/>
      <w:pPr>
        <w:ind w:left="6442" w:hanging="239"/>
      </w:pPr>
    </w:lvl>
    <w:lvl w:ilvl="8">
      <w:numFmt w:val="bullet"/>
      <w:lvlText w:val="•"/>
      <w:lvlJc w:val="left"/>
      <w:pPr>
        <w:ind w:left="7228" w:hanging="239"/>
      </w:pPr>
    </w:lvl>
  </w:abstractNum>
  <w:abstractNum w:abstractNumId="1" w15:restartNumberingAfterBreak="0">
    <w:nsid w:val="1B6B1191"/>
    <w:multiLevelType w:val="hybridMultilevel"/>
    <w:tmpl w:val="1AA0C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A54C67"/>
    <w:multiLevelType w:val="hybridMultilevel"/>
    <w:tmpl w:val="824AD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A64C4D"/>
    <w:multiLevelType w:val="hybridMultilevel"/>
    <w:tmpl w:val="6C961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2B304A"/>
    <w:multiLevelType w:val="hybridMultilevel"/>
    <w:tmpl w:val="1AA0C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68"/>
    <w:rsid w:val="000A6F90"/>
    <w:rsid w:val="000F7EB3"/>
    <w:rsid w:val="00117EDA"/>
    <w:rsid w:val="00170CDF"/>
    <w:rsid w:val="00181628"/>
    <w:rsid w:val="002811AC"/>
    <w:rsid w:val="00284ABE"/>
    <w:rsid w:val="002B71FD"/>
    <w:rsid w:val="002C0587"/>
    <w:rsid w:val="002C6576"/>
    <w:rsid w:val="0036116F"/>
    <w:rsid w:val="003F61A7"/>
    <w:rsid w:val="004043CD"/>
    <w:rsid w:val="00466937"/>
    <w:rsid w:val="004A53F2"/>
    <w:rsid w:val="004F7A15"/>
    <w:rsid w:val="00504068"/>
    <w:rsid w:val="005A0D29"/>
    <w:rsid w:val="005A1AE6"/>
    <w:rsid w:val="005D7FA9"/>
    <w:rsid w:val="005F703C"/>
    <w:rsid w:val="0071046D"/>
    <w:rsid w:val="00780754"/>
    <w:rsid w:val="00783812"/>
    <w:rsid w:val="007A31EC"/>
    <w:rsid w:val="00803480"/>
    <w:rsid w:val="00810F32"/>
    <w:rsid w:val="008D33A1"/>
    <w:rsid w:val="008D60B1"/>
    <w:rsid w:val="00901D78"/>
    <w:rsid w:val="00940211"/>
    <w:rsid w:val="00941B56"/>
    <w:rsid w:val="00963262"/>
    <w:rsid w:val="00A039A7"/>
    <w:rsid w:val="00A24685"/>
    <w:rsid w:val="00A429E3"/>
    <w:rsid w:val="00AE6F70"/>
    <w:rsid w:val="00B15AA9"/>
    <w:rsid w:val="00B87BB8"/>
    <w:rsid w:val="00BA1D6F"/>
    <w:rsid w:val="00BB3F54"/>
    <w:rsid w:val="00BD3B1B"/>
    <w:rsid w:val="00C230BA"/>
    <w:rsid w:val="00C36A74"/>
    <w:rsid w:val="00C5634F"/>
    <w:rsid w:val="00CD4BA4"/>
    <w:rsid w:val="00CF47A7"/>
    <w:rsid w:val="00D22E21"/>
    <w:rsid w:val="00D8061F"/>
    <w:rsid w:val="00DA7E1D"/>
    <w:rsid w:val="00DB4121"/>
    <w:rsid w:val="00E977B7"/>
    <w:rsid w:val="00F74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0C2509E-621A-47BD-9319-FC8DE3FC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46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44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446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446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446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7446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446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611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6116F"/>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36116F"/>
    <w:rPr>
      <w:vertAlign w:val="superscript"/>
    </w:rPr>
  </w:style>
  <w:style w:type="paragraph" w:styleId="Textodeglobo">
    <w:name w:val="Balloon Text"/>
    <w:basedOn w:val="Normal"/>
    <w:link w:val="TextodegloboCar"/>
    <w:uiPriority w:val="99"/>
    <w:semiHidden/>
    <w:unhideWhenUsed/>
    <w:rsid w:val="005D7F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FA9"/>
    <w:rPr>
      <w:rFonts w:ascii="Segoe UI" w:hAnsi="Segoe UI" w:cs="Segoe UI"/>
      <w:sz w:val="18"/>
      <w:szCs w:val="18"/>
    </w:rPr>
  </w:style>
  <w:style w:type="paragraph" w:styleId="Textoindependiente">
    <w:name w:val="Body Text"/>
    <w:basedOn w:val="Normal"/>
    <w:link w:val="TextoindependienteCar"/>
    <w:uiPriority w:val="1"/>
    <w:qFormat/>
    <w:rsid w:val="00170CDF"/>
    <w:pPr>
      <w:autoSpaceDE w:val="0"/>
      <w:autoSpaceDN w:val="0"/>
      <w:adjustRightInd w:val="0"/>
      <w:spacing w:before="47" w:after="0" w:line="240" w:lineRule="auto"/>
      <w:ind w:left="208"/>
    </w:pPr>
    <w:rPr>
      <w:rFonts w:ascii="Times New Roman" w:hAnsi="Times New Roman" w:cs="Times New Roman"/>
      <w:i/>
      <w:iCs/>
      <w:sz w:val="19"/>
      <w:szCs w:val="19"/>
    </w:rPr>
  </w:style>
  <w:style w:type="character" w:customStyle="1" w:styleId="TextoindependienteCar">
    <w:name w:val="Texto independiente Car"/>
    <w:basedOn w:val="Fuentedeprrafopredeter"/>
    <w:link w:val="Textoindependiente"/>
    <w:uiPriority w:val="1"/>
    <w:rsid w:val="00170CDF"/>
    <w:rPr>
      <w:rFonts w:ascii="Times New Roman" w:hAnsi="Times New Roman" w:cs="Times New Roman"/>
      <w:i/>
      <w:iCs/>
      <w:sz w:val="19"/>
      <w:szCs w:val="19"/>
    </w:rPr>
  </w:style>
  <w:style w:type="paragraph" w:styleId="Sinespaciado">
    <w:name w:val="No Spacing"/>
    <w:aliases w:val="Francesa"/>
    <w:link w:val="SinespaciadoCar"/>
    <w:uiPriority w:val="1"/>
    <w:qFormat/>
    <w:rsid w:val="002B71FD"/>
    <w:pPr>
      <w:spacing w:after="0" w:line="240" w:lineRule="auto"/>
    </w:pPr>
  </w:style>
  <w:style w:type="character" w:customStyle="1" w:styleId="SinespaciadoCar">
    <w:name w:val="Sin espaciado Car"/>
    <w:aliases w:val="Francesa Car"/>
    <w:link w:val="Sinespaciado"/>
    <w:uiPriority w:val="1"/>
    <w:locked/>
    <w:rsid w:val="002B7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1401</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7</cp:revision>
  <cp:lastPrinted>2021-09-06T19:28:00Z</cp:lastPrinted>
  <dcterms:created xsi:type="dcterms:W3CDTF">2021-09-03T18:39:00Z</dcterms:created>
  <dcterms:modified xsi:type="dcterms:W3CDTF">2021-09-06T19:36:00Z</dcterms:modified>
</cp:coreProperties>
</file>