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C8760" w14:textId="407DF026" w:rsidR="00494F48" w:rsidRDefault="00494F48" w:rsidP="00494F4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w:t>
      </w:r>
      <w:bookmarkStart w:id="0" w:name="_GoBack"/>
      <w:bookmarkEnd w:id="0"/>
      <w:r w:rsidRPr="00F320D7">
        <w:rPr>
          <w:rFonts w:ascii="Palatino Linotype" w:hAnsi="Palatino Linotype"/>
          <w:b/>
          <w:sz w:val="24"/>
          <w:szCs w:val="24"/>
        </w:rPr>
        <w:t>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CUADRAGÉSIMA SEGUNDA SESIÓN ORDINARIA DEL PLENO DE FECHA VEINTICUATRO DE NOVIEMBRE DE DOS MIL VEINTIUNO,</w:t>
      </w:r>
      <w:r w:rsidR="00C5405F">
        <w:rPr>
          <w:rFonts w:ascii="Palatino Linotype" w:hAnsi="Palatino Linotype"/>
          <w:b/>
          <w:sz w:val="24"/>
          <w:szCs w:val="24"/>
        </w:rPr>
        <w:t xml:space="preserve"> EN EL RECURSO DE REVISIÓN 04706</w:t>
      </w:r>
      <w:r>
        <w:rPr>
          <w:rFonts w:ascii="Palatino Linotype" w:hAnsi="Palatino Linotype"/>
          <w:b/>
          <w:sz w:val="24"/>
          <w:szCs w:val="24"/>
        </w:rPr>
        <w:t xml:space="preserve">/INFOEM/IP/RR/2021. </w:t>
      </w:r>
    </w:p>
    <w:p w14:paraId="30ED03DE" w14:textId="77777777" w:rsidR="00494F48" w:rsidRDefault="00494F48" w:rsidP="00494F48">
      <w:pPr>
        <w:spacing w:after="0" w:line="360" w:lineRule="auto"/>
        <w:jc w:val="both"/>
        <w:rPr>
          <w:rFonts w:ascii="Palatino Linotype" w:hAnsi="Palatino Linotype"/>
          <w:b/>
          <w:sz w:val="24"/>
          <w:szCs w:val="24"/>
        </w:rPr>
      </w:pPr>
    </w:p>
    <w:p w14:paraId="6627C399" w14:textId="77777777" w:rsidR="0071133A" w:rsidRPr="00F86EDD" w:rsidRDefault="000F49C4" w:rsidP="004402F7">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4402F7">
      <w:pPr>
        <w:spacing w:after="0" w:line="360" w:lineRule="auto"/>
        <w:jc w:val="both"/>
        <w:rPr>
          <w:rFonts w:ascii="Palatino Linotype" w:hAnsi="Palatino Linotype"/>
          <w:sz w:val="24"/>
          <w:szCs w:val="24"/>
          <w:lang w:val="es-ES"/>
        </w:rPr>
      </w:pPr>
    </w:p>
    <w:p w14:paraId="55BB310D" w14:textId="377D3CA5" w:rsidR="00330955" w:rsidRPr="00F86EDD" w:rsidRDefault="004402F7" w:rsidP="00330955">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 xml:space="preserve">Es necesario precisar, que si bien se comparte el sentido general de la resolución, se difiere en que se haya ordenado </w:t>
      </w:r>
      <w:r w:rsidRPr="00F86EDD">
        <w:rPr>
          <w:rFonts w:ascii="Palatino Linotype" w:hAnsi="Palatino Linotype"/>
          <w:b/>
          <w:sz w:val="24"/>
          <w:szCs w:val="24"/>
          <w:lang w:val="es-ES"/>
        </w:rPr>
        <w:t>eximir a</w:t>
      </w:r>
      <w:r w:rsidR="00F86EDD">
        <w:rPr>
          <w:rFonts w:ascii="Palatino Linotype" w:hAnsi="Palatino Linotype"/>
          <w:b/>
          <w:sz w:val="24"/>
          <w:szCs w:val="24"/>
          <w:lang w:val="es-ES"/>
        </w:rPr>
        <w:t xml:space="preserve"> la parte r</w:t>
      </w:r>
      <w:r w:rsidRPr="00F86EDD">
        <w:rPr>
          <w:rFonts w:ascii="Palatino Linotype" w:hAnsi="Palatino Linotype"/>
          <w:b/>
          <w:sz w:val="24"/>
          <w:szCs w:val="24"/>
          <w:lang w:val="es-ES"/>
        </w:rPr>
        <w:t xml:space="preserve">ecurrente del pago de derechos por la </w:t>
      </w:r>
      <w:r w:rsidR="00C5405F">
        <w:rPr>
          <w:rFonts w:ascii="Palatino Linotype" w:hAnsi="Palatino Linotype"/>
          <w:b/>
          <w:sz w:val="24"/>
          <w:szCs w:val="24"/>
          <w:lang w:val="es-ES"/>
        </w:rPr>
        <w:t>digitalización de la información</w:t>
      </w:r>
      <w:r w:rsidRPr="00F86EDD">
        <w:rPr>
          <w:rFonts w:ascii="Palatino Linotype" w:hAnsi="Palatino Linotype"/>
          <w:sz w:val="24"/>
          <w:szCs w:val="24"/>
          <w:lang w:val="es-ES"/>
        </w:rPr>
        <w:t>, por las siguientes precisiones:</w:t>
      </w:r>
    </w:p>
    <w:p w14:paraId="09559332" w14:textId="77777777" w:rsidR="00330955" w:rsidRPr="00F86EDD" w:rsidRDefault="00330955" w:rsidP="00330955">
      <w:pPr>
        <w:spacing w:after="0" w:line="360" w:lineRule="auto"/>
        <w:jc w:val="both"/>
        <w:rPr>
          <w:rFonts w:ascii="Palatino Linotype" w:hAnsi="Palatino Linotype"/>
          <w:sz w:val="24"/>
          <w:szCs w:val="24"/>
          <w:lang w:val="es-ES"/>
        </w:rPr>
      </w:pPr>
    </w:p>
    <w:p w14:paraId="32FCA5FA" w14:textId="7E86F461" w:rsidR="00330955" w:rsidRPr="00F86EDD" w:rsidRDefault="00494F48" w:rsidP="00330955">
      <w:pPr>
        <w:spacing w:after="0" w:line="360" w:lineRule="auto"/>
        <w:jc w:val="both"/>
        <w:rPr>
          <w:rFonts w:ascii="Palatino Linotype" w:hAnsi="Palatino Linotype"/>
          <w:sz w:val="24"/>
          <w:lang w:val="es-ES"/>
        </w:rPr>
      </w:pPr>
      <w:r>
        <w:rPr>
          <w:rFonts w:ascii="Palatino Linotype" w:hAnsi="Palatino Linotype"/>
          <w:sz w:val="24"/>
          <w:lang w:val="es-ES"/>
        </w:rPr>
        <w:lastRenderedPageBreak/>
        <w:t>En una aproximación inicial</w:t>
      </w:r>
      <w:r w:rsidR="00330955" w:rsidRPr="00F86EDD">
        <w:rPr>
          <w:rFonts w:ascii="Palatino Linotype" w:hAnsi="Palatino Linotype"/>
          <w:sz w:val="24"/>
          <w:lang w:val="es-ES"/>
        </w:rPr>
        <w:t>, con base en el artículo 155, de la Ley de Transparencia local, para presentar una solicitud por escrito, no se podrán exigir mayores requisitos que los siguientes:</w:t>
      </w:r>
    </w:p>
    <w:p w14:paraId="2178463B" w14:textId="77777777" w:rsidR="00330955" w:rsidRPr="00F86EDD" w:rsidRDefault="00330955" w:rsidP="00330955">
      <w:pPr>
        <w:pStyle w:val="Sinespaciado"/>
        <w:rPr>
          <w:lang w:val="es-ES"/>
        </w:rPr>
      </w:pPr>
    </w:p>
    <w:p w14:paraId="1E2B1A2E"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76981AE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Domicilio o correo electrónico para recibir notificaciones.</w:t>
      </w:r>
    </w:p>
    <w:p w14:paraId="444CA84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Descripción de la información solicitada.</w:t>
      </w:r>
    </w:p>
    <w:p w14:paraId="4BE03A41"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427AB9F" w14:textId="77777777" w:rsidR="00330955" w:rsidRPr="00F86EDD" w:rsidRDefault="00330955" w:rsidP="00330955">
      <w:pPr>
        <w:pStyle w:val="Prrafodelista"/>
        <w:numPr>
          <w:ilvl w:val="0"/>
          <w:numId w:val="5"/>
        </w:numPr>
        <w:spacing w:line="360" w:lineRule="auto"/>
        <w:jc w:val="both"/>
        <w:rPr>
          <w:rFonts w:ascii="Palatino Linotype" w:hAnsi="Palatino Linotype"/>
          <w:b/>
          <w:bCs/>
          <w:szCs w:val="22"/>
          <w:u w:val="single"/>
        </w:rPr>
      </w:pPr>
      <w:r w:rsidRPr="00F86EDD">
        <w:rPr>
          <w:rFonts w:ascii="Palatino Linotype" w:hAnsi="Palatino Linotype"/>
          <w:b/>
          <w:bCs/>
          <w:szCs w:val="22"/>
          <w:u w:val="single"/>
        </w:rPr>
        <w:t>Modalidad de entrega de la información.</w:t>
      </w:r>
    </w:p>
    <w:p w14:paraId="30EFF510" w14:textId="77777777" w:rsidR="00330955" w:rsidRPr="00F86EDD" w:rsidRDefault="00330955" w:rsidP="00330955">
      <w:pPr>
        <w:pStyle w:val="Sinespaciado"/>
        <w:rPr>
          <w:lang w:val="es-ES"/>
        </w:rPr>
      </w:pPr>
    </w:p>
    <w:p w14:paraId="00993BDC"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este sentido, los numerales I y IV, reciben el carácter de potestativos, en sentido contrario, el resto de los requisitos </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119A209F" w14:textId="77777777" w:rsidR="00330955" w:rsidRPr="00F86EDD" w:rsidRDefault="00330955" w:rsidP="00330955">
      <w:pPr>
        <w:tabs>
          <w:tab w:val="left" w:pos="709"/>
        </w:tabs>
        <w:spacing w:after="0" w:line="360" w:lineRule="auto"/>
        <w:jc w:val="both"/>
        <w:rPr>
          <w:rFonts w:ascii="Palatino Linotype" w:hAnsi="Palatino Linotype"/>
          <w:sz w:val="24"/>
          <w:szCs w:val="24"/>
          <w:lang w:val="es-ES"/>
        </w:rPr>
      </w:pPr>
    </w:p>
    <w:p w14:paraId="5A8C6493" w14:textId="54B73039" w:rsidR="00C5405F" w:rsidRDefault="004402F7" w:rsidP="005251CB">
      <w:pPr>
        <w:tabs>
          <w:tab w:val="left" w:pos="709"/>
        </w:tabs>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Al respecto, tal y como quedó debidamente asentado en la resolución materia del presente</w:t>
      </w:r>
      <w:r w:rsidR="005251CB" w:rsidRPr="00F86EDD">
        <w:rPr>
          <w:rFonts w:ascii="Palatino Linotype" w:hAnsi="Palatino Linotype"/>
          <w:sz w:val="24"/>
          <w:szCs w:val="24"/>
          <w:lang w:val="es-ES"/>
        </w:rPr>
        <w:t xml:space="preserve"> voto, el particular requirió al</w:t>
      </w:r>
      <w:r w:rsidRPr="00F86EDD">
        <w:rPr>
          <w:rFonts w:ascii="Palatino Linotype" w:hAnsi="Palatino Linotype"/>
          <w:sz w:val="24"/>
          <w:szCs w:val="24"/>
          <w:lang w:val="es-ES"/>
        </w:rPr>
        <w:t xml:space="preserve"> </w:t>
      </w:r>
      <w:r w:rsidR="00C5405F">
        <w:rPr>
          <w:rFonts w:ascii="Palatino Linotype" w:hAnsi="Palatino Linotype"/>
          <w:b/>
          <w:sz w:val="24"/>
          <w:szCs w:val="24"/>
          <w:lang w:val="es-ES"/>
        </w:rPr>
        <w:t xml:space="preserve">Poder Judicial del Estado de México, </w:t>
      </w:r>
      <w:r w:rsidR="00C5405F">
        <w:rPr>
          <w:rFonts w:ascii="Palatino Linotype" w:hAnsi="Palatino Linotype"/>
          <w:sz w:val="24"/>
          <w:szCs w:val="24"/>
          <w:lang w:val="es-ES"/>
        </w:rPr>
        <w:t xml:space="preserve">vía </w:t>
      </w:r>
      <w:r w:rsidR="00C5405F" w:rsidRPr="009C71D3">
        <w:rPr>
          <w:rFonts w:ascii="Palatino Linotype" w:hAnsi="Palatino Linotype"/>
          <w:b/>
          <w:sz w:val="24"/>
          <w:szCs w:val="24"/>
          <w:lang w:val="es-ES"/>
        </w:rPr>
        <w:t>SAIMEX,</w:t>
      </w:r>
      <w:r w:rsidR="00C5405F">
        <w:rPr>
          <w:rFonts w:ascii="Palatino Linotype" w:hAnsi="Palatino Linotype"/>
          <w:sz w:val="24"/>
          <w:szCs w:val="24"/>
          <w:lang w:val="es-ES"/>
        </w:rPr>
        <w:t xml:space="preserve"> de lo siguiente: </w:t>
      </w:r>
    </w:p>
    <w:p w14:paraId="1AED5B77" w14:textId="72EF4573" w:rsidR="00C5405F" w:rsidRPr="00D07A66" w:rsidRDefault="00C5405F" w:rsidP="00C5405F">
      <w:pPr>
        <w:pStyle w:val="Citas"/>
        <w:spacing w:line="240" w:lineRule="auto"/>
        <w:rPr>
          <w:b/>
          <w:lang w:eastAsia="es-ES"/>
        </w:rPr>
      </w:pPr>
      <w:r w:rsidRPr="003D30B4">
        <w:rPr>
          <w:b/>
          <w:lang w:eastAsia="es-ES"/>
        </w:rPr>
        <w:t>“</w:t>
      </w:r>
      <w:r w:rsidRPr="004D309D">
        <w:rPr>
          <w:lang w:eastAsia="es-ES"/>
        </w:rPr>
        <w:t xml:space="preserve">Solicito de la manera </w:t>
      </w:r>
      <w:proofErr w:type="spellStart"/>
      <w:r w:rsidRPr="004D309D">
        <w:rPr>
          <w:lang w:eastAsia="es-ES"/>
        </w:rPr>
        <w:t>mas</w:t>
      </w:r>
      <w:proofErr w:type="spellEnd"/>
      <w:r w:rsidRPr="004D309D">
        <w:rPr>
          <w:lang w:eastAsia="es-ES"/>
        </w:rPr>
        <w:t xml:space="preserve"> atenta la versión publica de la totalidad de las constancias que integran el expediente 91/1999 radicado en el entonces juzgado tercero penal de </w:t>
      </w:r>
      <w:proofErr w:type="spellStart"/>
      <w:r w:rsidRPr="004D309D">
        <w:rPr>
          <w:lang w:eastAsia="es-ES"/>
        </w:rPr>
        <w:t>toluca</w:t>
      </w:r>
      <w:proofErr w:type="spellEnd"/>
      <w:r w:rsidRPr="004D309D">
        <w:rPr>
          <w:lang w:eastAsia="es-ES"/>
        </w:rPr>
        <w:t xml:space="preserve">, hoy juzgado penal de primera instancia de </w:t>
      </w:r>
      <w:proofErr w:type="spellStart"/>
      <w:r w:rsidRPr="004D309D">
        <w:rPr>
          <w:lang w:eastAsia="es-ES"/>
        </w:rPr>
        <w:t>toluca</w:t>
      </w:r>
      <w:proofErr w:type="spellEnd"/>
      <w:r w:rsidRPr="004D309D">
        <w:rPr>
          <w:lang w:eastAsia="es-ES"/>
        </w:rPr>
        <w:t xml:space="preserve">, con residencia en </w:t>
      </w:r>
      <w:proofErr w:type="spellStart"/>
      <w:r w:rsidRPr="004D309D">
        <w:rPr>
          <w:lang w:eastAsia="es-ES"/>
        </w:rPr>
        <w:t>almoloya</w:t>
      </w:r>
      <w:proofErr w:type="spellEnd"/>
      <w:r w:rsidRPr="004D309D">
        <w:rPr>
          <w:lang w:eastAsia="es-ES"/>
        </w:rPr>
        <w:t xml:space="preserve"> de </w:t>
      </w:r>
      <w:proofErr w:type="spellStart"/>
      <w:r w:rsidRPr="004D309D">
        <w:rPr>
          <w:lang w:eastAsia="es-ES"/>
        </w:rPr>
        <w:t>juarez</w:t>
      </w:r>
      <w:proofErr w:type="spellEnd"/>
      <w:r w:rsidRPr="004D309D">
        <w:rPr>
          <w:lang w:eastAsia="es-ES"/>
        </w:rPr>
        <w:t>. Por ser un asunto concluido. Cabe mencionar que es un asunto tradicional. Por su amabilidad, gracias.</w:t>
      </w:r>
      <w:r w:rsidRPr="00087ECD">
        <w:rPr>
          <w:lang w:eastAsia="es-ES"/>
        </w:rPr>
        <w:t xml:space="preserve">” </w:t>
      </w:r>
      <w:r w:rsidR="00D07A66">
        <w:rPr>
          <w:b/>
          <w:lang w:eastAsia="es-ES"/>
        </w:rPr>
        <w:t>[Sic]</w:t>
      </w:r>
    </w:p>
    <w:p w14:paraId="6BBD356B" w14:textId="77777777" w:rsidR="00C5405F" w:rsidRPr="00C5405F" w:rsidRDefault="00C5405F" w:rsidP="005251CB">
      <w:pPr>
        <w:tabs>
          <w:tab w:val="left" w:pos="709"/>
        </w:tabs>
        <w:spacing w:after="0" w:line="360" w:lineRule="auto"/>
        <w:jc w:val="both"/>
        <w:rPr>
          <w:rFonts w:ascii="Palatino Linotype" w:hAnsi="Palatino Linotype"/>
          <w:sz w:val="24"/>
          <w:szCs w:val="24"/>
          <w:lang w:val="es-ES"/>
        </w:rPr>
      </w:pPr>
    </w:p>
    <w:p w14:paraId="5F108C28" w14:textId="7AE66C82" w:rsidR="00494F48" w:rsidRDefault="00C5405F" w:rsidP="005251CB">
      <w:pPr>
        <w:tabs>
          <w:tab w:val="left" w:pos="709"/>
        </w:tabs>
        <w:spacing w:after="0" w:line="360" w:lineRule="auto"/>
        <w:jc w:val="both"/>
        <w:rPr>
          <w:rFonts w:ascii="Palatino Linotype" w:hAnsi="Palatino Linotype"/>
          <w:sz w:val="24"/>
          <w:szCs w:val="24"/>
          <w:lang w:val="es-ES"/>
        </w:rPr>
      </w:pPr>
      <w:r>
        <w:rPr>
          <w:rFonts w:ascii="Palatino Linotype" w:hAnsi="Palatino Linotype"/>
          <w:sz w:val="24"/>
          <w:szCs w:val="24"/>
          <w:lang w:val="es-ES"/>
        </w:rPr>
        <w:lastRenderedPageBreak/>
        <w:t xml:space="preserve">Así, de las constancias que obran en el </w:t>
      </w:r>
      <w:r>
        <w:rPr>
          <w:rFonts w:ascii="Palatino Linotype" w:hAnsi="Palatino Linotype"/>
          <w:b/>
          <w:sz w:val="24"/>
          <w:szCs w:val="24"/>
          <w:lang w:val="es-ES"/>
        </w:rPr>
        <w:t xml:space="preserve">SAIMEX, </w:t>
      </w:r>
      <w:r>
        <w:rPr>
          <w:rFonts w:ascii="Palatino Linotype" w:hAnsi="Palatino Linotype"/>
          <w:sz w:val="24"/>
          <w:szCs w:val="24"/>
          <w:lang w:val="es-ES"/>
        </w:rPr>
        <w:t xml:space="preserve">se advierte que </w:t>
      </w:r>
      <w:r>
        <w:rPr>
          <w:rFonts w:ascii="Palatino Linotype" w:hAnsi="Palatino Linotype"/>
          <w:b/>
          <w:sz w:val="24"/>
          <w:szCs w:val="24"/>
          <w:lang w:val="es-ES"/>
        </w:rPr>
        <w:t xml:space="preserve">El Sujeto Obligado </w:t>
      </w:r>
      <w:r>
        <w:rPr>
          <w:rFonts w:ascii="Palatino Linotype" w:hAnsi="Palatino Linotype"/>
          <w:sz w:val="24"/>
          <w:szCs w:val="24"/>
          <w:lang w:val="es-ES"/>
        </w:rPr>
        <w:t xml:space="preserve">señaló que después de realizar una búsqueda exhaustiva y razonable, sí cuenta con la información, la cual se encuentra en un formato análogo, resultando necesaria su digitalización, </w:t>
      </w:r>
      <w:r w:rsidR="00D07A66">
        <w:rPr>
          <w:rFonts w:ascii="Palatino Linotype" w:hAnsi="Palatino Linotype"/>
          <w:sz w:val="24"/>
          <w:szCs w:val="24"/>
          <w:lang w:val="es-ES"/>
        </w:rPr>
        <w:t xml:space="preserve">por ello, la particular debía cubrir de manera previa los gastos por reproducción. Sirve de sustento la siguiente imagen ilustrativa: </w:t>
      </w:r>
      <w:r>
        <w:rPr>
          <w:rFonts w:ascii="Palatino Linotype" w:hAnsi="Palatino Linotype"/>
          <w:sz w:val="24"/>
          <w:szCs w:val="24"/>
          <w:lang w:val="es-ES"/>
        </w:rPr>
        <w:t xml:space="preserve"> </w:t>
      </w:r>
    </w:p>
    <w:p w14:paraId="2D16FD49" w14:textId="77777777" w:rsidR="00C5405F" w:rsidRDefault="00C5405F" w:rsidP="005251CB">
      <w:pPr>
        <w:tabs>
          <w:tab w:val="left" w:pos="709"/>
        </w:tabs>
        <w:spacing w:after="0" w:line="360" w:lineRule="auto"/>
        <w:jc w:val="both"/>
        <w:rPr>
          <w:rFonts w:ascii="Palatino Linotype" w:hAnsi="Palatino Linotype"/>
          <w:sz w:val="24"/>
          <w:szCs w:val="24"/>
          <w:lang w:val="es-ES"/>
        </w:rPr>
      </w:pPr>
    </w:p>
    <w:p w14:paraId="1A6046D3" w14:textId="7BFE0388" w:rsidR="00C5405F" w:rsidRDefault="00C5405F" w:rsidP="005251CB">
      <w:pPr>
        <w:tabs>
          <w:tab w:val="left" w:pos="709"/>
        </w:tabs>
        <w:spacing w:after="0" w:line="360" w:lineRule="auto"/>
        <w:jc w:val="both"/>
        <w:rPr>
          <w:rFonts w:ascii="Palatino Linotype" w:hAnsi="Palatino Linotype"/>
          <w:sz w:val="24"/>
          <w:szCs w:val="24"/>
          <w:lang w:val="es-ES"/>
        </w:rPr>
      </w:pPr>
      <w:r>
        <w:rPr>
          <w:rFonts w:ascii="Palatino Linotype" w:hAnsi="Palatino Linotype"/>
          <w:noProof/>
          <w:sz w:val="24"/>
          <w:szCs w:val="24"/>
          <w:lang w:eastAsia="es-MX"/>
        </w:rPr>
        <w:drawing>
          <wp:inline distT="0" distB="0" distL="0" distR="0" wp14:anchorId="2F6D71D4" wp14:editId="4F3817FC">
            <wp:extent cx="5661660" cy="1199515"/>
            <wp:effectExtent l="19050" t="19050" r="15240"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1660" cy="1199515"/>
                    </a:xfrm>
                    <a:prstGeom prst="rect">
                      <a:avLst/>
                    </a:prstGeom>
                    <a:noFill/>
                    <a:ln>
                      <a:solidFill>
                        <a:schemeClr val="tx1"/>
                      </a:solidFill>
                    </a:ln>
                  </pic:spPr>
                </pic:pic>
              </a:graphicData>
            </a:graphic>
          </wp:inline>
        </w:drawing>
      </w:r>
    </w:p>
    <w:p w14:paraId="7A89D328" w14:textId="77777777" w:rsidR="00C5405F" w:rsidRPr="00C5405F" w:rsidRDefault="00C5405F" w:rsidP="005251CB">
      <w:pPr>
        <w:tabs>
          <w:tab w:val="left" w:pos="709"/>
        </w:tabs>
        <w:spacing w:after="0" w:line="360" w:lineRule="auto"/>
        <w:jc w:val="both"/>
        <w:rPr>
          <w:rFonts w:ascii="Palatino Linotype" w:hAnsi="Palatino Linotype"/>
          <w:sz w:val="24"/>
          <w:szCs w:val="24"/>
          <w:lang w:val="es-ES"/>
        </w:rPr>
      </w:pPr>
    </w:p>
    <w:p w14:paraId="2803E0DA" w14:textId="6478BCFD" w:rsidR="004402F7" w:rsidRDefault="004402F7" w:rsidP="004402F7">
      <w:pPr>
        <w:spacing w:after="0" w:line="360" w:lineRule="auto"/>
        <w:ind w:right="-3"/>
        <w:jc w:val="both"/>
        <w:rPr>
          <w:rFonts w:ascii="Palatino Linotype" w:eastAsia="Times New Roman" w:hAnsi="Palatino Linotype" w:cs="Times New Roman"/>
          <w:sz w:val="24"/>
          <w:szCs w:val="24"/>
          <w:lang w:val="es-ES" w:eastAsia="es-ES"/>
        </w:rPr>
      </w:pPr>
      <w:r w:rsidRPr="00F86EDD">
        <w:rPr>
          <w:rFonts w:ascii="Palatino Linotype" w:eastAsia="Times New Roman" w:hAnsi="Palatino Linotype" w:cs="Times New Roman"/>
          <w:sz w:val="24"/>
          <w:szCs w:val="24"/>
          <w:lang w:val="es-ES" w:eastAsia="es-ES"/>
        </w:rPr>
        <w:t xml:space="preserve">Inconforme con la respuesta proporcionada, </w:t>
      </w:r>
      <w:r w:rsidR="00D07A66">
        <w:rPr>
          <w:rFonts w:ascii="Palatino Linotype" w:eastAsia="Times New Roman" w:hAnsi="Palatino Linotype" w:cs="Times New Roman"/>
          <w:b/>
          <w:sz w:val="24"/>
          <w:szCs w:val="24"/>
          <w:lang w:val="es-ES" w:eastAsia="es-ES"/>
        </w:rPr>
        <w:t>La</w:t>
      </w:r>
      <w:r w:rsidRPr="00F86EDD">
        <w:rPr>
          <w:rFonts w:ascii="Palatino Linotype" w:eastAsia="Times New Roman" w:hAnsi="Palatino Linotype" w:cs="Times New Roman"/>
          <w:b/>
          <w:sz w:val="24"/>
          <w:szCs w:val="24"/>
          <w:lang w:val="es-ES" w:eastAsia="es-ES"/>
        </w:rPr>
        <w:t xml:space="preserve"> Recurrente</w:t>
      </w:r>
      <w:r w:rsidRPr="00F86EDD">
        <w:rPr>
          <w:rFonts w:ascii="Palatino Linotype" w:eastAsia="Times New Roman" w:hAnsi="Palatino Linotype" w:cs="Times New Roman"/>
          <w:sz w:val="24"/>
          <w:szCs w:val="24"/>
          <w:lang w:val="es-ES" w:eastAsia="es-ES"/>
        </w:rPr>
        <w:t xml:space="preserve"> interpuso el recurso de revisión de mérito, manifestando como acto impugnado y motivos de inconformidad, lo siguiente:</w:t>
      </w:r>
    </w:p>
    <w:p w14:paraId="36F92D76" w14:textId="30B6F09B"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b/>
          <w:sz w:val="24"/>
          <w:szCs w:val="24"/>
          <w:lang w:val="es-ES" w:eastAsia="es-ES"/>
        </w:rPr>
        <w:t>A</w:t>
      </w:r>
      <w:r w:rsidRPr="00EC70B3">
        <w:rPr>
          <w:rFonts w:ascii="Palatino Linotype" w:eastAsia="Times New Roman" w:hAnsi="Palatino Linotype" w:cs="Times New Roman"/>
          <w:b/>
          <w:sz w:val="24"/>
          <w:szCs w:val="24"/>
          <w:lang w:val="es-ES" w:eastAsia="es-ES"/>
        </w:rPr>
        <w:t>cto impugnado</w:t>
      </w:r>
    </w:p>
    <w:p w14:paraId="2CB1F7F1" w14:textId="6C4A1E06" w:rsidR="00EC70B3" w:rsidRPr="00EC70B3" w:rsidRDefault="00EC70B3" w:rsidP="00D07A66">
      <w:pPr>
        <w:pStyle w:val="Citas"/>
        <w:rPr>
          <w:b/>
          <w:lang w:eastAsia="es-MX"/>
        </w:rPr>
      </w:pPr>
      <w:r w:rsidRPr="00957DF7">
        <w:rPr>
          <w:lang w:eastAsia="es-MX"/>
        </w:rPr>
        <w:t>“</w:t>
      </w:r>
      <w:r w:rsidR="00D07A66">
        <w:t>La respuesta del sujeto obligado</w:t>
      </w:r>
      <w:r w:rsidRPr="00957DF7">
        <w:rPr>
          <w:lang w:eastAsia="es-MX"/>
        </w:rPr>
        <w:t>”</w:t>
      </w:r>
      <w:r>
        <w:rPr>
          <w:lang w:eastAsia="es-MX"/>
        </w:rPr>
        <w:t xml:space="preserve"> </w:t>
      </w:r>
      <w:r>
        <w:rPr>
          <w:b/>
          <w:lang w:eastAsia="es-MX"/>
        </w:rPr>
        <w:t>[Sic]</w:t>
      </w:r>
    </w:p>
    <w:p w14:paraId="3DA3C87C" w14:textId="77777777" w:rsidR="00EC70B3" w:rsidRPr="00957DF7" w:rsidRDefault="00EC70B3" w:rsidP="00EC70B3">
      <w:pPr>
        <w:ind w:left="851" w:right="900"/>
        <w:jc w:val="both"/>
        <w:rPr>
          <w:rFonts w:ascii="Palatino Linotype" w:hAnsi="Palatino Linotype"/>
          <w:i/>
          <w:lang w:eastAsia="es-MX"/>
        </w:rPr>
      </w:pPr>
    </w:p>
    <w:p w14:paraId="6174C845" w14:textId="77777777" w:rsidR="00D07A66" w:rsidRDefault="00EC70B3" w:rsidP="00D07A66">
      <w:pPr>
        <w:spacing w:after="0" w:line="360" w:lineRule="auto"/>
        <w:ind w:right="-3"/>
        <w:jc w:val="both"/>
        <w:rPr>
          <w:rFonts w:ascii="Palatino Linotype" w:eastAsia="Times New Roman" w:hAnsi="Palatino Linotype" w:cs="Times New Roman"/>
          <w:b/>
          <w:sz w:val="24"/>
          <w:szCs w:val="24"/>
          <w:lang w:val="es-ES" w:eastAsia="es-ES"/>
        </w:rPr>
      </w:pPr>
      <w:r w:rsidRPr="00EC70B3">
        <w:rPr>
          <w:rFonts w:ascii="Palatino Linotype" w:eastAsia="Times New Roman" w:hAnsi="Palatino Linotype" w:cs="Times New Roman"/>
          <w:b/>
          <w:sz w:val="24"/>
          <w:szCs w:val="24"/>
          <w:lang w:val="es-ES" w:eastAsia="es-ES"/>
        </w:rPr>
        <w:t>Motivos de inconformidad</w:t>
      </w:r>
    </w:p>
    <w:p w14:paraId="45FB8028" w14:textId="10AB1D77" w:rsidR="00494F48" w:rsidRPr="00494F48" w:rsidRDefault="00494F48" w:rsidP="00D040F5">
      <w:pPr>
        <w:pStyle w:val="Citas"/>
        <w:spacing w:line="240" w:lineRule="auto"/>
        <w:rPr>
          <w:b/>
        </w:rPr>
      </w:pPr>
      <w:r>
        <w:t>“</w:t>
      </w:r>
      <w:r w:rsidR="00D07A66" w:rsidRPr="00D07A66">
        <w:rPr>
          <w:lang w:eastAsia="es-MX"/>
        </w:rPr>
        <w:t xml:space="preserve">No se me proporcionan las 27 hojas que refiere, consta la totalidad del expediente que solicito, puesto que en anteriores ocasiones me han proporcionado expedientes por esta vía, incluso de </w:t>
      </w:r>
      <w:proofErr w:type="spellStart"/>
      <w:r w:rsidR="00D07A66" w:rsidRPr="00D07A66">
        <w:rPr>
          <w:lang w:eastAsia="es-MX"/>
        </w:rPr>
        <w:t>mas</w:t>
      </w:r>
      <w:proofErr w:type="spellEnd"/>
      <w:r w:rsidR="00D07A66" w:rsidRPr="00D07A66">
        <w:rPr>
          <w:lang w:eastAsia="es-MX"/>
        </w:rPr>
        <w:t xml:space="preserve"> de 100 hojas por poner sólo un ejemplo: PUNTO </w:t>
      </w:r>
      <w:r w:rsidR="00D07A66" w:rsidRPr="00D07A66">
        <w:rPr>
          <w:lang w:eastAsia="es-MX"/>
        </w:rPr>
        <w:lastRenderedPageBreak/>
        <w:t>TRES. CUMPLIMIENTO A LA RESOLUCIÓN EMITIDA EN EL RECURSO DE REVISIÓN CON FOLIO 08964/INFOEM/IP/RR/2019. RESOLUTIVOS: Primero: El día diecisiete de marzo de dos mil veinte, el Pleno del Instituto de Transparencia, Acceso a la Información Pública y Protección de Datos Personales del Estado de México y Municipios (INFOEM), notificó al Poder Judicial del Estado de México, vía el Sistema de Acceso a la Información Mexiquense (SAIMEX), la Resolución emitida en el Recurso de Revisión con folio 08964/INFOEM/IP/RR/2019, derivado de la solicitud de información número 00875/PJUDICI/IP/2019. Segundo: En dicha Resolución el Pleno del Instituto de Transparencia, Acceso a la Información Pública y Protección de Datos Personales del Estado de México y Municipios, determinó lo siguiente: SEGUNDA. Se Ordena al Sujeto Obligado, en términos de los Considerandos Cuarto y Quinto de esta resolución, haga entrega vía SAIMEX, de lo siguiente: 1. Versión pública del expediente radicado en el Juzgado Quinto Civil de Primera Instancia del Distrito Judicial de Toluca, con residencia en Metepec, que fue remitido en etapa de instrucción...</w:t>
      </w:r>
      <w:r>
        <w:t xml:space="preserve">” </w:t>
      </w:r>
      <w:r>
        <w:rPr>
          <w:b/>
        </w:rPr>
        <w:t>[Sic]</w:t>
      </w:r>
    </w:p>
    <w:p w14:paraId="4642BA8A" w14:textId="77777777" w:rsidR="00494F48" w:rsidRDefault="00494F48" w:rsidP="004402F7">
      <w:pPr>
        <w:tabs>
          <w:tab w:val="left" w:pos="709"/>
        </w:tabs>
        <w:spacing w:line="360" w:lineRule="auto"/>
        <w:ind w:right="-3"/>
        <w:jc w:val="both"/>
        <w:rPr>
          <w:rFonts w:ascii="Palatino Linotype" w:hAnsi="Palatino Linotype"/>
          <w:sz w:val="24"/>
          <w:szCs w:val="23"/>
          <w:lang w:val="es-ES"/>
        </w:rPr>
      </w:pPr>
    </w:p>
    <w:p w14:paraId="08FB11F5" w14:textId="6B27C13A" w:rsidR="00494F48" w:rsidRDefault="004402F7" w:rsidP="004402F7">
      <w:pPr>
        <w:tabs>
          <w:tab w:val="left" w:pos="709"/>
        </w:tabs>
        <w:spacing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del estudio al expediente electrónico, la Ponencia Resolutora determinó </w:t>
      </w:r>
      <w:r w:rsidR="00D07A66">
        <w:rPr>
          <w:rFonts w:ascii="Palatino Linotype" w:hAnsi="Palatino Linotype"/>
          <w:b/>
          <w:sz w:val="24"/>
          <w:szCs w:val="23"/>
          <w:lang w:val="es-ES"/>
        </w:rPr>
        <w:t>REVOCAR</w:t>
      </w:r>
      <w:r w:rsidR="00494F48">
        <w:rPr>
          <w:rFonts w:ascii="Palatino Linotype" w:hAnsi="Palatino Linotype"/>
          <w:b/>
          <w:sz w:val="24"/>
          <w:szCs w:val="23"/>
          <w:lang w:val="es-ES"/>
        </w:rPr>
        <w:t xml:space="preserve"> </w:t>
      </w:r>
      <w:r w:rsidR="00403FFD">
        <w:rPr>
          <w:rFonts w:ascii="Palatino Linotype" w:hAnsi="Palatino Linotype"/>
          <w:sz w:val="24"/>
          <w:szCs w:val="23"/>
          <w:lang w:val="es-ES"/>
        </w:rPr>
        <w:t xml:space="preserve">la respuesta del </w:t>
      </w:r>
      <w:r w:rsidR="00403FFD">
        <w:rPr>
          <w:rFonts w:ascii="Palatino Linotype" w:hAnsi="Palatino Linotype"/>
          <w:b/>
          <w:sz w:val="24"/>
          <w:szCs w:val="23"/>
          <w:lang w:val="es-ES"/>
        </w:rPr>
        <w:t xml:space="preserve">Sujeto Obligado </w:t>
      </w:r>
      <w:r w:rsidR="00494F48">
        <w:rPr>
          <w:rFonts w:ascii="Palatino Linotype" w:hAnsi="Palatino Linotype"/>
          <w:sz w:val="24"/>
          <w:szCs w:val="23"/>
          <w:lang w:val="es-ES"/>
        </w:rPr>
        <w:t xml:space="preserve">y ordenar la entrega </w:t>
      </w:r>
      <w:r w:rsidR="00D07A66">
        <w:rPr>
          <w:rFonts w:ascii="Palatino Linotype" w:hAnsi="Palatino Linotype"/>
          <w:sz w:val="24"/>
          <w:szCs w:val="23"/>
          <w:lang w:val="es-ES"/>
        </w:rPr>
        <w:t xml:space="preserve">previa digitalización </w:t>
      </w:r>
      <w:r w:rsidR="00D07A66">
        <w:rPr>
          <w:rFonts w:ascii="Palatino Linotype" w:hAnsi="Palatino Linotype"/>
          <w:b/>
          <w:sz w:val="24"/>
          <w:szCs w:val="23"/>
          <w:lang w:val="es-ES"/>
        </w:rPr>
        <w:t>–sin costo-</w:t>
      </w:r>
      <w:r w:rsidR="009C71D3">
        <w:rPr>
          <w:rFonts w:ascii="Palatino Linotype" w:hAnsi="Palatino Linotype"/>
          <w:b/>
          <w:sz w:val="24"/>
          <w:szCs w:val="23"/>
          <w:lang w:val="es-ES"/>
        </w:rPr>
        <w:t>,</w:t>
      </w:r>
      <w:r w:rsidR="00D07A66">
        <w:rPr>
          <w:rFonts w:ascii="Palatino Linotype" w:hAnsi="Palatino Linotype"/>
          <w:b/>
          <w:sz w:val="24"/>
          <w:szCs w:val="23"/>
          <w:lang w:val="es-ES"/>
        </w:rPr>
        <w:t xml:space="preserve"> </w:t>
      </w:r>
      <w:r w:rsidR="00D07A66">
        <w:rPr>
          <w:rFonts w:ascii="Palatino Linotype" w:hAnsi="Palatino Linotype"/>
          <w:sz w:val="24"/>
          <w:szCs w:val="23"/>
          <w:lang w:val="es-ES"/>
        </w:rPr>
        <w:t xml:space="preserve">vía </w:t>
      </w:r>
      <w:r w:rsidR="00D07A66">
        <w:rPr>
          <w:rFonts w:ascii="Palatino Linotype" w:hAnsi="Palatino Linotype"/>
          <w:b/>
          <w:sz w:val="24"/>
          <w:szCs w:val="23"/>
          <w:lang w:val="es-ES"/>
        </w:rPr>
        <w:t>SAIMEX</w:t>
      </w:r>
      <w:r w:rsidR="00D07A66">
        <w:rPr>
          <w:rFonts w:ascii="Palatino Linotype" w:hAnsi="Palatino Linotype"/>
          <w:sz w:val="24"/>
          <w:szCs w:val="23"/>
          <w:lang w:val="es-ES"/>
        </w:rPr>
        <w:t>,</w:t>
      </w:r>
      <w:r w:rsidR="00D040F5">
        <w:rPr>
          <w:rFonts w:ascii="Palatino Linotype" w:hAnsi="Palatino Linotype"/>
          <w:sz w:val="24"/>
          <w:szCs w:val="23"/>
          <w:lang w:val="es-ES"/>
        </w:rPr>
        <w:t xml:space="preserve"> </w:t>
      </w:r>
      <w:r w:rsidR="00403FFD">
        <w:rPr>
          <w:rFonts w:ascii="Palatino Linotype" w:hAnsi="Palatino Linotype"/>
          <w:sz w:val="24"/>
          <w:szCs w:val="23"/>
          <w:lang w:val="es-ES"/>
        </w:rPr>
        <w:t xml:space="preserve">de </w:t>
      </w:r>
      <w:r w:rsidR="00D040F5">
        <w:rPr>
          <w:rFonts w:ascii="Palatino Linotype" w:hAnsi="Palatino Linotype"/>
          <w:sz w:val="24"/>
          <w:szCs w:val="23"/>
          <w:lang w:val="es-ES"/>
        </w:rPr>
        <w:t xml:space="preserve">lo siguiente: </w:t>
      </w:r>
      <w:r w:rsidR="00494F48">
        <w:rPr>
          <w:rFonts w:ascii="Palatino Linotype" w:hAnsi="Palatino Linotype"/>
          <w:sz w:val="24"/>
          <w:szCs w:val="23"/>
          <w:lang w:val="es-ES"/>
        </w:rPr>
        <w:t xml:space="preserve"> </w:t>
      </w:r>
    </w:p>
    <w:p w14:paraId="2D97F698" w14:textId="77777777" w:rsidR="00D07A66" w:rsidRPr="001964D1" w:rsidRDefault="00D07A66" w:rsidP="00D07A66">
      <w:pPr>
        <w:pStyle w:val="Citas"/>
        <w:rPr>
          <w:rFonts w:eastAsia="Calibri"/>
          <w:color w:val="000000"/>
          <w:lang w:val="es-ES" w:eastAsia="es-MX"/>
        </w:rPr>
      </w:pPr>
      <w:r>
        <w:rPr>
          <w:b/>
        </w:rPr>
        <w:t>“</w:t>
      </w:r>
      <w:r w:rsidRPr="000D54C1">
        <w:rPr>
          <w:b/>
          <w:bCs/>
        </w:rPr>
        <w:t>SEGUNDO.</w:t>
      </w:r>
      <w:r>
        <w:rPr>
          <w:b/>
          <w:bCs/>
        </w:rPr>
        <w:t xml:space="preserve"> </w:t>
      </w:r>
      <w:r w:rsidRPr="000D54C1">
        <w:t>Se</w:t>
      </w:r>
      <w:r>
        <w:t xml:space="preserve"> </w:t>
      </w:r>
      <w:r w:rsidRPr="000D54C1">
        <w:rPr>
          <w:b/>
        </w:rPr>
        <w:t>ORDENA</w:t>
      </w:r>
      <w:r>
        <w:rPr>
          <w:b/>
        </w:rPr>
        <w:t xml:space="preserve"> </w:t>
      </w:r>
      <w:r w:rsidRPr="000D54C1">
        <w:rPr>
          <w:bCs/>
        </w:rPr>
        <w:t>al</w:t>
      </w:r>
      <w:r>
        <w:rPr>
          <w:bCs/>
        </w:rPr>
        <w:t xml:space="preserve"> </w:t>
      </w:r>
      <w:r w:rsidRPr="00BF7F1A">
        <w:t>Ente</w:t>
      </w:r>
      <w:r>
        <w:t xml:space="preserve"> </w:t>
      </w:r>
      <w:r w:rsidRPr="00BF7F1A">
        <w:t>Recurrido</w:t>
      </w:r>
      <w:r>
        <w:t>, a efecto de</w:t>
      </w:r>
      <w:r>
        <w:rPr>
          <w:rFonts w:eastAsia="Calibri"/>
          <w:lang w:eastAsia="es-MX"/>
        </w:rPr>
        <w:t xml:space="preserve"> </w:t>
      </w:r>
      <w:r w:rsidRPr="000D54C1">
        <w:rPr>
          <w:rFonts w:eastAsia="Calibri"/>
          <w:lang w:eastAsia="es-MX"/>
        </w:rPr>
        <w:t>que</w:t>
      </w:r>
      <w:r>
        <w:rPr>
          <w:rFonts w:eastAsia="Calibri"/>
          <w:lang w:eastAsia="es-MX"/>
        </w:rPr>
        <w:t xml:space="preserve"> </w:t>
      </w:r>
      <w:r w:rsidRPr="000D54C1">
        <w:rPr>
          <w:rFonts w:eastAsia="Calibri"/>
          <w:lang w:eastAsia="es-MX"/>
        </w:rPr>
        <w:t>entregue</w:t>
      </w:r>
      <w:r w:rsidRPr="000D54C1">
        <w:t>,</w:t>
      </w:r>
      <w:r>
        <w:t xml:space="preserve"> </w:t>
      </w:r>
      <w:r w:rsidRPr="000D54C1">
        <w:t>a</w:t>
      </w:r>
      <w:r>
        <w:t xml:space="preserve"> </w:t>
      </w:r>
      <w:r w:rsidRPr="000D54C1">
        <w:t>través</w:t>
      </w:r>
      <w:r>
        <w:t xml:space="preserve"> </w:t>
      </w:r>
      <w:r w:rsidRPr="000D54C1">
        <w:t>del</w:t>
      </w:r>
      <w:r>
        <w:t xml:space="preserve"> </w:t>
      </w:r>
      <w:r w:rsidRPr="000D54C1">
        <w:t>Sistema</w:t>
      </w:r>
      <w:r>
        <w:t xml:space="preserve"> </w:t>
      </w:r>
      <w:r w:rsidRPr="000D54C1">
        <w:t>de</w:t>
      </w:r>
      <w:r>
        <w:t xml:space="preserve"> </w:t>
      </w:r>
      <w:r w:rsidRPr="000D54C1">
        <w:t>Acceso</w:t>
      </w:r>
      <w:r>
        <w:t xml:space="preserve"> </w:t>
      </w:r>
      <w:r w:rsidRPr="000D54C1">
        <w:t>a</w:t>
      </w:r>
      <w:r>
        <w:t xml:space="preserve"> </w:t>
      </w:r>
      <w:r w:rsidRPr="000D54C1">
        <w:t>la</w:t>
      </w:r>
      <w:r>
        <w:t xml:space="preserve"> </w:t>
      </w:r>
      <w:r w:rsidRPr="000D54C1">
        <w:t>Información</w:t>
      </w:r>
      <w:r>
        <w:t xml:space="preserve"> </w:t>
      </w:r>
      <w:r w:rsidRPr="000D54C1">
        <w:t>Mexiquense</w:t>
      </w:r>
      <w:r>
        <w:t xml:space="preserve"> </w:t>
      </w:r>
      <w:r w:rsidRPr="000D54C1">
        <w:t>(SAIMEX),</w:t>
      </w:r>
      <w:r>
        <w:t xml:space="preserve"> en versión pública el </w:t>
      </w:r>
      <w:r>
        <w:rPr>
          <w:rFonts w:eastAsia="Calibri"/>
          <w:color w:val="000000"/>
          <w:lang w:val="es-ES" w:eastAsia="es-MX"/>
        </w:rPr>
        <w:t>E</w:t>
      </w:r>
      <w:r w:rsidRPr="001964D1">
        <w:rPr>
          <w:rFonts w:eastAsia="Calibri"/>
          <w:color w:val="000000"/>
          <w:lang w:val="es-ES" w:eastAsia="es-MX"/>
        </w:rPr>
        <w:t xml:space="preserve">xpediente 91/1999 radicado en el entonces </w:t>
      </w:r>
      <w:r>
        <w:rPr>
          <w:rFonts w:eastAsia="Calibri"/>
          <w:color w:val="000000"/>
          <w:lang w:val="es-ES" w:eastAsia="es-MX"/>
        </w:rPr>
        <w:t>J</w:t>
      </w:r>
      <w:r w:rsidRPr="001964D1">
        <w:rPr>
          <w:rFonts w:eastAsia="Calibri"/>
          <w:color w:val="000000"/>
          <w:lang w:val="es-ES" w:eastAsia="es-MX"/>
        </w:rPr>
        <w:t xml:space="preserve">uzgado </w:t>
      </w:r>
      <w:r>
        <w:rPr>
          <w:rFonts w:eastAsia="Calibri"/>
          <w:color w:val="000000"/>
          <w:lang w:val="es-ES" w:eastAsia="es-MX"/>
        </w:rPr>
        <w:t>T</w:t>
      </w:r>
      <w:r w:rsidRPr="001964D1">
        <w:rPr>
          <w:rFonts w:eastAsia="Calibri"/>
          <w:color w:val="000000"/>
          <w:lang w:val="es-ES" w:eastAsia="es-MX"/>
        </w:rPr>
        <w:t xml:space="preserve">ercero </w:t>
      </w:r>
      <w:r>
        <w:rPr>
          <w:rFonts w:eastAsia="Calibri"/>
          <w:color w:val="000000"/>
          <w:lang w:val="es-ES" w:eastAsia="es-MX"/>
        </w:rPr>
        <w:t>P</w:t>
      </w:r>
      <w:r w:rsidRPr="001964D1">
        <w:rPr>
          <w:rFonts w:eastAsia="Calibri"/>
          <w:color w:val="000000"/>
          <w:lang w:val="es-ES" w:eastAsia="es-MX"/>
        </w:rPr>
        <w:t xml:space="preserve">enal de Toluca, hoy </w:t>
      </w:r>
      <w:r>
        <w:rPr>
          <w:rFonts w:eastAsia="Calibri"/>
          <w:color w:val="000000"/>
          <w:lang w:val="es-ES" w:eastAsia="es-MX"/>
        </w:rPr>
        <w:t>J</w:t>
      </w:r>
      <w:r w:rsidRPr="001964D1">
        <w:rPr>
          <w:rFonts w:eastAsia="Calibri"/>
          <w:color w:val="000000"/>
          <w:lang w:val="es-ES" w:eastAsia="es-MX"/>
        </w:rPr>
        <w:t xml:space="preserve">uzgado </w:t>
      </w:r>
      <w:r>
        <w:rPr>
          <w:rFonts w:eastAsia="Calibri"/>
          <w:color w:val="000000"/>
          <w:lang w:val="es-ES" w:eastAsia="es-MX"/>
        </w:rPr>
        <w:t>P</w:t>
      </w:r>
      <w:r w:rsidRPr="001964D1">
        <w:rPr>
          <w:rFonts w:eastAsia="Calibri"/>
          <w:color w:val="000000"/>
          <w:lang w:val="es-ES" w:eastAsia="es-MX"/>
        </w:rPr>
        <w:t xml:space="preserve">enal de </w:t>
      </w:r>
      <w:r>
        <w:rPr>
          <w:rFonts w:eastAsia="Calibri"/>
          <w:color w:val="000000"/>
          <w:lang w:val="es-ES" w:eastAsia="es-MX"/>
        </w:rPr>
        <w:t>P</w:t>
      </w:r>
      <w:r w:rsidRPr="001964D1">
        <w:rPr>
          <w:rFonts w:eastAsia="Calibri"/>
          <w:color w:val="000000"/>
          <w:lang w:val="es-ES" w:eastAsia="es-MX"/>
        </w:rPr>
        <w:t xml:space="preserve">rimera </w:t>
      </w:r>
      <w:r>
        <w:rPr>
          <w:rFonts w:eastAsia="Calibri"/>
          <w:color w:val="000000"/>
          <w:lang w:val="es-ES" w:eastAsia="es-MX"/>
        </w:rPr>
        <w:t>I</w:t>
      </w:r>
      <w:r w:rsidRPr="001964D1">
        <w:rPr>
          <w:rFonts w:eastAsia="Calibri"/>
          <w:color w:val="000000"/>
          <w:lang w:val="es-ES" w:eastAsia="es-MX"/>
        </w:rPr>
        <w:t>nstancia de Toluca, con residencia en Almoloya de Juárez</w:t>
      </w:r>
      <w:r>
        <w:rPr>
          <w:rFonts w:eastAsia="Calibri"/>
          <w:color w:val="000000"/>
          <w:lang w:val="es-ES" w:eastAsia="es-MX"/>
        </w:rPr>
        <w:t>.</w:t>
      </w:r>
    </w:p>
    <w:p w14:paraId="06571D37" w14:textId="1EC040C9" w:rsidR="00D040F5" w:rsidRPr="00D040F5" w:rsidRDefault="00D07A66" w:rsidP="00D07A66">
      <w:pPr>
        <w:pStyle w:val="Citas"/>
        <w:rPr>
          <w:b/>
        </w:rPr>
      </w:pPr>
      <w:r>
        <w:rPr>
          <w:rFonts w:eastAsia="Calibri"/>
          <w:bCs/>
          <w:iCs/>
          <w:lang w:val="es-ES"/>
        </w:rPr>
        <w:t xml:space="preserve">Además, deberá proporcionar el Acuerdo de Clasificación donde el Comité de Transparencia, confirme la eliminación de los datos o información clasificada, en la </w:t>
      </w:r>
      <w:r>
        <w:rPr>
          <w:rFonts w:eastAsia="Calibri"/>
          <w:bCs/>
          <w:iCs/>
          <w:lang w:val="es-ES"/>
        </w:rPr>
        <w:lastRenderedPageBreak/>
        <w:t>versión pública, de conformidad con los artículos 49, fracciones II y VIII; 132, fracción II y 143, fracción I, de la Ley de Transparencia y Acceso a la Información Pública del Estado de México y Municipios.</w:t>
      </w:r>
      <w:r w:rsidR="00D040F5">
        <w:t xml:space="preserve"> </w:t>
      </w:r>
      <w:r w:rsidR="00D040F5">
        <w:rPr>
          <w:b/>
        </w:rPr>
        <w:t>[Sic]</w:t>
      </w:r>
    </w:p>
    <w:p w14:paraId="0347CF8A" w14:textId="77777777" w:rsidR="00494F48" w:rsidRPr="00494F48" w:rsidRDefault="00494F48" w:rsidP="004402F7">
      <w:pPr>
        <w:tabs>
          <w:tab w:val="left" w:pos="709"/>
        </w:tabs>
        <w:spacing w:line="360" w:lineRule="auto"/>
        <w:ind w:right="-3"/>
        <w:jc w:val="both"/>
        <w:rPr>
          <w:rFonts w:ascii="Palatino Linotype" w:hAnsi="Palatino Linotype"/>
          <w:sz w:val="24"/>
          <w:szCs w:val="23"/>
          <w:lang w:val="es-ES"/>
        </w:rPr>
      </w:pPr>
    </w:p>
    <w:p w14:paraId="49AD6CE7" w14:textId="5C5E1F02" w:rsidR="00330955" w:rsidRDefault="00330955" w:rsidP="0033095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Por lo anterior es que se llega al punto en disenso, toda vez que quien suscribe considera que, si bien </w:t>
      </w:r>
      <w:r w:rsidR="00D07A66">
        <w:rPr>
          <w:rFonts w:ascii="Palatino Linotype" w:hAnsi="Palatino Linotype"/>
          <w:lang w:val="es-ES"/>
        </w:rPr>
        <w:t xml:space="preserve">es cierto </w:t>
      </w:r>
      <w:r w:rsidRPr="00F86EDD">
        <w:rPr>
          <w:rFonts w:ascii="Palatino Linotype" w:hAnsi="Palatino Linotype"/>
          <w:lang w:val="es-ES"/>
        </w:rPr>
        <w:t xml:space="preserve">se debe ordenar la entrega de la información solicitada por </w:t>
      </w:r>
      <w:r w:rsidR="00F86EDD" w:rsidRPr="00F86EDD">
        <w:rPr>
          <w:rFonts w:ascii="Palatino Linotype" w:hAnsi="Palatino Linotype"/>
          <w:b/>
          <w:bCs/>
          <w:lang w:val="es-ES"/>
        </w:rPr>
        <w:t xml:space="preserve">la parte </w:t>
      </w:r>
      <w:r w:rsidR="00F86EDD">
        <w:rPr>
          <w:rFonts w:ascii="Palatino Linotype" w:hAnsi="Palatino Linotype"/>
          <w:b/>
          <w:bCs/>
          <w:lang w:val="es-ES"/>
        </w:rPr>
        <w:t>r</w:t>
      </w:r>
      <w:r w:rsidRPr="00F86EDD">
        <w:rPr>
          <w:rFonts w:ascii="Palatino Linotype" w:hAnsi="Palatino Linotype"/>
          <w:b/>
          <w:lang w:val="es-ES"/>
        </w:rPr>
        <w:t>ecurrente</w:t>
      </w:r>
      <w:r w:rsidRPr="00F86EDD">
        <w:rPr>
          <w:rFonts w:ascii="Palatino Linotype" w:hAnsi="Palatino Linotype"/>
          <w:lang w:val="es-ES"/>
        </w:rPr>
        <w:t xml:space="preserve"> en la modalidad solicitada, </w:t>
      </w:r>
      <w:r w:rsidRPr="00F86EDD">
        <w:rPr>
          <w:rFonts w:ascii="Palatino Linotype" w:hAnsi="Palatino Linotype"/>
          <w:b/>
          <w:u w:val="single"/>
          <w:lang w:val="es-ES"/>
        </w:rPr>
        <w:t xml:space="preserve">esto es vía </w:t>
      </w:r>
      <w:r w:rsidR="00D07A66">
        <w:rPr>
          <w:rFonts w:ascii="Palatino Linotype" w:hAnsi="Palatino Linotype"/>
          <w:b/>
          <w:u w:val="single"/>
          <w:lang w:val="es-ES"/>
        </w:rPr>
        <w:t>SAIMEX</w:t>
      </w:r>
      <w:r w:rsidRPr="00F86EDD">
        <w:rPr>
          <w:rFonts w:ascii="Palatino Linotype" w:hAnsi="Palatino Linotype"/>
          <w:lang w:val="es-ES"/>
        </w:rPr>
        <w:t xml:space="preserve">, </w:t>
      </w:r>
      <w:r w:rsidR="00D07A66">
        <w:rPr>
          <w:rFonts w:ascii="Palatino Linotype" w:hAnsi="Palatino Linotype"/>
          <w:lang w:val="es-ES"/>
        </w:rPr>
        <w:t xml:space="preserve">en el caso en particular la información requerida corresponde al ejercicio mil novecientos noventa y nueve, es decir, obra en un formato análogo, resultando necesaria su digitalización. </w:t>
      </w:r>
      <w:r w:rsidRPr="00F86EDD">
        <w:rPr>
          <w:rFonts w:ascii="Palatino Linotype" w:hAnsi="Palatino Linotype"/>
          <w:lang w:val="es-ES"/>
        </w:rPr>
        <w:t xml:space="preserve"> </w:t>
      </w:r>
    </w:p>
    <w:p w14:paraId="3C934ECD" w14:textId="77777777" w:rsidR="00D040F5" w:rsidRPr="00F86EDD" w:rsidRDefault="00D040F5" w:rsidP="00330955">
      <w:pPr>
        <w:pStyle w:val="Sinespaciado"/>
        <w:spacing w:line="360" w:lineRule="auto"/>
        <w:jc w:val="both"/>
        <w:rPr>
          <w:rFonts w:ascii="Palatino Linotype" w:hAnsi="Palatino Linotype"/>
          <w:lang w:val="es-ES"/>
        </w:rPr>
      </w:pPr>
    </w:p>
    <w:p w14:paraId="46EA5EC6" w14:textId="77777777" w:rsidR="007A7D0D" w:rsidRDefault="00D07A66" w:rsidP="00330955">
      <w:pPr>
        <w:tabs>
          <w:tab w:val="left" w:pos="709"/>
        </w:tabs>
        <w:spacing w:after="0" w:line="360" w:lineRule="auto"/>
        <w:ind w:right="51"/>
        <w:jc w:val="both"/>
        <w:rPr>
          <w:rFonts w:ascii="Palatino Linotype" w:hAnsi="Palatino Linotype"/>
          <w:sz w:val="24"/>
          <w:lang w:val="es-ES"/>
        </w:rPr>
      </w:pPr>
      <w:r>
        <w:rPr>
          <w:rFonts w:ascii="Palatino Linotype" w:hAnsi="Palatino Linotype"/>
          <w:sz w:val="24"/>
          <w:lang w:val="es-ES"/>
        </w:rPr>
        <w:t>En este sentido</w:t>
      </w:r>
      <w:r w:rsidR="00330955" w:rsidRPr="00F86EDD">
        <w:rPr>
          <w:rFonts w:ascii="Palatino Linotype" w:hAnsi="Palatino Linotype"/>
          <w:sz w:val="24"/>
          <w:lang w:val="es-ES"/>
        </w:rPr>
        <w:t xml:space="preserve">, desde una perspectiva etimológica la  palabra </w:t>
      </w:r>
      <w:r>
        <w:rPr>
          <w:rFonts w:ascii="Palatino Linotype" w:hAnsi="Palatino Linotype"/>
          <w:sz w:val="24"/>
          <w:lang w:val="es-ES"/>
        </w:rPr>
        <w:t>digitalizar</w:t>
      </w:r>
      <w:r w:rsidR="00330955" w:rsidRPr="00F86EDD">
        <w:rPr>
          <w:rFonts w:ascii="Palatino Linotype" w:hAnsi="Palatino Linotype"/>
          <w:sz w:val="24"/>
          <w:lang w:val="es-ES"/>
        </w:rPr>
        <w:t xml:space="preserve"> proviene </w:t>
      </w:r>
      <w:r>
        <w:rPr>
          <w:rFonts w:ascii="Palatino Linotype" w:hAnsi="Palatino Linotype"/>
          <w:sz w:val="24"/>
          <w:lang w:val="es-ES"/>
        </w:rPr>
        <w:t xml:space="preserve">de los componentes léxicos </w:t>
      </w:r>
      <w:proofErr w:type="spellStart"/>
      <w:r w:rsidR="007A7D0D">
        <w:rPr>
          <w:rFonts w:ascii="Palatino Linotype" w:hAnsi="Palatino Linotype"/>
          <w:b/>
          <w:i/>
          <w:sz w:val="24"/>
          <w:lang w:val="es-ES"/>
        </w:rPr>
        <w:t>digitalis</w:t>
      </w:r>
      <w:proofErr w:type="spellEnd"/>
      <w:r w:rsidR="007A7D0D">
        <w:rPr>
          <w:rFonts w:ascii="Palatino Linotype" w:hAnsi="Palatino Linotype"/>
          <w:b/>
          <w:i/>
          <w:sz w:val="24"/>
          <w:lang w:val="es-ES"/>
        </w:rPr>
        <w:t xml:space="preserve"> </w:t>
      </w:r>
      <w:r w:rsidR="007A7D0D">
        <w:rPr>
          <w:rFonts w:ascii="Palatino Linotype" w:hAnsi="Palatino Linotype"/>
          <w:sz w:val="24"/>
          <w:lang w:val="es-ES"/>
        </w:rPr>
        <w:t xml:space="preserve">(dedo) y </w:t>
      </w:r>
      <w:proofErr w:type="spellStart"/>
      <w:r w:rsidR="007A7D0D">
        <w:rPr>
          <w:rFonts w:ascii="Palatino Linotype" w:hAnsi="Palatino Linotype"/>
          <w:b/>
          <w:i/>
          <w:sz w:val="24"/>
          <w:lang w:val="es-ES"/>
        </w:rPr>
        <w:t>digitus</w:t>
      </w:r>
      <w:proofErr w:type="spellEnd"/>
      <w:r w:rsidR="007A7D0D">
        <w:rPr>
          <w:rFonts w:ascii="Palatino Linotype" w:hAnsi="Palatino Linotype"/>
          <w:b/>
          <w:i/>
          <w:sz w:val="24"/>
          <w:lang w:val="es-ES"/>
        </w:rPr>
        <w:t xml:space="preserve"> </w:t>
      </w:r>
      <w:r w:rsidR="007A7D0D">
        <w:rPr>
          <w:rFonts w:ascii="Palatino Linotype" w:hAnsi="Palatino Linotype"/>
          <w:sz w:val="24"/>
          <w:lang w:val="es-ES"/>
        </w:rPr>
        <w:t xml:space="preserve">(sistema numeral a base de diez). Asimismo, la Real Academia Española la define como: </w:t>
      </w:r>
    </w:p>
    <w:p w14:paraId="393E549D" w14:textId="20189C79" w:rsidR="007A7D0D" w:rsidRDefault="00330955" w:rsidP="007A7D0D">
      <w:pPr>
        <w:pStyle w:val="Citas"/>
        <w:spacing w:line="240" w:lineRule="auto"/>
        <w:rPr>
          <w:lang w:val="es-ES"/>
        </w:rPr>
      </w:pPr>
      <w:r w:rsidRPr="00F86EDD">
        <w:rPr>
          <w:lang w:val="es-ES"/>
        </w:rPr>
        <w:t xml:space="preserve">“1. </w:t>
      </w:r>
      <w:r w:rsidR="007A7D0D">
        <w:rPr>
          <w:lang w:val="es-ES"/>
        </w:rPr>
        <w:t xml:space="preserve">Registrar datos en forma digital. </w:t>
      </w:r>
    </w:p>
    <w:p w14:paraId="7ADB6D9F" w14:textId="5EEF51CA" w:rsidR="00330955" w:rsidRPr="00F86EDD" w:rsidRDefault="007A7D0D" w:rsidP="007A7D0D">
      <w:pPr>
        <w:pStyle w:val="Citas"/>
        <w:spacing w:line="240" w:lineRule="auto"/>
        <w:rPr>
          <w:lang w:val="es-ES"/>
        </w:rPr>
      </w:pPr>
      <w:r>
        <w:rPr>
          <w:lang w:val="es-ES"/>
        </w:rPr>
        <w:t xml:space="preserve">2. Convertir o codificar en números dígitos datos o informaciones de carácter continuo, como una imagen fotográfica, un documento o un libro” </w:t>
      </w:r>
      <w:r>
        <w:rPr>
          <w:b/>
          <w:lang w:val="es-ES"/>
        </w:rPr>
        <w:t xml:space="preserve">[Sic] </w:t>
      </w:r>
      <w:r w:rsidR="00330955" w:rsidRPr="00F86EDD">
        <w:rPr>
          <w:lang w:val="es-ES"/>
        </w:rPr>
        <w:t xml:space="preserve"> </w:t>
      </w:r>
    </w:p>
    <w:p w14:paraId="0714059E" w14:textId="77777777" w:rsidR="00330955" w:rsidRPr="00F86EDD" w:rsidRDefault="00330955" w:rsidP="007A7D0D">
      <w:pPr>
        <w:pStyle w:val="Citas"/>
        <w:rPr>
          <w:rStyle w:val="nfasis"/>
          <w:rFonts w:eastAsia="Arial Unicode MS" w:cs="Arial Unicode MS"/>
          <w:i/>
          <w:spacing w:val="4"/>
        </w:rPr>
      </w:pPr>
    </w:p>
    <w:p w14:paraId="0A2F5FD0" w14:textId="3DC799F4" w:rsidR="007A7D0D"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w:t>
      </w:r>
      <w:r w:rsidR="007A7D0D">
        <w:rPr>
          <w:rFonts w:ascii="Palatino Linotype" w:hAnsi="Palatino Linotype" w:cs="Arial"/>
          <w:szCs w:val="22"/>
        </w:rPr>
        <w:t xml:space="preserve">Marcela Vázquez (2019), en la obra </w:t>
      </w:r>
      <w:r w:rsidR="007A7D0D">
        <w:rPr>
          <w:rFonts w:ascii="Palatino Linotype" w:hAnsi="Palatino Linotype" w:cs="Arial"/>
          <w:i/>
          <w:szCs w:val="22"/>
        </w:rPr>
        <w:t>“Diccionario de Transparencia y Acceso a la Información Pública”</w:t>
      </w:r>
      <w:r w:rsidR="00D37D83">
        <w:rPr>
          <w:rFonts w:ascii="Palatino Linotype" w:hAnsi="Palatino Linotype" w:cs="Arial"/>
          <w:i/>
          <w:szCs w:val="22"/>
        </w:rPr>
        <w:t xml:space="preserve">, </w:t>
      </w:r>
      <w:r w:rsidR="00D37D83">
        <w:rPr>
          <w:rFonts w:ascii="Palatino Linotype" w:hAnsi="Palatino Linotype" w:cs="Arial"/>
          <w:szCs w:val="22"/>
        </w:rPr>
        <w:t xml:space="preserve">delimita las fronteras conceptuales de la </w:t>
      </w:r>
      <w:r w:rsidR="00D37D83" w:rsidRPr="00D37D83">
        <w:rPr>
          <w:rFonts w:ascii="Palatino Linotype" w:hAnsi="Palatino Linotype" w:cs="Arial"/>
          <w:b/>
          <w:i/>
          <w:szCs w:val="22"/>
        </w:rPr>
        <w:t>digitalización de la información pública</w:t>
      </w:r>
      <w:r w:rsidR="00D37D83">
        <w:rPr>
          <w:rFonts w:ascii="Palatino Linotype" w:hAnsi="Palatino Linotype" w:cs="Arial"/>
          <w:b/>
          <w:szCs w:val="22"/>
        </w:rPr>
        <w:t xml:space="preserve"> </w:t>
      </w:r>
      <w:r w:rsidR="00D37D83">
        <w:rPr>
          <w:rFonts w:ascii="Palatino Linotype" w:hAnsi="Palatino Linotype" w:cs="Arial"/>
          <w:szCs w:val="22"/>
        </w:rPr>
        <w:t xml:space="preserve">en los siguientes términos: </w:t>
      </w:r>
    </w:p>
    <w:p w14:paraId="56DED614" w14:textId="615DC204" w:rsidR="00D37D83" w:rsidRPr="00D37D83" w:rsidRDefault="00D37D83" w:rsidP="00D37D83">
      <w:pPr>
        <w:pStyle w:val="Citas"/>
        <w:spacing w:line="240" w:lineRule="auto"/>
        <w:rPr>
          <w:b/>
        </w:rPr>
      </w:pPr>
      <w:r w:rsidRPr="00D37D83">
        <w:lastRenderedPageBreak/>
        <w:t>“Conversión de documentos físicos (impresos o en medios magnéticos, que contienen información pública) en documentos digitales. La política de digitalización tiene como objetivo lograr que la información en posesión de los sujetos obligados sea accesible a partir del uso de las tecnologías de la información y con la implementación de los ajustes razonables, para lograr de forma efectiva el pleno acceso a la información.</w:t>
      </w:r>
      <w:r>
        <w:t xml:space="preserve">” </w:t>
      </w:r>
      <w:r>
        <w:rPr>
          <w:b/>
        </w:rPr>
        <w:t xml:space="preserve">[Sic] </w:t>
      </w:r>
    </w:p>
    <w:p w14:paraId="5400073D" w14:textId="77777777" w:rsidR="007A7D0D" w:rsidRDefault="007A7D0D" w:rsidP="00330955">
      <w:pPr>
        <w:pStyle w:val="Prrafodelista"/>
        <w:autoSpaceDE w:val="0"/>
        <w:autoSpaceDN w:val="0"/>
        <w:adjustRightInd w:val="0"/>
        <w:spacing w:line="360" w:lineRule="auto"/>
        <w:ind w:left="0"/>
        <w:jc w:val="both"/>
        <w:rPr>
          <w:rFonts w:ascii="Palatino Linotype" w:hAnsi="Palatino Linotype" w:cs="Arial"/>
          <w:szCs w:val="22"/>
        </w:rPr>
      </w:pPr>
    </w:p>
    <w:p w14:paraId="64E8EC3E" w14:textId="26E9ABD8" w:rsidR="00D37D83"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De esta manera se arriba a la premisa de que la </w:t>
      </w:r>
      <w:r w:rsidR="00D37D83">
        <w:rPr>
          <w:rFonts w:ascii="Palatino Linotype" w:hAnsi="Palatino Linotype"/>
          <w:sz w:val="24"/>
          <w:lang w:val="es-ES"/>
        </w:rPr>
        <w:t xml:space="preserve">digitalización de la información pública es un acto materialmente administrativo, emitido por autoridad competente, mediante el cual convierte un documento físico o analógico en un soporte documental de formato digital. </w:t>
      </w:r>
    </w:p>
    <w:p w14:paraId="1F3A9BF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p>
    <w:p w14:paraId="267F4A7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Una vez sentado lo anterior, resulta oportuno traer a colación el artículo 31, fracción IV, de la Constitución Política de los Estados Unidos Mexicanos cuyo contenido literal es el siguiente:</w:t>
      </w:r>
    </w:p>
    <w:p w14:paraId="7C59C133" w14:textId="77777777" w:rsidR="005E2445" w:rsidRPr="00F86EDD" w:rsidRDefault="005E2445" w:rsidP="00D040F5">
      <w:pPr>
        <w:pStyle w:val="Citas"/>
        <w:spacing w:line="240" w:lineRule="auto"/>
        <w:rPr>
          <w:lang w:val="es-ES"/>
        </w:rPr>
      </w:pPr>
      <w:r w:rsidRPr="00F86EDD">
        <w:rPr>
          <w:lang w:val="es-ES"/>
        </w:rPr>
        <w:t>“Artícul</w:t>
      </w:r>
      <w:r w:rsidRPr="00F86EDD">
        <w:rPr>
          <w:rStyle w:val="highlight"/>
          <w:iCs/>
          <w:lang w:val="es-ES"/>
        </w:rPr>
        <w:t>o 31</w:t>
      </w:r>
      <w:r w:rsidRPr="00F86EDD">
        <w:rPr>
          <w:lang w:val="es-ES"/>
        </w:rPr>
        <w:t>.Son obligaciones de los mexicanos:</w:t>
      </w:r>
    </w:p>
    <w:p w14:paraId="1A55C448" w14:textId="77777777" w:rsidR="005E2445" w:rsidRPr="00F86EDD" w:rsidRDefault="005E2445" w:rsidP="00D040F5">
      <w:pPr>
        <w:pStyle w:val="Citas"/>
        <w:spacing w:line="240" w:lineRule="auto"/>
        <w:rPr>
          <w:lang w:val="es-ES"/>
        </w:rPr>
      </w:pPr>
      <w:r w:rsidRPr="00F86EDD">
        <w:rPr>
          <w:lang w:val="es-ES"/>
        </w:rPr>
        <w:t>(…)</w:t>
      </w:r>
    </w:p>
    <w:p w14:paraId="6757B048" w14:textId="77777777" w:rsidR="005E2445" w:rsidRPr="00F86EDD" w:rsidRDefault="005E2445" w:rsidP="00D040F5">
      <w:pPr>
        <w:pStyle w:val="Citas"/>
        <w:spacing w:line="240" w:lineRule="auto"/>
        <w:rPr>
          <w:b/>
          <w:bCs/>
          <w:u w:val="single"/>
          <w:lang w:val="es-ES"/>
        </w:rPr>
      </w:pPr>
      <w:r w:rsidRPr="00F86EDD">
        <w:rPr>
          <w:b/>
          <w:bCs/>
          <w:u w:val="single"/>
          <w:lang w:val="es-ES"/>
        </w:rPr>
        <w:t>IV. Contribuir para los gastos públicos, así de la Federación, como de los Estados, de la Ciudad de México y del Municipio en que residan, de la manera proporcional y equitativa que dispongan las leyes</w:t>
      </w:r>
    </w:p>
    <w:p w14:paraId="2A12A7DA" w14:textId="77777777" w:rsidR="005E2445" w:rsidRPr="00F86EDD" w:rsidRDefault="005E2445" w:rsidP="00D040F5">
      <w:pPr>
        <w:pStyle w:val="Citas"/>
        <w:spacing w:line="240" w:lineRule="auto"/>
        <w:rPr>
          <w:b/>
          <w:bCs/>
          <w:lang w:val="es-ES"/>
        </w:rPr>
      </w:pPr>
      <w:r w:rsidRPr="00F86EDD">
        <w:rPr>
          <w:lang w:val="es-ES"/>
        </w:rPr>
        <w:t xml:space="preserve">(…)” </w:t>
      </w:r>
      <w:r w:rsidRPr="00F86EDD">
        <w:rPr>
          <w:b/>
          <w:bCs/>
          <w:lang w:val="es-ES"/>
        </w:rPr>
        <w:t>[Sic]</w:t>
      </w:r>
    </w:p>
    <w:p w14:paraId="28BE2D0A" w14:textId="77777777" w:rsidR="005E2445" w:rsidRDefault="005E2445" w:rsidP="005E2445">
      <w:pPr>
        <w:spacing w:after="0" w:line="240" w:lineRule="auto"/>
        <w:ind w:left="851" w:right="851"/>
        <w:jc w:val="both"/>
        <w:rPr>
          <w:rFonts w:ascii="Palatino Linotype" w:hAnsi="Palatino Linotype"/>
          <w:b/>
          <w:bCs/>
          <w:i/>
          <w:iCs/>
          <w:lang w:val="es-ES"/>
        </w:rPr>
      </w:pPr>
    </w:p>
    <w:p w14:paraId="7A42E683" w14:textId="77777777" w:rsidR="00D040F5" w:rsidRPr="00F86EDD" w:rsidRDefault="00D040F5" w:rsidP="005E2445">
      <w:pPr>
        <w:spacing w:after="0" w:line="240" w:lineRule="auto"/>
        <w:ind w:left="851" w:right="851"/>
        <w:jc w:val="both"/>
        <w:rPr>
          <w:rFonts w:ascii="Palatino Linotype" w:hAnsi="Palatino Linotype"/>
          <w:b/>
          <w:bCs/>
          <w:i/>
          <w:iCs/>
          <w:lang w:val="es-ES"/>
        </w:rPr>
      </w:pPr>
    </w:p>
    <w:p w14:paraId="22D2A01E" w14:textId="77777777" w:rsidR="005E2445" w:rsidRPr="00F86EDD" w:rsidRDefault="005E2445" w:rsidP="005E2445">
      <w:pPr>
        <w:spacing w:after="0" w:line="360" w:lineRule="auto"/>
        <w:jc w:val="both"/>
        <w:rPr>
          <w:rFonts w:ascii="Palatino Linotype" w:hAnsi="Palatino Linotype"/>
          <w:sz w:val="24"/>
          <w:lang w:val="es-ES"/>
        </w:rPr>
      </w:pPr>
      <w:r w:rsidRPr="00F86EDD">
        <w:rPr>
          <w:rFonts w:ascii="Palatino Linotype" w:hAnsi="Palatino Linotype"/>
          <w:sz w:val="24"/>
          <w:lang w:val="es-ES"/>
        </w:rPr>
        <w:lastRenderedPageBreak/>
        <w:t>En atención a lo descrito, resulta inconcusa la existencia de una obligación impuesta por nuestra Carta Magna a todo ciudadano mexicano para contribuir a los gastos públicos, lo anterior en atención a los principios de:</w:t>
      </w:r>
    </w:p>
    <w:p w14:paraId="05555D51" w14:textId="77777777" w:rsidR="005E2445" w:rsidRPr="00F86EDD" w:rsidRDefault="005E2445" w:rsidP="005E2445">
      <w:pPr>
        <w:spacing w:after="0" w:line="360" w:lineRule="auto"/>
        <w:jc w:val="both"/>
        <w:rPr>
          <w:rFonts w:ascii="Palatino Linotype" w:hAnsi="Palatino Linotype"/>
          <w:sz w:val="24"/>
          <w:lang w:val="es-ES"/>
        </w:rPr>
      </w:pPr>
    </w:p>
    <w:p w14:paraId="36E9ABAB"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Proporcionalidad:</w:t>
      </w:r>
      <w:r w:rsidRPr="00F86EDD">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3D6B7E4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szCs w:val="22"/>
        </w:rPr>
        <w:t xml:space="preserve"> </w:t>
      </w:r>
      <w:r w:rsidRPr="00F86EDD">
        <w:rPr>
          <w:rFonts w:ascii="Palatino Linotype" w:hAnsi="Palatino Linotype"/>
          <w:b/>
          <w:szCs w:val="22"/>
        </w:rPr>
        <w:t>Equidad:</w:t>
      </w:r>
      <w:r w:rsidRPr="00F86EDD">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5FD89514"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Destino:</w:t>
      </w:r>
      <w:r w:rsidRPr="00F86EDD">
        <w:rPr>
          <w:rFonts w:ascii="Palatino Linotype" w:hAnsi="Palatino Linotype"/>
          <w:szCs w:val="22"/>
        </w:rPr>
        <w:t xml:space="preserve"> Para el sostenimiento de los gastos públicos. </w:t>
      </w:r>
    </w:p>
    <w:p w14:paraId="12DC02F3"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Legalidad:</w:t>
      </w:r>
      <w:r w:rsidRPr="00F86EDD">
        <w:rPr>
          <w:rFonts w:ascii="Palatino Linotype" w:hAnsi="Palatino Linotype"/>
          <w:szCs w:val="22"/>
        </w:rPr>
        <w:t xml:space="preserve"> La contribución invariablemente debe de estar prevista en ley. </w:t>
      </w:r>
    </w:p>
    <w:p w14:paraId="1D69E03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Época de pago:</w:t>
      </w:r>
      <w:r w:rsidRPr="00F86EDD">
        <w:rPr>
          <w:rFonts w:ascii="Palatino Linotype" w:hAnsi="Palatino Linotype"/>
          <w:szCs w:val="22"/>
        </w:rPr>
        <w:t xml:space="preserve"> Conforme a lo establecido en la normatividad aplicable. </w:t>
      </w:r>
    </w:p>
    <w:p w14:paraId="01CBAA2D" w14:textId="77777777" w:rsidR="005E2445" w:rsidRPr="00F86EDD" w:rsidRDefault="005E2445" w:rsidP="005E2445">
      <w:pPr>
        <w:pStyle w:val="Sinespaciado"/>
        <w:spacing w:line="360" w:lineRule="auto"/>
        <w:jc w:val="both"/>
        <w:rPr>
          <w:rFonts w:ascii="Palatino Linotype" w:hAnsi="Palatino Linotype"/>
          <w:sz w:val="28"/>
          <w:lang w:val="es-ES"/>
        </w:rPr>
      </w:pPr>
    </w:p>
    <w:p w14:paraId="7D4C2E0D" w14:textId="77777777" w:rsidR="005E2445" w:rsidRPr="00F86EDD" w:rsidRDefault="005E2445" w:rsidP="005E244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En este tenor, es menester tomar en cuenta lo dispuesto por el Código Financiero del Estado de México y Municipios, el cual </w:t>
      </w:r>
      <w:r w:rsidRPr="00F86EDD">
        <w:rPr>
          <w:rFonts w:ascii="Palatino Linotype" w:hAnsi="Palatino Linotype"/>
          <w:b/>
          <w:u w:val="single"/>
          <w:lang w:val="es-ES"/>
        </w:rPr>
        <w:t>regula la actividad financiera</w:t>
      </w:r>
      <w:r w:rsidRPr="00F86EDD">
        <w:rPr>
          <w:rFonts w:ascii="Palatino Linotype" w:hAnsi="Palatino Linotype"/>
          <w:lang w:val="es-ES"/>
        </w:rPr>
        <w:t xml:space="preserve"> </w:t>
      </w:r>
      <w:r w:rsidRPr="004C3DCE">
        <w:rPr>
          <w:rFonts w:ascii="Palatino Linotype" w:hAnsi="Palatino Linotype"/>
          <w:b/>
          <w:u w:val="single"/>
          <w:lang w:val="es-ES"/>
        </w:rPr>
        <w:t>estatal y</w:t>
      </w:r>
      <w:r w:rsidRPr="00F86EDD">
        <w:rPr>
          <w:rFonts w:ascii="Palatino Linotype" w:hAnsi="Palatino Linotype"/>
          <w:lang w:val="es-ES"/>
        </w:rPr>
        <w:t xml:space="preserve"> </w:t>
      </w:r>
      <w:r w:rsidRPr="00F86EDD">
        <w:rPr>
          <w:rFonts w:ascii="Palatino Linotype" w:hAnsi="Palatino Linotype"/>
          <w:b/>
          <w:u w:val="single"/>
          <w:lang w:val="es-ES"/>
        </w:rPr>
        <w:t>municipal</w:t>
      </w:r>
      <w:r w:rsidRPr="00F86EDD">
        <w:rPr>
          <w:rFonts w:ascii="Palatino Linotype" w:hAnsi="Palatino Linotype"/>
          <w:lang w:val="es-ES"/>
        </w:rPr>
        <w:t xml:space="preserve">, </w:t>
      </w:r>
      <w:r w:rsidRPr="00F86EDD">
        <w:rPr>
          <w:rFonts w:ascii="Palatino Linotype" w:hAnsi="Palatino Linotype"/>
          <w:b/>
          <w:u w:val="single"/>
          <w:lang w:val="es-ES"/>
        </w:rPr>
        <w:t>entendiendo a dicha actividad la que comprende la obtención</w:t>
      </w:r>
      <w:r w:rsidRPr="00F86EDD">
        <w:rPr>
          <w:rFonts w:ascii="Palatino Linotype" w:hAnsi="Palatino Linotype"/>
          <w:lang w:val="es-ES"/>
        </w:rPr>
        <w:t xml:space="preserve">, administración y aplicación </w:t>
      </w:r>
      <w:r w:rsidRPr="00F86EDD">
        <w:rPr>
          <w:rFonts w:ascii="Palatino Linotype" w:hAnsi="Palatino Linotype"/>
          <w:b/>
          <w:u w:val="single"/>
          <w:lang w:val="es-ES"/>
        </w:rPr>
        <w:t>de los ingresos públicos</w:t>
      </w:r>
      <w:r w:rsidRPr="00F86EDD">
        <w:rPr>
          <w:rFonts w:ascii="Palatino Linotype" w:hAnsi="Palatino Linotype"/>
          <w:lang w:val="es-ES"/>
        </w:rPr>
        <w:t>, así como lo conducente a la transparencia y difusión de la información financiera relativa a la presupuestario, ejercicio, evaluación y rendición de cuentas, en apego a las disposiciones aplicables en la materia.</w:t>
      </w:r>
    </w:p>
    <w:p w14:paraId="172B41F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lastRenderedPageBreak/>
        <w:t xml:space="preserve">Por tanto, se tiene que el artículo 7, del Código referido establece que </w:t>
      </w:r>
      <w:r w:rsidRPr="00F86EDD">
        <w:rPr>
          <w:rFonts w:ascii="Palatino Linotype" w:hAnsi="Palatino Linotype"/>
          <w:b/>
          <w:u w:val="single"/>
          <w:lang w:val="es-ES"/>
        </w:rPr>
        <w:t>para cubrir el gasto público y demás obligaciones a su cargo</w:t>
      </w:r>
      <w:r w:rsidRPr="00F86EDD">
        <w:rPr>
          <w:rFonts w:ascii="Palatino Linotype" w:hAnsi="Palatino Linotype"/>
          <w:lang w:val="es-ES"/>
        </w:rPr>
        <w:t xml:space="preserve">, el Estado y los Municipios percibirán en cada ejercicio fiscal los impuestos, </w:t>
      </w:r>
      <w:r w:rsidRPr="00F86EDD">
        <w:rPr>
          <w:rFonts w:ascii="Palatino Linotype" w:hAnsi="Palatino Linotype"/>
          <w:b/>
          <w:u w:val="single"/>
          <w:lang w:val="es-ES"/>
        </w:rPr>
        <w:t>derechos</w:t>
      </w:r>
      <w:r w:rsidRPr="00F86EDD">
        <w:rPr>
          <w:rFonts w:ascii="Palatino Linotype" w:hAnsi="Palatino Linotype"/>
          <w:lang w:val="es-ES"/>
        </w:rPr>
        <w:t xml:space="preserve">, aportaciones de mejoras, productos, aprovechamientos, ingresos derivados de la coordinación hacendaria, e ingresos provenientes de financiamientos, </w:t>
      </w:r>
      <w:r w:rsidRPr="00F86EDD">
        <w:rPr>
          <w:rFonts w:ascii="Palatino Linotype" w:hAnsi="Palatino Linotype"/>
          <w:b/>
          <w:u w:val="single"/>
          <w:lang w:val="es-ES"/>
        </w:rPr>
        <w:t>establecidos en la Ley de ingresos</w:t>
      </w:r>
      <w:r w:rsidRPr="00F86EDD">
        <w:rPr>
          <w:rFonts w:ascii="Palatino Linotype" w:hAnsi="Palatino Linotype"/>
          <w:lang w:val="es-ES"/>
        </w:rPr>
        <w:t xml:space="preserve">. </w:t>
      </w:r>
    </w:p>
    <w:p w14:paraId="718E6F7A"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005797DB" w14:textId="77777777" w:rsidR="005E2445" w:rsidRPr="00F86EDD" w:rsidRDefault="005E2445" w:rsidP="005E2445">
      <w:pPr>
        <w:pStyle w:val="Sinespaciado"/>
        <w:spacing w:line="360" w:lineRule="auto"/>
        <w:ind w:firstLine="1"/>
        <w:jc w:val="both"/>
        <w:rPr>
          <w:rFonts w:ascii="Palatino Linotype" w:hAnsi="Palatino Linotype"/>
          <w:u w:val="single"/>
          <w:lang w:val="es-ES"/>
        </w:rPr>
      </w:pPr>
      <w:r w:rsidRPr="00F86EDD">
        <w:rPr>
          <w:rFonts w:ascii="Palatino Linotype" w:hAnsi="Palatino Linotype"/>
          <w:lang w:val="es-ES"/>
        </w:rPr>
        <w:t xml:space="preserve">Asimismo, </w:t>
      </w:r>
      <w:r w:rsidRPr="00F86EDD">
        <w:rPr>
          <w:rFonts w:ascii="Palatino Linotype" w:hAnsi="Palatino Linotype"/>
          <w:b/>
          <w:u w:val="single"/>
          <w:lang w:val="es-ES"/>
        </w:rPr>
        <w:t>el artículo 9, en su fracción II, define a los derechos como las contraprestaciones establecidos en este Código que deben pagar las personas físicas y jurídicas colectivas</w:t>
      </w:r>
      <w:r w:rsidRPr="00F86EDD">
        <w:rPr>
          <w:rFonts w:ascii="Palatino Linotype" w:hAnsi="Palatino Linotype"/>
          <w:lang w:val="es-ES"/>
        </w:rPr>
        <w:t xml:space="preserve">, por el uso o aprovechamiento de los bienes del domino público de la Entidad, así como </w:t>
      </w:r>
      <w:r w:rsidRPr="00F86EDD">
        <w:rPr>
          <w:rFonts w:ascii="Palatino Linotype" w:hAnsi="Palatino Linotype"/>
          <w:b/>
          <w:u w:val="single"/>
          <w:lang w:val="es-ES"/>
        </w:rPr>
        <w:t>por recibir servicios que preste</w:t>
      </w:r>
      <w:r w:rsidRPr="00F86EDD">
        <w:rPr>
          <w:rFonts w:ascii="Palatino Linotype" w:hAnsi="Palatino Linotype"/>
          <w:u w:val="single"/>
          <w:lang w:val="es-ES"/>
        </w:rPr>
        <w:t xml:space="preserve">, </w:t>
      </w:r>
      <w:r w:rsidRPr="00F86EDD">
        <w:rPr>
          <w:rFonts w:ascii="Palatino Linotype" w:hAnsi="Palatino Linotype"/>
          <w:b/>
          <w:u w:val="single"/>
          <w:lang w:val="es-ES"/>
        </w:rPr>
        <w:t>el Estado, sus organismos y</w:t>
      </w:r>
      <w:r w:rsidRPr="00F86EDD">
        <w:rPr>
          <w:rFonts w:ascii="Palatino Linotype" w:hAnsi="Palatino Linotype"/>
          <w:u w:val="single"/>
          <w:lang w:val="es-ES"/>
        </w:rPr>
        <w:t xml:space="preserve"> </w:t>
      </w:r>
      <w:r w:rsidRPr="00F86EDD">
        <w:rPr>
          <w:rFonts w:ascii="Palatino Linotype" w:hAnsi="Palatino Linotype"/>
          <w:b/>
          <w:u w:val="single"/>
          <w:lang w:val="es-ES"/>
        </w:rPr>
        <w:t>Municipios en funciones de derecho público</w:t>
      </w:r>
      <w:r w:rsidRPr="00F86EDD">
        <w:rPr>
          <w:rFonts w:ascii="Palatino Linotype" w:hAnsi="Palatino Linotype"/>
          <w:u w:val="single"/>
          <w:lang w:val="es-ES"/>
        </w:rPr>
        <w:t>.</w:t>
      </w:r>
    </w:p>
    <w:p w14:paraId="3B695BD7"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53F5122F" w14:textId="6D725369" w:rsidR="004402F7" w:rsidRPr="00F86EDD" w:rsidRDefault="005E2445" w:rsidP="004402F7">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 xml:space="preserve">En este sentido, la modalidad seleccionada por </w:t>
      </w:r>
      <w:r w:rsidR="00F86EDD">
        <w:rPr>
          <w:rFonts w:ascii="Palatino Linotype" w:hAnsi="Palatino Linotype"/>
          <w:b/>
          <w:sz w:val="24"/>
          <w:szCs w:val="24"/>
          <w:lang w:val="es-ES"/>
        </w:rPr>
        <w:t>la parte</w:t>
      </w:r>
      <w:r w:rsidRPr="00F86EDD">
        <w:rPr>
          <w:rFonts w:ascii="Palatino Linotype" w:hAnsi="Palatino Linotype"/>
          <w:b/>
          <w:sz w:val="24"/>
          <w:szCs w:val="24"/>
          <w:lang w:val="es-ES"/>
        </w:rPr>
        <w:t xml:space="preserve"> </w:t>
      </w:r>
      <w:r w:rsidR="00F86EDD">
        <w:rPr>
          <w:rFonts w:ascii="Palatino Linotype" w:hAnsi="Palatino Linotype"/>
          <w:b/>
          <w:sz w:val="24"/>
          <w:szCs w:val="24"/>
          <w:lang w:val="es-ES"/>
        </w:rPr>
        <w:t>r</w:t>
      </w:r>
      <w:r w:rsidRPr="00F86EDD">
        <w:rPr>
          <w:rFonts w:ascii="Palatino Linotype" w:hAnsi="Palatino Linotype"/>
          <w:b/>
          <w:sz w:val="24"/>
          <w:szCs w:val="24"/>
          <w:lang w:val="es-ES"/>
        </w:rPr>
        <w:t xml:space="preserve">ecurrente </w:t>
      </w:r>
      <w:r w:rsidRPr="00F86EDD">
        <w:rPr>
          <w:rFonts w:ascii="Palatino Linotype" w:hAnsi="Palatino Linotype"/>
          <w:sz w:val="24"/>
          <w:szCs w:val="24"/>
          <w:lang w:val="es-ES"/>
        </w:rPr>
        <w:t xml:space="preserve">se encuentra regulada por el Código Financiero del Estado de México y Municipios en su artículo 73, fracción </w:t>
      </w:r>
      <w:r w:rsidR="00D37D83">
        <w:rPr>
          <w:rFonts w:ascii="Palatino Linotype" w:hAnsi="Palatino Linotype"/>
          <w:sz w:val="24"/>
          <w:szCs w:val="24"/>
          <w:lang w:val="es-ES"/>
        </w:rPr>
        <w:t>V</w:t>
      </w:r>
      <w:r w:rsidRPr="00F86EDD">
        <w:rPr>
          <w:rFonts w:ascii="Palatino Linotype" w:hAnsi="Palatino Linotype"/>
          <w:sz w:val="24"/>
          <w:szCs w:val="24"/>
          <w:lang w:val="es-ES"/>
        </w:rPr>
        <w:t xml:space="preserve">I, aplicable al </w:t>
      </w:r>
      <w:r w:rsidRPr="00F86EDD">
        <w:rPr>
          <w:rFonts w:ascii="Palatino Linotype" w:hAnsi="Palatino Linotype"/>
          <w:b/>
          <w:bCs/>
          <w:sz w:val="24"/>
          <w:szCs w:val="24"/>
          <w:lang w:val="es-ES"/>
        </w:rPr>
        <w:t>Sujeto Obligado</w:t>
      </w:r>
      <w:r w:rsidRPr="00F86EDD">
        <w:rPr>
          <w:rFonts w:ascii="Palatino Linotype" w:hAnsi="Palatino Linotype"/>
          <w:sz w:val="24"/>
          <w:szCs w:val="24"/>
          <w:lang w:val="es-ES"/>
        </w:rPr>
        <w:t xml:space="preserve"> al estar incluido en el Capítulo II “De los Derechos” del Título Tercero “De los Ingresos del Estado”, porción normativa que dispone a la literalidad lo siguiente:</w:t>
      </w:r>
    </w:p>
    <w:p w14:paraId="2F247F97" w14:textId="77777777" w:rsidR="005E2445" w:rsidRPr="00F86EDD" w:rsidRDefault="005E2445" w:rsidP="00D040F5">
      <w:pPr>
        <w:pStyle w:val="Citas"/>
        <w:spacing w:line="240" w:lineRule="auto"/>
      </w:pPr>
      <w:r w:rsidRPr="00F86EDD">
        <w:rPr>
          <w:b/>
        </w:rPr>
        <w:t xml:space="preserve">“Artículo 73.- </w:t>
      </w:r>
      <w:r w:rsidRPr="00F86EDD">
        <w:t xml:space="preserve">Por la expedición de los siguientes documentos se pagarán: </w:t>
      </w:r>
    </w:p>
    <w:p w14:paraId="263FA364" w14:textId="77777777" w:rsidR="005E2445" w:rsidRPr="00F86EDD" w:rsidRDefault="005E2445" w:rsidP="00D040F5">
      <w:pPr>
        <w:pStyle w:val="Citas"/>
        <w:spacing w:line="240" w:lineRule="auto"/>
      </w:pPr>
      <w:r w:rsidRPr="00F86EDD">
        <w:t>TARIFA</w:t>
      </w:r>
    </w:p>
    <w:p w14:paraId="33E93753" w14:textId="0D131300" w:rsidR="005E2445" w:rsidRPr="00F86EDD" w:rsidRDefault="005E2445" w:rsidP="00D040F5">
      <w:pPr>
        <w:pStyle w:val="Citas"/>
        <w:spacing w:line="240" w:lineRule="auto"/>
      </w:pPr>
      <w:r w:rsidRPr="00F86EDD">
        <w:rPr>
          <w:b/>
        </w:rPr>
        <w:t xml:space="preserve">Concepto                                                     </w:t>
      </w:r>
    </w:p>
    <w:p w14:paraId="14FC2F91" w14:textId="7C903998" w:rsidR="005E2445" w:rsidRDefault="00D37D83" w:rsidP="00D040F5">
      <w:pPr>
        <w:pStyle w:val="Citas"/>
        <w:spacing w:line="240" w:lineRule="auto"/>
      </w:pPr>
      <w:r>
        <w:t>(…)</w:t>
      </w:r>
    </w:p>
    <w:p w14:paraId="4BADF193" w14:textId="1BE0CB30" w:rsidR="005E2445" w:rsidRPr="00F86EDD" w:rsidRDefault="00D37D83" w:rsidP="00D040F5">
      <w:pPr>
        <w:pStyle w:val="Citas"/>
        <w:spacing w:line="240" w:lineRule="auto"/>
      </w:pPr>
      <w:r>
        <w:lastRenderedPageBreak/>
        <w:t xml:space="preserve">VI. Por el escaneo y digitalización de cada hoja relativa a los documentos que sean entregados por vía electrónica, en medio magnético o disco compacto </w:t>
      </w:r>
      <w:r w:rsidR="005E2445" w:rsidRPr="00F86EDD">
        <w:rPr>
          <w:b/>
        </w:rPr>
        <w:t xml:space="preserve">         </w:t>
      </w:r>
      <w:r>
        <w:rPr>
          <w:b/>
        </w:rPr>
        <w:t xml:space="preserve">                             $0.60</w:t>
      </w:r>
    </w:p>
    <w:p w14:paraId="6B196A91" w14:textId="77777777" w:rsidR="005E2445" w:rsidRPr="00F86EDD" w:rsidRDefault="005E2445" w:rsidP="00D040F5">
      <w:pPr>
        <w:pStyle w:val="Citas"/>
        <w:spacing w:line="240" w:lineRule="auto"/>
        <w:rPr>
          <w:b/>
        </w:rPr>
      </w:pPr>
      <w:r w:rsidRPr="00F86EDD">
        <w:t xml:space="preserve">(…)” </w:t>
      </w:r>
    </w:p>
    <w:p w14:paraId="491A3888" w14:textId="77777777" w:rsidR="005E2445" w:rsidRPr="00F86EDD" w:rsidRDefault="005E2445" w:rsidP="005E2445">
      <w:pPr>
        <w:pStyle w:val="Prrafodelista"/>
        <w:spacing w:line="360" w:lineRule="auto"/>
        <w:ind w:left="1418" w:right="564"/>
        <w:rPr>
          <w:rFonts w:ascii="Palatino Linotype" w:hAnsi="Palatino Linotype"/>
          <w:b/>
          <w:i/>
          <w:sz w:val="22"/>
          <w:szCs w:val="22"/>
        </w:rPr>
      </w:pPr>
    </w:p>
    <w:p w14:paraId="0DF79CFD" w14:textId="12E1653B"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Así, se tiene que el cobro por </w:t>
      </w:r>
      <w:r w:rsidR="00D37D83">
        <w:rPr>
          <w:rFonts w:ascii="Palatino Linotype" w:hAnsi="Palatino Linotype"/>
          <w:lang w:val="es-ES"/>
        </w:rPr>
        <w:t xml:space="preserve">digitalización de la información es un derecho que cobra el Estado </w:t>
      </w:r>
      <w:r w:rsidRPr="00F86EDD">
        <w:rPr>
          <w:rFonts w:ascii="Palatino Linotype" w:hAnsi="Palatino Linotype"/>
          <w:lang w:val="es-ES"/>
        </w:rPr>
        <w:t>y sus organismos y su destino es cubrir el gasto público y demás obligaciones a su cargo, po</w:t>
      </w:r>
      <w:r w:rsidR="00D37D83">
        <w:rPr>
          <w:rFonts w:ascii="Palatino Linotype" w:hAnsi="Palatino Linotype"/>
          <w:lang w:val="es-ES"/>
        </w:rPr>
        <w:t>r lo cual, al eximir del pago a los particulares, en el caso en concreto a la</w:t>
      </w:r>
      <w:r w:rsidRPr="00F86EDD">
        <w:rPr>
          <w:rFonts w:ascii="Palatino Linotype" w:hAnsi="Palatino Linotype"/>
          <w:lang w:val="es-ES"/>
        </w:rPr>
        <w:t xml:space="preserve"> Recurrente, se ocasiona un perjuicio al ente público, pues se le está privando de la ganancia lícita que debiera haberse obtenido con el cumplimiento de la obligación del solicitante a realizar el pago establecido en el artículo 73, </w:t>
      </w:r>
      <w:r w:rsidR="00D37D83">
        <w:rPr>
          <w:rFonts w:ascii="Palatino Linotype" w:hAnsi="Palatino Linotype"/>
          <w:lang w:val="es-ES"/>
        </w:rPr>
        <w:t xml:space="preserve">fracción VI, </w:t>
      </w:r>
      <w:r w:rsidRPr="00F86EDD">
        <w:rPr>
          <w:rFonts w:ascii="Palatino Linotype" w:hAnsi="Palatino Linotype"/>
          <w:lang w:val="es-ES"/>
        </w:rPr>
        <w:t>del multicitado Código Financiero.</w:t>
      </w:r>
    </w:p>
    <w:p w14:paraId="6F4E58BE"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BAF7220" w14:textId="77777777" w:rsidR="005E2445" w:rsidRPr="00F86EDD" w:rsidRDefault="005E2445" w:rsidP="005E2445">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De forma complementaria, resultan aplicables los artículos 9, fracción III, 17 y 174 de la Ley de Transparencia y Acceso a la Información Pública del Estado de México y Municipios, los cuales en su contenido establecen lo siguiente:</w:t>
      </w:r>
    </w:p>
    <w:p w14:paraId="70C21BF8"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s="Times New Roman"/>
          <w:b/>
          <w:lang w:val="es-ES" w:eastAsia="es-ES"/>
        </w:rPr>
        <w:t>“</w:t>
      </w:r>
      <w:r w:rsidRPr="00F86EDD">
        <w:rPr>
          <w:rFonts w:eastAsia="Times New Roman"/>
          <w:b/>
          <w:color w:val="000000" w:themeColor="text1"/>
          <w:lang w:val="es-ES"/>
        </w:rPr>
        <w:t>Artículo 9.</w:t>
      </w:r>
      <w:r w:rsidRPr="00F86EDD">
        <w:rPr>
          <w:rFonts w:eastAsia="Times New Roman"/>
          <w:color w:val="000000" w:themeColor="text1"/>
          <w:lang w:val="es-ES"/>
        </w:rPr>
        <w:t xml:space="preserve"> El Instituto deberá regir su funcionamiento de acuerdo a los siguientes principios: </w:t>
      </w:r>
    </w:p>
    <w:p w14:paraId="61B7EE0E"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 </w:t>
      </w:r>
    </w:p>
    <w:p w14:paraId="68347DC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III. Gratuidad: Consiste en que el acceso a la información pública no genera costo alguno para los solicitantes, </w:t>
      </w:r>
      <w:r w:rsidRPr="00F86EDD">
        <w:rPr>
          <w:rFonts w:eastAsia="Times New Roman"/>
          <w:b/>
          <w:bCs/>
          <w:color w:val="000000" w:themeColor="text1"/>
          <w:u w:val="single"/>
          <w:lang w:val="es-ES"/>
        </w:rPr>
        <w:t>sólo podrá requerirse el cobro correspondiente a la modalidad de reproducción y entrega solicitada conforme a lo establecido en la presente Ley y demás disposiciones jurídicas aplicables</w:t>
      </w:r>
      <w:r w:rsidRPr="00F86EDD">
        <w:rPr>
          <w:rFonts w:eastAsia="Times New Roman"/>
          <w:b/>
          <w:bCs/>
          <w:color w:val="000000" w:themeColor="text1"/>
          <w:lang w:val="es-ES"/>
        </w:rPr>
        <w:t>;</w:t>
      </w:r>
    </w:p>
    <w:p w14:paraId="40C939D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lastRenderedPageBreak/>
        <w:t>(…)</w:t>
      </w:r>
    </w:p>
    <w:p w14:paraId="02BBE590" w14:textId="77777777" w:rsidR="005E2445" w:rsidRPr="00F86EDD" w:rsidRDefault="005E2445" w:rsidP="00D040F5">
      <w:pPr>
        <w:pStyle w:val="Citas"/>
        <w:spacing w:line="240" w:lineRule="auto"/>
        <w:rPr>
          <w:rFonts w:eastAsia="Times New Roman"/>
          <w:b/>
          <w:bCs/>
          <w:color w:val="000000" w:themeColor="text1"/>
          <w:lang w:val="es-ES"/>
        </w:rPr>
      </w:pPr>
      <w:r w:rsidRPr="00F86EDD">
        <w:rPr>
          <w:rFonts w:eastAsia="Times New Roman"/>
          <w:b/>
          <w:color w:val="000000" w:themeColor="text1"/>
          <w:lang w:val="es-ES"/>
        </w:rPr>
        <w:t>Artículo 17.</w:t>
      </w:r>
      <w:r w:rsidRPr="00F86EDD">
        <w:rPr>
          <w:rFonts w:eastAsia="Times New Roman"/>
          <w:color w:val="000000" w:themeColor="text1"/>
          <w:lang w:val="es-ES"/>
        </w:rPr>
        <w:t xml:space="preserve"> La búsqueda y acceso a la información es gratuita </w:t>
      </w:r>
      <w:r w:rsidRPr="00F86EDD">
        <w:rPr>
          <w:rFonts w:eastAsia="Times New Roman"/>
          <w:b/>
          <w:bCs/>
          <w:color w:val="000000" w:themeColor="text1"/>
          <w:lang w:val="es-ES"/>
        </w:rPr>
        <w:t xml:space="preserve">y </w:t>
      </w:r>
      <w:r w:rsidRPr="00F86EDD">
        <w:rPr>
          <w:rFonts w:eastAsia="Times New Roman"/>
          <w:b/>
          <w:bCs/>
          <w:color w:val="000000" w:themeColor="text1"/>
          <w:u w:val="single"/>
          <w:lang w:val="es-ES"/>
        </w:rPr>
        <w:t>solo se cubrirán los gastos de reproducción, o por la modalidad de entrega solicitada</w:t>
      </w:r>
      <w:r w:rsidRPr="00F86EDD">
        <w:rPr>
          <w:rFonts w:eastAsia="Times New Roman"/>
          <w:b/>
          <w:bCs/>
          <w:color w:val="000000" w:themeColor="text1"/>
          <w:lang w:val="es-ES"/>
        </w:rPr>
        <w:t>,</w:t>
      </w:r>
      <w:r w:rsidRPr="00F86EDD">
        <w:rPr>
          <w:rFonts w:eastAsia="Times New Roman"/>
          <w:color w:val="000000" w:themeColor="text1"/>
          <w:lang w:val="es-ES"/>
        </w:rPr>
        <w:t xml:space="preserve"> así como por el envío, que en su caso se genere</w:t>
      </w:r>
      <w:r w:rsidRPr="00F86EDD">
        <w:rPr>
          <w:rFonts w:eastAsia="Times New Roman"/>
          <w:b/>
          <w:bCs/>
          <w:color w:val="000000" w:themeColor="text1"/>
          <w:lang w:val="es-ES"/>
        </w:rPr>
        <w:t xml:space="preserve">, </w:t>
      </w:r>
      <w:r w:rsidRPr="00F86EDD">
        <w:rPr>
          <w:rFonts w:eastAsia="Times New Roman"/>
          <w:b/>
          <w:bCs/>
          <w:color w:val="000000" w:themeColor="text1"/>
          <w:u w:val="single"/>
          <w:lang w:val="es-ES"/>
        </w:rPr>
        <w:t>de conformidad con los derechos, productos y aprovechamientos establecidos en la legislación aplicable, sin que exceda de los límites establecidos en la presente Ley</w:t>
      </w:r>
      <w:r w:rsidRPr="00F86EDD">
        <w:rPr>
          <w:rFonts w:eastAsia="Times New Roman"/>
          <w:b/>
          <w:bCs/>
          <w:color w:val="000000" w:themeColor="text1"/>
          <w:lang w:val="es-ES"/>
        </w:rPr>
        <w:t>.</w:t>
      </w:r>
    </w:p>
    <w:p w14:paraId="481F33C5"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b/>
          <w:lang w:val="es-ES" w:eastAsia="es-ES"/>
        </w:rPr>
        <w:t>Artículo 174.</w:t>
      </w:r>
      <w:r w:rsidRPr="00F86EDD">
        <w:rPr>
          <w:rFonts w:eastAsia="Times New Roman" w:cs="Times New Roman"/>
          <w:lang w:val="es-ES" w:eastAsia="es-ES"/>
        </w:rPr>
        <w:t xml:space="preserve"> En caso de existir costos para obtener la información deberán cubrirse de manera previa a la entrega y no podrán ser superiores a la suma de:</w:t>
      </w:r>
    </w:p>
    <w:p w14:paraId="794DFA9F" w14:textId="77777777" w:rsidR="005E2445" w:rsidRPr="00D37D83" w:rsidRDefault="005E2445" w:rsidP="00D040F5">
      <w:pPr>
        <w:pStyle w:val="Citas"/>
        <w:spacing w:line="240" w:lineRule="auto"/>
        <w:rPr>
          <w:rFonts w:eastAsia="Times New Roman"/>
          <w:bCs/>
        </w:rPr>
      </w:pPr>
      <w:r w:rsidRPr="00D37D83">
        <w:rPr>
          <w:rFonts w:eastAsia="Times New Roman"/>
          <w:bCs/>
        </w:rPr>
        <w:t>El costo de los materiales utilizados en la reproducción de la información</w:t>
      </w:r>
    </w:p>
    <w:p w14:paraId="3F94B10E" w14:textId="1D948624" w:rsidR="005E2445" w:rsidRPr="00F86EDD" w:rsidRDefault="00D11D0B" w:rsidP="00D040F5">
      <w:pPr>
        <w:pStyle w:val="Citas"/>
        <w:spacing w:line="240" w:lineRule="auto"/>
        <w:rPr>
          <w:rFonts w:eastAsia="Times New Roman"/>
          <w:b/>
          <w:bCs/>
          <w:u w:val="single"/>
        </w:rPr>
      </w:pPr>
      <w:r>
        <w:rPr>
          <w:rFonts w:eastAsia="Times New Roman"/>
        </w:rPr>
        <w:t xml:space="preserve"> </w:t>
      </w:r>
      <w:r w:rsidR="005E2445" w:rsidRPr="00F86EDD">
        <w:rPr>
          <w:rFonts w:eastAsia="Times New Roman"/>
        </w:rPr>
        <w:t>El costo de envío, en su caso; y</w:t>
      </w:r>
    </w:p>
    <w:p w14:paraId="46593356" w14:textId="77777777" w:rsidR="005E2445" w:rsidRPr="00D37D83" w:rsidRDefault="005E2445" w:rsidP="00D040F5">
      <w:pPr>
        <w:pStyle w:val="Citas"/>
        <w:spacing w:line="240" w:lineRule="auto"/>
        <w:rPr>
          <w:rFonts w:eastAsia="Times New Roman"/>
          <w:bCs/>
        </w:rPr>
      </w:pPr>
      <w:r w:rsidRPr="00D37D83">
        <w:rPr>
          <w:rFonts w:eastAsia="Times New Roman"/>
          <w:bCs/>
        </w:rPr>
        <w:t xml:space="preserve"> El pago de la certificación de los documentos, cuando proceda.</w:t>
      </w:r>
    </w:p>
    <w:p w14:paraId="6AB7395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4A7C843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Los sujetos obligados a los que no les sea aplicable el Código Financiero del Estado de México y Municipios deberán establecer cuotas que no sean mayores a las dispuestas en dicho ordenamiento.</w:t>
      </w:r>
    </w:p>
    <w:p w14:paraId="25E84722" w14:textId="77777777" w:rsidR="005E2445" w:rsidRDefault="005E2445" w:rsidP="00D040F5">
      <w:pPr>
        <w:pStyle w:val="Citas"/>
        <w:spacing w:line="240" w:lineRule="auto"/>
        <w:rPr>
          <w:rFonts w:eastAsia="Times New Roman" w:cs="Times New Roman"/>
          <w:b/>
          <w:bCs/>
          <w:lang w:val="es-ES" w:eastAsia="es-ES"/>
        </w:rPr>
      </w:pPr>
      <w:r w:rsidRPr="00F86EDD">
        <w:rPr>
          <w:rFonts w:eastAsia="Times New Roman" w:cs="Times New Roman"/>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F86EDD">
        <w:rPr>
          <w:rFonts w:eastAsia="Times New Roman" w:cs="Times New Roman"/>
          <w:b/>
          <w:bCs/>
          <w:lang w:val="es-ES" w:eastAsia="es-ES"/>
        </w:rPr>
        <w:t>[Sic]</w:t>
      </w:r>
    </w:p>
    <w:p w14:paraId="6BF54E1D" w14:textId="77777777" w:rsidR="00D37D83" w:rsidRPr="00F86EDD" w:rsidRDefault="00D37D83" w:rsidP="00D040F5">
      <w:pPr>
        <w:pStyle w:val="Citas"/>
        <w:spacing w:line="240" w:lineRule="auto"/>
        <w:rPr>
          <w:rFonts w:eastAsia="Times New Roman" w:cs="Times New Roman"/>
          <w:b/>
          <w:bCs/>
          <w:lang w:val="es-ES" w:eastAsia="es-ES"/>
        </w:rPr>
      </w:pPr>
    </w:p>
    <w:p w14:paraId="533313C4" w14:textId="532EABE3" w:rsidR="005E2445" w:rsidRPr="00F86EDD" w:rsidRDefault="005E2445" w:rsidP="005E2445">
      <w:pPr>
        <w:pStyle w:val="Sinespaciado"/>
        <w:spacing w:line="360" w:lineRule="auto"/>
        <w:ind w:firstLine="1"/>
        <w:jc w:val="both"/>
        <w:rPr>
          <w:rFonts w:ascii="Palatino Linotype" w:hAnsi="Palatino Linotype"/>
          <w:b/>
          <w:u w:val="single"/>
          <w:lang w:val="es-ES"/>
        </w:rPr>
      </w:pPr>
      <w:r w:rsidRPr="00F86EDD">
        <w:rPr>
          <w:rFonts w:ascii="Palatino Linotype" w:hAnsi="Palatino Linotype"/>
          <w:lang w:val="es-ES"/>
        </w:rPr>
        <w:t xml:space="preserve">En virtud de lo anterior, resulta inconcuso que la </w:t>
      </w:r>
      <w:r w:rsidR="002A7B4E">
        <w:rPr>
          <w:rFonts w:ascii="Palatino Linotype" w:hAnsi="Palatino Linotype"/>
          <w:lang w:val="es-ES"/>
        </w:rPr>
        <w:t>digitalización</w:t>
      </w:r>
      <w:r w:rsidRPr="00F86EDD">
        <w:rPr>
          <w:rFonts w:ascii="Palatino Linotype" w:hAnsi="Palatino Linotype"/>
          <w:lang w:val="es-ES"/>
        </w:rPr>
        <w:t xml:space="preserve"> de documentos configura un servicio que presta el Estado en sus funciones de derecho público,</w:t>
      </w:r>
      <w:r w:rsidRPr="00F86EDD">
        <w:rPr>
          <w:rFonts w:ascii="Palatino Linotype" w:hAnsi="Palatino Linotype"/>
          <w:b/>
          <w:lang w:val="es-ES"/>
        </w:rPr>
        <w:t xml:space="preserve"> </w:t>
      </w:r>
      <w:r w:rsidRPr="00F86EDD">
        <w:rPr>
          <w:rFonts w:ascii="Palatino Linotype" w:hAnsi="Palatino Linotype"/>
          <w:lang w:val="es-ES"/>
        </w:rPr>
        <w:t xml:space="preserve">de </w:t>
      </w:r>
      <w:r w:rsidRPr="00F86EDD">
        <w:rPr>
          <w:rFonts w:ascii="Palatino Linotype" w:hAnsi="Palatino Linotype"/>
          <w:lang w:val="es-ES"/>
        </w:rPr>
        <w:lastRenderedPageBreak/>
        <w:t xml:space="preserve">ahí que resulte necesario la recuperación de tales gastos, en el caso en particular, mediante el pago de un derecho establecido en la normatividad aplicable, </w:t>
      </w:r>
      <w:r w:rsidRPr="00F86EDD">
        <w:rPr>
          <w:rFonts w:ascii="Palatino Linotype" w:hAnsi="Palatino Linotype"/>
          <w:b/>
          <w:u w:val="single"/>
          <w:lang w:val="es-ES"/>
        </w:rPr>
        <w:t xml:space="preserve">el cual no podrá ser desestimado, condonado o inaplicado, pues conforme a la normatividad previamente referida se reconoce la imposición de un gravamen incluso con independencia del número de fojas. </w:t>
      </w:r>
    </w:p>
    <w:p w14:paraId="698A2270"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p>
    <w:p w14:paraId="7358138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ello, conviene señalar lo estipulado por el Poder Judicial de la Federación a través de la tesis aislada con número de registro </w:t>
      </w:r>
      <w:r w:rsidRPr="00F86EDD">
        <w:rPr>
          <w:rFonts w:ascii="Palatino Linotype" w:hAnsi="Palatino Linotype"/>
          <w:b/>
          <w:lang w:val="es-ES"/>
        </w:rPr>
        <w:t>2007573</w:t>
      </w:r>
      <w:r w:rsidRPr="00F86EDD">
        <w:rPr>
          <w:rFonts w:ascii="Palatino Linotype" w:hAnsi="Palatino Linotype"/>
          <w:lang w:val="es-ES"/>
        </w:rPr>
        <w:t xml:space="preserve"> de la Décima Época, sustentada por la Segunda Sala de la Suprema Corte de Justicia de la Nación, órgano colegiado que se ha pronunciado en cuanto al control constitucional concentrado o difuso en los términos siguientes: </w:t>
      </w:r>
    </w:p>
    <w:p w14:paraId="14F21104" w14:textId="77777777" w:rsidR="005E2445" w:rsidRPr="00F86EDD" w:rsidRDefault="005E2445" w:rsidP="005E2445">
      <w:pPr>
        <w:pStyle w:val="Sinespaciado"/>
        <w:rPr>
          <w:lang w:val="es-ES"/>
        </w:rPr>
      </w:pPr>
    </w:p>
    <w:p w14:paraId="25837A61" w14:textId="77777777" w:rsidR="005E2445" w:rsidRPr="00F86EDD" w:rsidRDefault="005E2445" w:rsidP="005E2445">
      <w:pPr>
        <w:pStyle w:val="Citas"/>
        <w:spacing w:before="0" w:after="0" w:line="240" w:lineRule="auto"/>
        <w:rPr>
          <w:b/>
          <w:lang w:val="es-ES" w:eastAsia="es-MX"/>
        </w:rPr>
      </w:pPr>
      <w:r w:rsidRPr="00F86EDD">
        <w:rPr>
          <w:b/>
          <w:lang w:val="es-ES" w:eastAsia="es-MX"/>
        </w:rPr>
        <w:t>“CONTROL CONSTITUCIONAL CONCENTRADO O DIFUSO. LAS AUTORIDADES ADMINISTRATIVAS NO ESTÁN FACULTADAS PARA REALIZARLO.</w:t>
      </w:r>
    </w:p>
    <w:p w14:paraId="3FFAB05B" w14:textId="77777777" w:rsidR="005E2445" w:rsidRPr="00F86EDD" w:rsidRDefault="005E2445" w:rsidP="005E2445">
      <w:pPr>
        <w:pStyle w:val="Citas"/>
        <w:spacing w:before="0" w:after="0" w:line="240" w:lineRule="auto"/>
        <w:rPr>
          <w:lang w:val="es-ES" w:eastAsia="es-MX"/>
        </w:rPr>
      </w:pPr>
    </w:p>
    <w:p w14:paraId="0F4C7A17" w14:textId="77777777" w:rsidR="005E2445" w:rsidRPr="00F86EDD" w:rsidRDefault="005E2445" w:rsidP="005E2445">
      <w:pPr>
        <w:pStyle w:val="Citas"/>
        <w:spacing w:before="0" w:after="0" w:line="240" w:lineRule="auto"/>
        <w:rPr>
          <w:rFonts w:ascii="Times New Roman" w:hAnsi="Times New Roman" w:cs="Times New Roman"/>
          <w:sz w:val="24"/>
          <w:szCs w:val="24"/>
          <w:lang w:val="es-ES" w:eastAsia="es-MX"/>
        </w:rPr>
      </w:pPr>
      <w:r w:rsidRPr="00F86EDD">
        <w:rPr>
          <w:lang w:val="es-ES" w:eastAsia="es-MX"/>
        </w:rPr>
        <w:t>El artículo </w:t>
      </w:r>
      <w:hyperlink r:id="rId9" w:history="1">
        <w:r w:rsidRPr="00F86EDD">
          <w:rPr>
            <w:color w:val="007BFF"/>
            <w:u w:val="single"/>
            <w:lang w:val="es-ES" w:eastAsia="es-MX"/>
          </w:rPr>
          <w:t>1o. de la Constitución Política de los Estados Unidos Mexicanos</w:t>
        </w:r>
      </w:hyperlink>
      <w:r w:rsidRPr="00F86EDD">
        <w:rPr>
          <w:lang w:val="es-ES" w:eastAsia="es-MX"/>
        </w:rPr>
        <w:t> establece que todas las autoridades, en el ámbito de sus competencias, deben cumplir con una serie de obligaciones en materia de derechos humanos. Sin embargo, en términos de la tesis </w:t>
      </w:r>
      <w:hyperlink r:id="rId10" w:tgtFrame="_blank" w:history="1">
        <w:r w:rsidRPr="00F86EDD">
          <w:rPr>
            <w:color w:val="007BFF"/>
            <w:u w:val="single"/>
            <w:lang w:val="es-ES" w:eastAsia="es-MX"/>
          </w:rPr>
          <w:t>P. LXIX/2011 (9a.)</w:t>
        </w:r>
      </w:hyperlink>
      <w:r w:rsidRPr="00F86EDD">
        <w:rPr>
          <w:lang w:val="es-ES" w:eastAsia="es-MX"/>
        </w:rPr>
        <w:t xml:space="preserve"> (*), del Tribunal Pleno de la Suprema Corte de Justicia de la Nación, </w:t>
      </w:r>
      <w:r w:rsidRPr="00F86EDD">
        <w:rPr>
          <w:b/>
          <w:u w:val="single"/>
          <w:lang w:val="es-ES"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F86EDD">
        <w:rPr>
          <w:b/>
          <w:u w:val="single"/>
          <w:lang w:val="es-ES" w:eastAsia="es-MX"/>
        </w:rPr>
        <w:t>inaplicarlo</w:t>
      </w:r>
      <w:proofErr w:type="spellEnd"/>
      <w:r w:rsidRPr="00F86EDD">
        <w:rPr>
          <w:b/>
          <w:u w:val="single"/>
          <w:lang w:val="es-ES" w:eastAsia="es-MX"/>
        </w:rPr>
        <w:t>, ni siquiera bajo el argumento de una reparación de derechos humanos,</w:t>
      </w:r>
      <w:r w:rsidRPr="00F86EDD">
        <w:rPr>
          <w:lang w:val="es-ES"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w:t>
      </w:r>
      <w:r w:rsidRPr="00F86EDD">
        <w:rPr>
          <w:lang w:val="es-ES" w:eastAsia="es-MX"/>
        </w:rPr>
        <w:lastRenderedPageBreak/>
        <w:t>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w:t>
      </w:r>
      <w:hyperlink r:id="rId11" w:history="1">
        <w:r w:rsidRPr="00F86EDD">
          <w:rPr>
            <w:color w:val="007BFF"/>
            <w:u w:val="single"/>
            <w:lang w:val="es-ES" w:eastAsia="es-MX"/>
          </w:rPr>
          <w:t>14 y 16 constitucionales</w:t>
        </w:r>
      </w:hyperlink>
      <w:r w:rsidRPr="00F86EDD">
        <w:rPr>
          <w:lang w:val="es-ES" w:eastAsia="es-MX"/>
        </w:rPr>
        <w:t>.</w:t>
      </w:r>
    </w:p>
    <w:p w14:paraId="03F46E78" w14:textId="77777777" w:rsidR="005E2445" w:rsidRPr="00F86EDD" w:rsidRDefault="005E2445" w:rsidP="005E2445">
      <w:pPr>
        <w:pStyle w:val="Citas"/>
        <w:spacing w:before="0" w:after="0" w:line="240" w:lineRule="auto"/>
        <w:rPr>
          <w:lang w:val="es-ES" w:eastAsia="es-MX"/>
        </w:rPr>
      </w:pPr>
    </w:p>
    <w:p w14:paraId="533EA837" w14:textId="77777777" w:rsidR="005E2445" w:rsidRPr="00F86EDD" w:rsidRDefault="005E2445" w:rsidP="005E2445">
      <w:pPr>
        <w:pStyle w:val="Citas"/>
        <w:spacing w:before="0" w:after="0" w:line="240" w:lineRule="auto"/>
        <w:rPr>
          <w:b/>
          <w:lang w:val="es-ES" w:eastAsia="es-MX"/>
        </w:rPr>
      </w:pPr>
      <w:r w:rsidRPr="00F86EDD">
        <w:rPr>
          <w:lang w:val="es-ES" w:eastAsia="es-MX"/>
        </w:rPr>
        <w:t xml:space="preserve">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Martínez y Everardo Maya Arias.” </w:t>
      </w:r>
      <w:r w:rsidRPr="00F86EDD">
        <w:rPr>
          <w:b/>
          <w:lang w:val="es-ES" w:eastAsia="es-MX"/>
        </w:rPr>
        <w:t xml:space="preserve">[Sic] </w:t>
      </w:r>
    </w:p>
    <w:p w14:paraId="25C82FC8" w14:textId="77777777" w:rsidR="005E2445" w:rsidRPr="00F86EDD" w:rsidRDefault="005E2445" w:rsidP="004402F7">
      <w:pPr>
        <w:spacing w:after="0" w:line="360" w:lineRule="auto"/>
        <w:contextualSpacing/>
        <w:jc w:val="both"/>
        <w:rPr>
          <w:rFonts w:ascii="Palatino Linotype" w:hAnsi="Palatino Linotype"/>
          <w:sz w:val="24"/>
          <w:szCs w:val="24"/>
          <w:lang w:val="es-ES"/>
        </w:rPr>
      </w:pPr>
    </w:p>
    <w:p w14:paraId="3BAD97E7" w14:textId="77777777" w:rsidR="002A7B4E" w:rsidRDefault="002A7B4E" w:rsidP="005E2445">
      <w:pPr>
        <w:pStyle w:val="Citas"/>
        <w:spacing w:before="0" w:after="0"/>
        <w:ind w:left="0" w:right="-3"/>
        <w:rPr>
          <w:i w:val="0"/>
          <w:sz w:val="24"/>
          <w:lang w:val="es-ES"/>
        </w:rPr>
      </w:pPr>
    </w:p>
    <w:p w14:paraId="0DA959F4" w14:textId="6EC36996" w:rsidR="002A7B4E" w:rsidRDefault="002A7B4E" w:rsidP="005E2445">
      <w:pPr>
        <w:pStyle w:val="Citas"/>
        <w:spacing w:before="0" w:after="0"/>
        <w:ind w:left="0" w:right="-3"/>
        <w:rPr>
          <w:i w:val="0"/>
          <w:sz w:val="24"/>
          <w:lang w:val="es-ES"/>
        </w:rPr>
      </w:pPr>
      <w:r>
        <w:rPr>
          <w:i w:val="0"/>
          <w:sz w:val="24"/>
          <w:lang w:val="es-ES"/>
        </w:rPr>
        <w:t>Luego entonces, con base en lo anteriormente expuesto, se arriba a la premisa de que el cobro por digitalización en el derecho de acceso a la información únicamente no se actualiza en los siguientes supuestos:</w:t>
      </w:r>
    </w:p>
    <w:p w14:paraId="59B69C79" w14:textId="3FC3B691" w:rsidR="002A7B4E" w:rsidRDefault="002A7B4E" w:rsidP="002A7B4E">
      <w:pPr>
        <w:pStyle w:val="Citas"/>
        <w:numPr>
          <w:ilvl w:val="0"/>
          <w:numId w:val="12"/>
        </w:numPr>
        <w:spacing w:before="0" w:after="0"/>
        <w:ind w:right="-3"/>
        <w:rPr>
          <w:i w:val="0"/>
          <w:sz w:val="24"/>
          <w:lang w:val="es-ES"/>
        </w:rPr>
      </w:pPr>
      <w:r>
        <w:rPr>
          <w:i w:val="0"/>
          <w:sz w:val="24"/>
          <w:lang w:val="es-ES"/>
        </w:rPr>
        <w:t xml:space="preserve">Cuando la información requerida se genera, posee o administra en formato electrónico. </w:t>
      </w:r>
    </w:p>
    <w:p w14:paraId="3A96A1A3" w14:textId="46FA5BE1" w:rsidR="002A7B4E" w:rsidRDefault="002A7B4E" w:rsidP="002A7B4E">
      <w:pPr>
        <w:pStyle w:val="Citas"/>
        <w:numPr>
          <w:ilvl w:val="0"/>
          <w:numId w:val="12"/>
        </w:numPr>
        <w:spacing w:before="0" w:after="0"/>
        <w:ind w:right="-3"/>
        <w:rPr>
          <w:i w:val="0"/>
          <w:sz w:val="24"/>
          <w:lang w:val="es-ES"/>
        </w:rPr>
      </w:pPr>
      <w:r>
        <w:rPr>
          <w:i w:val="0"/>
          <w:sz w:val="24"/>
          <w:lang w:val="es-ES"/>
        </w:rPr>
        <w:t xml:space="preserve">Cuando la información requerida no se genera, posee o administra en formato electrónico, sin embargo, la esfera competencial del </w:t>
      </w:r>
      <w:r>
        <w:rPr>
          <w:b/>
          <w:i w:val="0"/>
          <w:sz w:val="24"/>
          <w:lang w:val="es-ES"/>
        </w:rPr>
        <w:t xml:space="preserve">Sujeto Obligado </w:t>
      </w:r>
      <w:r>
        <w:rPr>
          <w:i w:val="0"/>
          <w:sz w:val="24"/>
          <w:lang w:val="es-ES"/>
        </w:rPr>
        <w:t xml:space="preserve">le constriñe a digitalizarla y/o publicarla en medios electrónicos. </w:t>
      </w:r>
    </w:p>
    <w:p w14:paraId="34ECA1BC" w14:textId="77777777" w:rsidR="002A7B4E" w:rsidRDefault="002A7B4E" w:rsidP="005E2445">
      <w:pPr>
        <w:pStyle w:val="Citas"/>
        <w:spacing w:before="0" w:after="0"/>
        <w:ind w:left="0" w:right="-3"/>
        <w:rPr>
          <w:i w:val="0"/>
          <w:sz w:val="24"/>
          <w:lang w:val="es-ES"/>
        </w:rPr>
      </w:pPr>
    </w:p>
    <w:p w14:paraId="65EAE546" w14:textId="77777777" w:rsidR="00D11D0B" w:rsidRDefault="00D11D0B" w:rsidP="005E2445">
      <w:pPr>
        <w:pStyle w:val="Citas"/>
        <w:spacing w:before="0" w:after="0"/>
        <w:ind w:left="0" w:right="-3"/>
        <w:rPr>
          <w:i w:val="0"/>
          <w:sz w:val="24"/>
          <w:lang w:val="es-ES"/>
        </w:rPr>
      </w:pPr>
    </w:p>
    <w:p w14:paraId="7146E6FF" w14:textId="5215A267" w:rsidR="002A7B4E" w:rsidRPr="002A7B4E" w:rsidRDefault="005E2445" w:rsidP="005E2445">
      <w:pPr>
        <w:pStyle w:val="Citas"/>
        <w:spacing w:before="0" w:after="0"/>
        <w:ind w:left="0" w:right="-3"/>
        <w:rPr>
          <w:i w:val="0"/>
          <w:sz w:val="24"/>
          <w:lang w:val="es-ES"/>
        </w:rPr>
      </w:pPr>
      <w:r w:rsidRPr="00F86EDD">
        <w:rPr>
          <w:i w:val="0"/>
          <w:sz w:val="24"/>
          <w:lang w:val="es-ES"/>
        </w:rPr>
        <w:t xml:space="preserve">Con base en lo anteriormente expuesto, a consideración de quien suscribe, en la resolución emitida se debió haber considerado que, </w:t>
      </w:r>
      <w:r w:rsidR="00D040F5">
        <w:rPr>
          <w:i w:val="0"/>
          <w:sz w:val="24"/>
          <w:lang w:val="es-ES"/>
        </w:rPr>
        <w:t xml:space="preserve">las manifestaciones expresadas </w:t>
      </w:r>
      <w:r w:rsidR="00D040F5">
        <w:rPr>
          <w:i w:val="0"/>
          <w:sz w:val="24"/>
          <w:lang w:val="es-ES"/>
        </w:rPr>
        <w:lastRenderedPageBreak/>
        <w:t xml:space="preserve">por </w:t>
      </w:r>
      <w:r w:rsidR="00D040F5">
        <w:rPr>
          <w:b/>
          <w:i w:val="0"/>
          <w:sz w:val="24"/>
          <w:lang w:val="es-ES"/>
        </w:rPr>
        <w:t xml:space="preserve">El </w:t>
      </w:r>
      <w:r w:rsidR="002A7B4E">
        <w:rPr>
          <w:b/>
          <w:i w:val="0"/>
          <w:sz w:val="24"/>
          <w:lang w:val="es-ES"/>
        </w:rPr>
        <w:t>Sujeto Obligado</w:t>
      </w:r>
      <w:r w:rsidR="00D040F5">
        <w:rPr>
          <w:b/>
          <w:i w:val="0"/>
          <w:sz w:val="24"/>
          <w:lang w:val="es-ES"/>
        </w:rPr>
        <w:t xml:space="preserve">, </w:t>
      </w:r>
      <w:r w:rsidR="00D040F5">
        <w:rPr>
          <w:i w:val="0"/>
          <w:sz w:val="24"/>
          <w:lang w:val="es-ES"/>
        </w:rPr>
        <w:t xml:space="preserve">debieron ser motivo suficiente para </w:t>
      </w:r>
      <w:r w:rsidR="002A7B4E">
        <w:rPr>
          <w:b/>
          <w:i w:val="0"/>
          <w:sz w:val="24"/>
          <w:lang w:val="es-ES"/>
        </w:rPr>
        <w:t xml:space="preserve">no </w:t>
      </w:r>
      <w:r w:rsidR="002A7B4E">
        <w:rPr>
          <w:i w:val="0"/>
          <w:sz w:val="24"/>
          <w:lang w:val="es-ES"/>
        </w:rPr>
        <w:t xml:space="preserve">exceptuar a </w:t>
      </w:r>
      <w:r w:rsidR="002A7B4E">
        <w:rPr>
          <w:b/>
          <w:i w:val="0"/>
          <w:sz w:val="24"/>
          <w:lang w:val="es-ES"/>
        </w:rPr>
        <w:t>La Recurrente</w:t>
      </w:r>
      <w:r w:rsidR="00D040F5">
        <w:rPr>
          <w:i w:val="0"/>
          <w:sz w:val="24"/>
          <w:lang w:val="es-ES"/>
        </w:rPr>
        <w:t xml:space="preserve"> del pago correspondiente a la </w:t>
      </w:r>
      <w:r w:rsidR="002A7B4E">
        <w:rPr>
          <w:i w:val="0"/>
          <w:sz w:val="24"/>
          <w:lang w:val="es-ES"/>
        </w:rPr>
        <w:t xml:space="preserve">digitalización de la información, toda vez que si bien es cierto fue requerida vía </w:t>
      </w:r>
      <w:r w:rsidR="002A7B4E">
        <w:rPr>
          <w:b/>
          <w:i w:val="0"/>
          <w:sz w:val="24"/>
          <w:lang w:val="es-ES"/>
        </w:rPr>
        <w:t xml:space="preserve">SAIMEX, </w:t>
      </w:r>
      <w:r w:rsidR="002A7B4E">
        <w:rPr>
          <w:i w:val="0"/>
          <w:sz w:val="24"/>
          <w:lang w:val="es-ES"/>
        </w:rPr>
        <w:t xml:space="preserve">ésta no se encuentra digitalizada, ni debe de serlo de forma oficiosa, además de que es una obligación establecida por el Código Financiero, la Ley de Transparencia local y demás normatividad aplicable; lo cual, de no cumplirse, genera un perjuicio al </w:t>
      </w:r>
      <w:r w:rsidR="002A7B4E">
        <w:rPr>
          <w:b/>
          <w:i w:val="0"/>
          <w:sz w:val="24"/>
          <w:lang w:val="es-ES"/>
        </w:rPr>
        <w:t xml:space="preserve">Sujeto Obligado, </w:t>
      </w:r>
      <w:r w:rsidR="002A7B4E">
        <w:rPr>
          <w:i w:val="0"/>
          <w:sz w:val="24"/>
          <w:lang w:val="es-ES"/>
        </w:rPr>
        <w:t xml:space="preserve">pues representa una fuente de ingreso con la que se pretende cubrir su gasto público y demás obligaciones. </w:t>
      </w:r>
    </w:p>
    <w:p w14:paraId="786407F0" w14:textId="77777777" w:rsidR="002A7B4E" w:rsidRDefault="002A7B4E" w:rsidP="005E2445">
      <w:pPr>
        <w:pStyle w:val="Citas"/>
        <w:spacing w:before="0" w:after="0"/>
        <w:ind w:left="0" w:right="-3"/>
        <w:rPr>
          <w:i w:val="0"/>
          <w:sz w:val="24"/>
          <w:lang w:val="es-ES"/>
        </w:rPr>
      </w:pPr>
    </w:p>
    <w:p w14:paraId="5489F67D" w14:textId="24F5ED34" w:rsidR="006342FD" w:rsidRDefault="005E2445" w:rsidP="005E2445">
      <w:pPr>
        <w:spacing w:after="0" w:line="360" w:lineRule="auto"/>
        <w:contextualSpacing/>
        <w:jc w:val="both"/>
        <w:rPr>
          <w:rFonts w:ascii="Palatino Linotype" w:hAnsi="Palatino Linotype"/>
          <w:sz w:val="24"/>
          <w:lang w:val="es-ES"/>
        </w:rPr>
      </w:pPr>
      <w:r w:rsidRPr="00F86EDD">
        <w:rPr>
          <w:rFonts w:ascii="Palatino Linotype" w:hAnsi="Palatino Linotype"/>
          <w:sz w:val="24"/>
          <w:lang w:val="es-ES"/>
        </w:rPr>
        <w:t xml:space="preserve">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w:t>
      </w:r>
      <w:r w:rsidR="006F3E7B">
        <w:rPr>
          <w:rFonts w:ascii="Palatino Linotype" w:hAnsi="Palatino Linotype"/>
          <w:sz w:val="24"/>
          <w:lang w:val="es-ES"/>
        </w:rPr>
        <w:t>digitalización de la información</w:t>
      </w:r>
      <w:r w:rsidRPr="00F86EDD">
        <w:rPr>
          <w:rFonts w:ascii="Palatino Linotype" w:hAnsi="Palatino Linotype"/>
          <w:sz w:val="24"/>
          <w:lang w:val="es-ES"/>
        </w:rPr>
        <w:t>, generando en consecuencia, un detrimento al erario público</w:t>
      </w:r>
    </w:p>
    <w:p w14:paraId="3C86A5E4" w14:textId="5DEFEC47" w:rsidR="005E2445" w:rsidRPr="006342FD" w:rsidRDefault="00D040F5" w:rsidP="005E2445">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CCR/JCMA</w:t>
      </w:r>
    </w:p>
    <w:p w14:paraId="1496F8BE" w14:textId="66984891" w:rsidR="005E2445" w:rsidRDefault="006F3E7B" w:rsidP="004402F7">
      <w:pPr>
        <w:spacing w:after="0" w:line="360" w:lineRule="auto"/>
        <w:contextualSpacing/>
        <w:jc w:val="both"/>
        <w:rPr>
          <w:rFonts w:ascii="Palatino Linotype" w:hAnsi="Palatino Linotype"/>
          <w:sz w:val="24"/>
          <w:szCs w:val="24"/>
          <w:lang w:val="es-ES"/>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B24C37B" wp14:editId="09DA2186">
                <wp:simplePos x="0" y="0"/>
                <wp:positionH relativeFrom="column">
                  <wp:posOffset>-145037</wp:posOffset>
                </wp:positionH>
                <wp:positionV relativeFrom="paragraph">
                  <wp:posOffset>157953</wp:posOffset>
                </wp:positionV>
                <wp:extent cx="5979268" cy="1699098"/>
                <wp:effectExtent l="0" t="0" r="21590" b="34925"/>
                <wp:wrapNone/>
                <wp:docPr id="4" name="Conector recto 4"/>
                <wp:cNvGraphicFramePr/>
                <a:graphic xmlns:a="http://schemas.openxmlformats.org/drawingml/2006/main">
                  <a:graphicData uri="http://schemas.microsoft.com/office/word/2010/wordprocessingShape">
                    <wps:wsp>
                      <wps:cNvCnPr/>
                      <wps:spPr>
                        <a:xfrm>
                          <a:off x="0" y="0"/>
                          <a:ext cx="5979268" cy="16990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8571F"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2.45pt" to="459.4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" strokecolor="#5b9bd5 [3204]" strokeweight=".5pt">
                <v:stroke joinstyle="miter"/>
              </v:line>
            </w:pict>
          </mc:Fallback>
        </mc:AlternateContent>
      </w: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07795BD7" w14:textId="77777777" w:rsidR="00D040F5" w:rsidRDefault="00D040F5" w:rsidP="004402F7">
      <w:pPr>
        <w:spacing w:after="0" w:line="360" w:lineRule="auto"/>
        <w:contextualSpacing/>
        <w:jc w:val="both"/>
        <w:rPr>
          <w:rFonts w:ascii="Palatino Linotype" w:hAnsi="Palatino Linotype"/>
          <w:sz w:val="24"/>
          <w:szCs w:val="24"/>
          <w:lang w:val="es-ES"/>
        </w:rPr>
      </w:pPr>
    </w:p>
    <w:p w14:paraId="55C4FC74" w14:textId="77777777" w:rsidR="00D040F5" w:rsidRDefault="00D040F5" w:rsidP="004402F7">
      <w:pPr>
        <w:spacing w:after="0" w:line="360" w:lineRule="auto"/>
        <w:contextualSpacing/>
        <w:jc w:val="both"/>
        <w:rPr>
          <w:rFonts w:ascii="Palatino Linotype" w:hAnsi="Palatino Linotype"/>
          <w:sz w:val="24"/>
          <w:szCs w:val="24"/>
          <w:lang w:val="es-ES"/>
        </w:rPr>
      </w:pPr>
    </w:p>
    <w:p w14:paraId="0115D49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12"/>
      <w:headerReference w:type="default" r:id="rId13"/>
      <w:footerReference w:type="default" r:id="rId14"/>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CEED7" w14:textId="77777777" w:rsidR="00574B54" w:rsidRDefault="00574B54" w:rsidP="004C1443">
      <w:pPr>
        <w:spacing w:after="0" w:line="240" w:lineRule="auto"/>
      </w:pPr>
      <w:r>
        <w:separator/>
      </w:r>
    </w:p>
  </w:endnote>
  <w:endnote w:type="continuationSeparator" w:id="0">
    <w:p w14:paraId="46D40AB1" w14:textId="77777777" w:rsidR="00574B54" w:rsidRDefault="00574B54"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F81579">
              <w:rPr>
                <w:b/>
                <w:bCs/>
                <w:noProof/>
              </w:rPr>
              <w:t>14</w:t>
            </w:r>
            <w:r>
              <w:rPr>
                <w:b/>
                <w:bCs/>
              </w:rPr>
              <w:fldChar w:fldCharType="end"/>
            </w:r>
            <w:r>
              <w:t xml:space="preserve"> de </w:t>
            </w:r>
            <w:r>
              <w:rPr>
                <w:b/>
                <w:bCs/>
              </w:rPr>
              <w:fldChar w:fldCharType="begin"/>
            </w:r>
            <w:r>
              <w:rPr>
                <w:b/>
                <w:bCs/>
              </w:rPr>
              <w:instrText>NUMPAGES</w:instrText>
            </w:r>
            <w:r>
              <w:rPr>
                <w:b/>
                <w:bCs/>
              </w:rPr>
              <w:fldChar w:fldCharType="separate"/>
            </w:r>
            <w:r w:rsidR="00F81579">
              <w:rPr>
                <w:b/>
                <w:bCs/>
                <w:noProof/>
              </w:rPr>
              <w:t>14</w:t>
            </w:r>
            <w:r>
              <w:rPr>
                <w:b/>
                <w:bCs/>
              </w:rPr>
              <w:fldChar w:fldCharType="end"/>
            </w:r>
          </w:p>
        </w:sdtContent>
      </w:sdt>
    </w:sdtContent>
  </w:sdt>
  <w:p w14:paraId="767F3B2E" w14:textId="77777777" w:rsidR="00DD7AD0" w:rsidRDefault="00574B54"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817DC" w14:textId="77777777" w:rsidR="00574B54" w:rsidRDefault="00574B54" w:rsidP="004C1443">
      <w:pPr>
        <w:spacing w:after="0" w:line="240" w:lineRule="auto"/>
      </w:pPr>
      <w:r>
        <w:separator/>
      </w:r>
    </w:p>
  </w:footnote>
  <w:footnote w:type="continuationSeparator" w:id="0">
    <w:p w14:paraId="1E83181A" w14:textId="77777777" w:rsidR="00574B54" w:rsidRDefault="00574B54"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4DB6649F" w:rsidR="00DD7AD0" w:rsidRDefault="00574B54" w:rsidP="00DD7AD0">
    <w:pPr>
      <w:pStyle w:val="Encabezado"/>
      <w:jc w:val="right"/>
      <w:rPr>
        <w:rFonts w:ascii="Arial" w:hAnsi="Arial" w:cs="Arial"/>
        <w:sz w:val="20"/>
        <w:szCs w:val="20"/>
      </w:rPr>
    </w:pPr>
  </w:p>
  <w:p w14:paraId="420DD843" w14:textId="77777777" w:rsidR="00DD7AD0" w:rsidRDefault="00574B54" w:rsidP="00DD7AD0">
    <w:pPr>
      <w:pStyle w:val="Encabezado"/>
      <w:jc w:val="right"/>
      <w:rPr>
        <w:rFonts w:ascii="Arial" w:hAnsi="Arial" w:cs="Arial"/>
        <w:sz w:val="20"/>
        <w:szCs w:val="20"/>
      </w:rPr>
    </w:pPr>
  </w:p>
  <w:p w14:paraId="282E5C68" w14:textId="77777777" w:rsidR="00DD7AD0" w:rsidRDefault="00574B54"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05690034"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7B733E" w:rsidRPr="004F50E3">
      <w:rPr>
        <w:rFonts w:ascii="Palatino Linotype" w:hAnsi="Palatino Linotype" w:cs="Arial"/>
        <w:b/>
        <w:bCs/>
        <w:sz w:val="22"/>
        <w:szCs w:val="22"/>
        <w:lang w:eastAsia="es-MX"/>
      </w:rPr>
      <w:t>0</w:t>
    </w:r>
    <w:r w:rsidR="009E6EF2" w:rsidRPr="004F50E3">
      <w:rPr>
        <w:rFonts w:ascii="Palatino Linotype" w:hAnsi="Palatino Linotype" w:cs="Arial"/>
        <w:b/>
        <w:bCs/>
        <w:sz w:val="22"/>
        <w:szCs w:val="22"/>
        <w:lang w:eastAsia="es-MX"/>
      </w:rPr>
      <w:t>4</w:t>
    </w:r>
    <w:r w:rsidR="00C5405F">
      <w:rPr>
        <w:rFonts w:ascii="Palatino Linotype" w:hAnsi="Palatino Linotype" w:cs="Arial"/>
        <w:b/>
        <w:bCs/>
        <w:sz w:val="22"/>
        <w:szCs w:val="22"/>
        <w:lang w:eastAsia="es-MX"/>
      </w:rPr>
      <w:t>706</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21</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653AE8"/>
    <w:multiLevelType w:val="hybridMultilevel"/>
    <w:tmpl w:val="52B2D4EC"/>
    <w:lvl w:ilvl="0" w:tplc="A120D7D2">
      <w:start w:val="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536BB1"/>
    <w:multiLevelType w:val="hybridMultilevel"/>
    <w:tmpl w:val="B28AC8E0"/>
    <w:lvl w:ilvl="0" w:tplc="4470E700">
      <w:start w:val="6"/>
      <w:numFmt w:val="bullet"/>
      <w:lvlText w:val="-"/>
      <w:lvlJc w:val="left"/>
      <w:pPr>
        <w:ind w:left="361" w:hanging="360"/>
      </w:pPr>
      <w:rPr>
        <w:rFonts w:ascii="Palatino Linotype" w:eastAsia="Times New Roman" w:hAnsi="Palatino Linotype" w:cs="Times New Roman" w:hint="default"/>
      </w:rPr>
    </w:lvl>
    <w:lvl w:ilvl="1" w:tplc="080A0003" w:tentative="1">
      <w:start w:val="1"/>
      <w:numFmt w:val="bullet"/>
      <w:lvlText w:val="o"/>
      <w:lvlJc w:val="left"/>
      <w:pPr>
        <w:ind w:left="1081" w:hanging="360"/>
      </w:pPr>
      <w:rPr>
        <w:rFonts w:ascii="Courier New" w:hAnsi="Courier New" w:cs="Courier New" w:hint="default"/>
      </w:rPr>
    </w:lvl>
    <w:lvl w:ilvl="2" w:tplc="080A0005" w:tentative="1">
      <w:start w:val="1"/>
      <w:numFmt w:val="bullet"/>
      <w:lvlText w:val=""/>
      <w:lvlJc w:val="left"/>
      <w:pPr>
        <w:ind w:left="1801" w:hanging="360"/>
      </w:pPr>
      <w:rPr>
        <w:rFonts w:ascii="Wingdings" w:hAnsi="Wingdings" w:hint="default"/>
      </w:rPr>
    </w:lvl>
    <w:lvl w:ilvl="3" w:tplc="080A0001" w:tentative="1">
      <w:start w:val="1"/>
      <w:numFmt w:val="bullet"/>
      <w:lvlText w:val=""/>
      <w:lvlJc w:val="left"/>
      <w:pPr>
        <w:ind w:left="2521" w:hanging="360"/>
      </w:pPr>
      <w:rPr>
        <w:rFonts w:ascii="Symbol" w:hAnsi="Symbol" w:hint="default"/>
      </w:rPr>
    </w:lvl>
    <w:lvl w:ilvl="4" w:tplc="080A0003" w:tentative="1">
      <w:start w:val="1"/>
      <w:numFmt w:val="bullet"/>
      <w:lvlText w:val="o"/>
      <w:lvlJc w:val="left"/>
      <w:pPr>
        <w:ind w:left="3241" w:hanging="360"/>
      </w:pPr>
      <w:rPr>
        <w:rFonts w:ascii="Courier New" w:hAnsi="Courier New" w:cs="Courier New" w:hint="default"/>
      </w:rPr>
    </w:lvl>
    <w:lvl w:ilvl="5" w:tplc="080A0005" w:tentative="1">
      <w:start w:val="1"/>
      <w:numFmt w:val="bullet"/>
      <w:lvlText w:val=""/>
      <w:lvlJc w:val="left"/>
      <w:pPr>
        <w:ind w:left="3961" w:hanging="360"/>
      </w:pPr>
      <w:rPr>
        <w:rFonts w:ascii="Wingdings" w:hAnsi="Wingdings" w:hint="default"/>
      </w:rPr>
    </w:lvl>
    <w:lvl w:ilvl="6" w:tplc="080A0001" w:tentative="1">
      <w:start w:val="1"/>
      <w:numFmt w:val="bullet"/>
      <w:lvlText w:val=""/>
      <w:lvlJc w:val="left"/>
      <w:pPr>
        <w:ind w:left="4681" w:hanging="360"/>
      </w:pPr>
      <w:rPr>
        <w:rFonts w:ascii="Symbol" w:hAnsi="Symbol" w:hint="default"/>
      </w:rPr>
    </w:lvl>
    <w:lvl w:ilvl="7" w:tplc="080A0003" w:tentative="1">
      <w:start w:val="1"/>
      <w:numFmt w:val="bullet"/>
      <w:lvlText w:val="o"/>
      <w:lvlJc w:val="left"/>
      <w:pPr>
        <w:ind w:left="5401" w:hanging="360"/>
      </w:pPr>
      <w:rPr>
        <w:rFonts w:ascii="Courier New" w:hAnsi="Courier New" w:cs="Courier New" w:hint="default"/>
      </w:rPr>
    </w:lvl>
    <w:lvl w:ilvl="8" w:tplc="080A0005" w:tentative="1">
      <w:start w:val="1"/>
      <w:numFmt w:val="bullet"/>
      <w:lvlText w:val=""/>
      <w:lvlJc w:val="left"/>
      <w:pPr>
        <w:ind w:left="6121" w:hanging="360"/>
      </w:pPr>
      <w:rPr>
        <w:rFonts w:ascii="Wingdings" w:hAnsi="Wingdings" w:hint="default"/>
      </w:rPr>
    </w:lvl>
  </w:abstractNum>
  <w:abstractNum w:abstractNumId="9"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0"/>
  </w:num>
  <w:num w:numId="3">
    <w:abstractNumId w:val="10"/>
  </w:num>
  <w:num w:numId="4">
    <w:abstractNumId w:val="7"/>
  </w:num>
  <w:num w:numId="5">
    <w:abstractNumId w:val="9"/>
  </w:num>
  <w:num w:numId="6">
    <w:abstractNumId w:val="11"/>
  </w:num>
  <w:num w:numId="7">
    <w:abstractNumId w:val="4"/>
  </w:num>
  <w:num w:numId="8">
    <w:abstractNumId w:val="1"/>
  </w:num>
  <w:num w:numId="9">
    <w:abstractNumId w:val="5"/>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21E7"/>
    <w:rsid w:val="000E1ABA"/>
    <w:rsid w:val="000E517C"/>
    <w:rsid w:val="000F14DA"/>
    <w:rsid w:val="000F1B77"/>
    <w:rsid w:val="000F49C4"/>
    <w:rsid w:val="00105765"/>
    <w:rsid w:val="00137BCF"/>
    <w:rsid w:val="00145FED"/>
    <w:rsid w:val="00186357"/>
    <w:rsid w:val="0019696B"/>
    <w:rsid w:val="001B3D19"/>
    <w:rsid w:val="00233154"/>
    <w:rsid w:val="002351CE"/>
    <w:rsid w:val="002374B9"/>
    <w:rsid w:val="00240D8D"/>
    <w:rsid w:val="00252976"/>
    <w:rsid w:val="00256512"/>
    <w:rsid w:val="002660DA"/>
    <w:rsid w:val="002A7B4E"/>
    <w:rsid w:val="002C14F9"/>
    <w:rsid w:val="00307916"/>
    <w:rsid w:val="0031079C"/>
    <w:rsid w:val="00330955"/>
    <w:rsid w:val="00336332"/>
    <w:rsid w:val="00341093"/>
    <w:rsid w:val="003847F7"/>
    <w:rsid w:val="00384C8B"/>
    <w:rsid w:val="00396F4A"/>
    <w:rsid w:val="003D76A7"/>
    <w:rsid w:val="003F52D7"/>
    <w:rsid w:val="00403FFD"/>
    <w:rsid w:val="004402F7"/>
    <w:rsid w:val="00491A04"/>
    <w:rsid w:val="00494F48"/>
    <w:rsid w:val="004C1443"/>
    <w:rsid w:val="004C3DCE"/>
    <w:rsid w:val="004D3A6E"/>
    <w:rsid w:val="004D5C09"/>
    <w:rsid w:val="004F50E3"/>
    <w:rsid w:val="004F5AE8"/>
    <w:rsid w:val="005251CB"/>
    <w:rsid w:val="00526C8E"/>
    <w:rsid w:val="00546280"/>
    <w:rsid w:val="005733EB"/>
    <w:rsid w:val="00574B54"/>
    <w:rsid w:val="005D0EB7"/>
    <w:rsid w:val="005E2445"/>
    <w:rsid w:val="005E313C"/>
    <w:rsid w:val="005E760F"/>
    <w:rsid w:val="006069F7"/>
    <w:rsid w:val="00613A04"/>
    <w:rsid w:val="006342FD"/>
    <w:rsid w:val="00667D1F"/>
    <w:rsid w:val="006A51FD"/>
    <w:rsid w:val="006C5B19"/>
    <w:rsid w:val="006D3740"/>
    <w:rsid w:val="006D627E"/>
    <w:rsid w:val="006F3E7B"/>
    <w:rsid w:val="006F544E"/>
    <w:rsid w:val="006F7F79"/>
    <w:rsid w:val="00707558"/>
    <w:rsid w:val="0071133A"/>
    <w:rsid w:val="0071304D"/>
    <w:rsid w:val="007518F5"/>
    <w:rsid w:val="00787CFE"/>
    <w:rsid w:val="007A7D0D"/>
    <w:rsid w:val="007B5209"/>
    <w:rsid w:val="007B733E"/>
    <w:rsid w:val="007C0DCC"/>
    <w:rsid w:val="007C4507"/>
    <w:rsid w:val="008037AF"/>
    <w:rsid w:val="00852785"/>
    <w:rsid w:val="00860B45"/>
    <w:rsid w:val="00875FA7"/>
    <w:rsid w:val="0088608D"/>
    <w:rsid w:val="008D6140"/>
    <w:rsid w:val="008E47B8"/>
    <w:rsid w:val="008F6B22"/>
    <w:rsid w:val="00900682"/>
    <w:rsid w:val="00911F00"/>
    <w:rsid w:val="00915E74"/>
    <w:rsid w:val="0099768F"/>
    <w:rsid w:val="009B46D0"/>
    <w:rsid w:val="009B4A62"/>
    <w:rsid w:val="009C651B"/>
    <w:rsid w:val="009C71D3"/>
    <w:rsid w:val="009E6EF2"/>
    <w:rsid w:val="00A16488"/>
    <w:rsid w:val="00A430F5"/>
    <w:rsid w:val="00A85CFE"/>
    <w:rsid w:val="00A9353F"/>
    <w:rsid w:val="00AF71C1"/>
    <w:rsid w:val="00B40E2E"/>
    <w:rsid w:val="00B6198B"/>
    <w:rsid w:val="00B71EFC"/>
    <w:rsid w:val="00B77C19"/>
    <w:rsid w:val="00B9020A"/>
    <w:rsid w:val="00C42420"/>
    <w:rsid w:val="00C5405F"/>
    <w:rsid w:val="00C61583"/>
    <w:rsid w:val="00C96E88"/>
    <w:rsid w:val="00CF11A8"/>
    <w:rsid w:val="00D014A2"/>
    <w:rsid w:val="00D040F5"/>
    <w:rsid w:val="00D07A66"/>
    <w:rsid w:val="00D11D0B"/>
    <w:rsid w:val="00D26D4E"/>
    <w:rsid w:val="00D37D83"/>
    <w:rsid w:val="00D675E4"/>
    <w:rsid w:val="00D875B1"/>
    <w:rsid w:val="00D953EF"/>
    <w:rsid w:val="00DB0A5B"/>
    <w:rsid w:val="00DB6F26"/>
    <w:rsid w:val="00DC5F78"/>
    <w:rsid w:val="00DD13E2"/>
    <w:rsid w:val="00E34CA6"/>
    <w:rsid w:val="00E554DC"/>
    <w:rsid w:val="00E6367E"/>
    <w:rsid w:val="00E92686"/>
    <w:rsid w:val="00EC70B3"/>
    <w:rsid w:val="00EE051D"/>
    <w:rsid w:val="00F07361"/>
    <w:rsid w:val="00F2106C"/>
    <w:rsid w:val="00F57C84"/>
    <w:rsid w:val="00F81579"/>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80">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f2.scjn.gob.mx/detalle/tesis/160525"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1833-E68D-4D50-AA91-7A5D5441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2772</Words>
  <Characters>15247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2021-11-29T17:29:00Z</cp:lastPrinted>
  <dcterms:created xsi:type="dcterms:W3CDTF">2021-11-29T15:10:00Z</dcterms:created>
  <dcterms:modified xsi:type="dcterms:W3CDTF">2021-12-01T14:30:00Z</dcterms:modified>
</cp:coreProperties>
</file>