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072A" w14:textId="4A3ED2DD" w:rsidR="007B1CFA" w:rsidRPr="00CF3F65" w:rsidRDefault="007B1CFA" w:rsidP="00CF3F65">
      <w:pPr>
        <w:spacing w:line="360" w:lineRule="auto"/>
        <w:jc w:val="both"/>
        <w:rPr>
          <w:rFonts w:ascii="Palatino Linotype" w:hAnsi="Palatino Linotype" w:cs="Arial"/>
          <w:b/>
        </w:rPr>
      </w:pPr>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8F67BC">
        <w:rPr>
          <w:rFonts w:ascii="Palatino Linotype" w:eastAsia="Palatino Linotype" w:hAnsi="Palatino Linotype" w:cs="Palatino Linotype"/>
          <w:b/>
        </w:rPr>
        <w:t>06504/INFOEM/IP/RR/2021</w:t>
      </w:r>
      <w:r w:rsidRPr="00CF3F65">
        <w:rPr>
          <w:rFonts w:ascii="Palatino Linotype" w:hAnsi="Palatino Linotype" w:cs="Arial"/>
          <w:b/>
        </w:rPr>
        <w:t>.</w:t>
      </w:r>
    </w:p>
    <w:p w14:paraId="475DCE38" w14:textId="77777777" w:rsidR="007B1CFA" w:rsidRPr="00CF3F65" w:rsidRDefault="007B1CF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1C277D2F" w14:textId="35966181" w:rsidR="00CF3F65"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8F67BC">
        <w:rPr>
          <w:rFonts w:ascii="Palatino Linotype" w:eastAsia="Palatino Linotype" w:hAnsi="Palatino Linotype" w:cs="Palatino Linotype"/>
          <w:b/>
        </w:rPr>
        <w:t>06504/INFOEM/IP/RR/2021</w:t>
      </w:r>
      <w:r>
        <w:rPr>
          <w:rFonts w:ascii="Palatino Linotype" w:hAnsi="Palatino Linotype" w:cs="Arial"/>
          <w:b/>
        </w:rPr>
        <w:t xml:space="preserve">, </w:t>
      </w:r>
      <w:r w:rsidRPr="0024476F">
        <w:rPr>
          <w:rFonts w:ascii="Palatino Linotype" w:hAnsi="Palatino Linotype" w:cs="Arial"/>
        </w:rPr>
        <w:t>promovido en contra de</w:t>
      </w:r>
      <w:r>
        <w:rPr>
          <w:rFonts w:ascii="Palatino Linotype" w:hAnsi="Palatino Linotype" w:cs="Arial"/>
        </w:rPr>
        <w:t xml:space="preserve">l </w:t>
      </w:r>
      <w:r w:rsidR="008F67BC">
        <w:rPr>
          <w:rFonts w:ascii="Palatino Linotype" w:eastAsia="Palatino Linotype" w:hAnsi="Palatino Linotype" w:cs="Palatino Linotype"/>
          <w:b/>
        </w:rPr>
        <w:t>Sistema Municipal para el Desarrollo Integral de la Familia de Nezahualcóyotl</w:t>
      </w:r>
      <w:r w:rsidR="008F67BC">
        <w:rPr>
          <w:rFonts w:ascii="Palatino Linotype" w:eastAsia="Palatino Linotype" w:hAnsi="Palatino Linotype" w:cs="Palatino Linotype"/>
          <w:b/>
        </w:rPr>
        <w:t>.</w:t>
      </w:r>
    </w:p>
    <w:p w14:paraId="6EC27884" w14:textId="77777777" w:rsidR="008F67BC" w:rsidRDefault="008F67BC" w:rsidP="008F67BC">
      <w:pPr>
        <w:spacing w:line="360" w:lineRule="auto"/>
        <w:jc w:val="both"/>
        <w:rPr>
          <w:rFonts w:ascii="Palatino Linotype" w:hAnsi="Palatino Linotype" w:cs="Arial"/>
          <w:lang w:val="es-ES_tradnl"/>
        </w:rPr>
      </w:pPr>
    </w:p>
    <w:p w14:paraId="06674462" w14:textId="7F00AEB0" w:rsidR="00861A61" w:rsidRDefault="00CF3F65" w:rsidP="00CF3F65">
      <w:pPr>
        <w:spacing w:line="360" w:lineRule="auto"/>
        <w:contextualSpacing/>
        <w:jc w:val="both"/>
        <w:rPr>
          <w:rFonts w:ascii="Palatino Linotype" w:hAnsi="Palatino Linotype" w:cs="Arial"/>
          <w:lang w:val="es-ES_tradnl"/>
        </w:rPr>
      </w:pPr>
      <w:r>
        <w:rPr>
          <w:rFonts w:ascii="Palatino Linotype" w:eastAsia="Calibri" w:hAnsi="Palatino Linotype" w:cs="Arial"/>
        </w:rPr>
        <w:t>Esto porque l</w:t>
      </w:r>
      <w:r w:rsidR="00F614DA" w:rsidRPr="00CF3F65">
        <w:rPr>
          <w:rFonts w:ascii="Palatino Linotype" w:eastAsia="Calibri" w:hAnsi="Palatino Linotype" w:cs="Arial"/>
        </w:rPr>
        <w:t>a resolución determinó</w:t>
      </w:r>
      <w:r w:rsidR="00F614DA" w:rsidRPr="00CF3F65">
        <w:rPr>
          <w:rFonts w:ascii="Palatino Linotype" w:hAnsi="Palatino Linotype" w:cs="Arial"/>
          <w:lang w:val="es-ES_tradnl"/>
        </w:rPr>
        <w:t xml:space="preserve">, </w:t>
      </w:r>
      <w:r w:rsidR="005C481C">
        <w:rPr>
          <w:rFonts w:ascii="Palatino Linotype" w:hAnsi="Palatino Linotype" w:cs="Arial"/>
          <w:lang w:val="es-ES_tradnl"/>
        </w:rPr>
        <w:t xml:space="preserve">revocar </w:t>
      </w:r>
      <w:r w:rsidR="001C7B07" w:rsidRPr="00CF3F65">
        <w:rPr>
          <w:rFonts w:ascii="Palatino Linotype" w:hAnsi="Palatino Linotype" w:cs="Arial"/>
          <w:lang w:val="es-ES_tradnl"/>
        </w:rPr>
        <w:t xml:space="preserve">la respuesta y </w:t>
      </w:r>
      <w:r w:rsidR="00F614DA" w:rsidRPr="00CF3F65">
        <w:rPr>
          <w:rFonts w:ascii="Palatino Linotype" w:hAnsi="Palatino Linotype" w:cs="Arial"/>
          <w:lang w:val="es-ES_tradnl"/>
        </w:rPr>
        <w:t xml:space="preserve">ordenar </w:t>
      </w:r>
      <w:r w:rsidR="005C481C">
        <w:rPr>
          <w:rFonts w:ascii="Palatino Linotype" w:eastAsia="Palatino Linotype" w:hAnsi="Palatino Linotype" w:cs="Palatino Linotype"/>
        </w:rPr>
        <w:t xml:space="preserve">haga entrega </w:t>
      </w:r>
      <w:r w:rsidR="005C481C">
        <w:rPr>
          <w:rFonts w:ascii="Palatino Linotype" w:eastAsia="Palatino Linotype" w:hAnsi="Palatino Linotype" w:cs="Palatino Linotype"/>
        </w:rPr>
        <w:t>del documento donde conste</w:t>
      </w:r>
      <w:r w:rsidR="005C481C">
        <w:rPr>
          <w:rFonts w:ascii="Palatino Linotype" w:eastAsia="Palatino Linotype" w:hAnsi="Palatino Linotype" w:cs="Palatino Linotype"/>
        </w:rPr>
        <w:t>n i</w:t>
      </w:r>
      <w:r w:rsidR="005C481C">
        <w:rPr>
          <w:rFonts w:ascii="Palatino Linotype" w:eastAsia="Palatino Linotype" w:hAnsi="Palatino Linotype" w:cs="Palatino Linotype"/>
          <w:b/>
        </w:rPr>
        <w:t xml:space="preserve">nformes detallados de los años 2017, 2018, 2019, 2020 y del 1 de enero al 8 de diciembre </w:t>
      </w:r>
      <w:r w:rsidR="005C481C">
        <w:rPr>
          <w:rFonts w:ascii="Palatino Linotype" w:eastAsia="Palatino Linotype" w:hAnsi="Palatino Linotype" w:cs="Palatino Linotype"/>
          <w:b/>
        </w:rPr>
        <w:t xml:space="preserve">de 2021 </w:t>
      </w:r>
      <w:r w:rsidR="005C481C" w:rsidRPr="00BB11DB">
        <w:rPr>
          <w:rFonts w:ascii="Palatino Linotype" w:eastAsia="Palatino Linotype" w:hAnsi="Palatino Linotype" w:cs="Palatino Linotype"/>
        </w:rPr>
        <w:t>de los</w:t>
      </w:r>
      <w:r w:rsidR="005C481C">
        <w:rPr>
          <w:rFonts w:ascii="Palatino Linotype" w:eastAsia="Palatino Linotype" w:hAnsi="Palatino Linotype" w:cs="Palatino Linotype"/>
          <w:b/>
        </w:rPr>
        <w:t xml:space="preserve"> </w:t>
      </w:r>
      <w:r w:rsidR="005C481C">
        <w:rPr>
          <w:rFonts w:ascii="Palatino Linotype" w:eastAsia="Palatino Linotype" w:hAnsi="Palatino Linotype" w:cs="Palatino Linotype"/>
          <w:sz w:val="22"/>
          <w:szCs w:val="22"/>
        </w:rPr>
        <w:t>procedimientos por faltas graves absolutorias y que hayan causado estado (</w:t>
      </w:r>
      <w:r w:rsidR="005C481C">
        <w:rPr>
          <w:rFonts w:ascii="Palatino Linotype" w:eastAsia="Palatino Linotype" w:hAnsi="Palatino Linotype" w:cs="Palatino Linotype"/>
          <w:i/>
        </w:rPr>
        <w:t>clasificando como confidencial el nombre y cargo)</w:t>
      </w:r>
      <w:r w:rsidR="005C481C">
        <w:rPr>
          <w:rFonts w:ascii="Palatino Linotype" w:eastAsia="Palatino Linotype" w:hAnsi="Palatino Linotype" w:cs="Palatino Linotype"/>
          <w:sz w:val="22"/>
          <w:szCs w:val="22"/>
        </w:rPr>
        <w:t xml:space="preserve">, </w:t>
      </w:r>
      <w:r w:rsidR="00F614DA" w:rsidRPr="00CF3F65">
        <w:rPr>
          <w:rFonts w:ascii="Palatino Linotype" w:hAnsi="Palatino Linotype" w:cs="Arial"/>
          <w:lang w:val="es-ES_tradnl"/>
        </w:rPr>
        <w:t xml:space="preserve">si bien es cierto </w:t>
      </w:r>
      <w:r w:rsidR="00861A61">
        <w:rPr>
          <w:rFonts w:ascii="Palatino Linotype" w:hAnsi="Palatino Linotype" w:cs="Arial"/>
          <w:lang w:val="es-ES_tradnl"/>
        </w:rPr>
        <w:t>se comparte</w:t>
      </w:r>
      <w:r w:rsidR="00F614DA" w:rsidRPr="00CF3F65">
        <w:rPr>
          <w:rFonts w:ascii="Palatino Linotype" w:hAnsi="Palatino Linotype" w:cs="Arial"/>
          <w:lang w:val="es-ES_tradnl"/>
        </w:rPr>
        <w:t xml:space="preserve"> la determinación de </w:t>
      </w:r>
      <w:r w:rsidR="00861A61">
        <w:rPr>
          <w:rFonts w:ascii="Palatino Linotype" w:hAnsi="Palatino Linotype" w:cs="Arial"/>
          <w:lang w:val="es-ES_tradnl"/>
        </w:rPr>
        <w:t>ordenar</w:t>
      </w:r>
      <w:r w:rsidR="00216C06">
        <w:rPr>
          <w:rFonts w:ascii="Palatino Linotype" w:hAnsi="Palatino Linotype" w:cs="Arial"/>
          <w:lang w:val="es-ES_tradnl"/>
        </w:rPr>
        <w:t xml:space="preserve"> dicha información,</w:t>
      </w:r>
      <w:r w:rsidR="00F614DA" w:rsidRPr="00CF3F65">
        <w:rPr>
          <w:rFonts w:ascii="Palatino Linotype" w:hAnsi="Palatino Linotype" w:cs="Arial"/>
          <w:lang w:val="es-ES_tradnl"/>
        </w:rPr>
        <w:t xml:space="preserve"> también lo es que </w:t>
      </w:r>
      <w:r>
        <w:rPr>
          <w:rFonts w:ascii="Palatino Linotype" w:hAnsi="Palatino Linotype" w:cs="Arial"/>
          <w:lang w:val="es-ES_tradnl"/>
        </w:rPr>
        <w:t xml:space="preserve">se considera, </w:t>
      </w:r>
      <w:r w:rsidR="00861A61">
        <w:rPr>
          <w:rFonts w:ascii="Palatino Linotype" w:hAnsi="Palatino Linotype" w:cs="Arial"/>
          <w:lang w:val="es-ES_tradnl"/>
        </w:rPr>
        <w:t xml:space="preserve">que </w:t>
      </w:r>
      <w:r w:rsidR="0067340C" w:rsidRPr="00CF3F65">
        <w:rPr>
          <w:rFonts w:ascii="Palatino Linotype" w:hAnsi="Palatino Linotype" w:cs="Arial"/>
          <w:lang w:val="es-ES_tradnl"/>
        </w:rPr>
        <w:t>no deb</w:t>
      </w:r>
      <w:r>
        <w:rPr>
          <w:rFonts w:ascii="Palatino Linotype" w:hAnsi="Palatino Linotype" w:cs="Arial"/>
          <w:lang w:val="es-ES_tradnl"/>
        </w:rPr>
        <w:t>e</w:t>
      </w:r>
      <w:r w:rsidR="0067340C" w:rsidRPr="00CF3F65">
        <w:rPr>
          <w:rFonts w:ascii="Palatino Linotype" w:hAnsi="Palatino Linotype" w:cs="Arial"/>
          <w:lang w:val="es-ES_tradnl"/>
        </w:rPr>
        <w:t xml:space="preserve"> </w:t>
      </w:r>
      <w:r w:rsidR="001C7B07" w:rsidRPr="00CF3F65">
        <w:rPr>
          <w:rFonts w:ascii="Palatino Linotype" w:hAnsi="Palatino Linotype" w:cs="Arial"/>
          <w:lang w:val="es-ES_tradnl"/>
        </w:rPr>
        <w:t>clasificar</w:t>
      </w:r>
      <w:r>
        <w:rPr>
          <w:rFonts w:ascii="Palatino Linotype" w:hAnsi="Palatino Linotype" w:cs="Arial"/>
          <w:lang w:val="es-ES_tradnl"/>
        </w:rPr>
        <w:t>se</w:t>
      </w:r>
      <w:r w:rsidR="00F614DA" w:rsidRPr="00CF3F65">
        <w:rPr>
          <w:rFonts w:ascii="Palatino Linotype" w:hAnsi="Palatino Linotype" w:cs="Arial"/>
          <w:lang w:val="es-ES_tradnl"/>
        </w:rPr>
        <w:t xml:space="preserve"> </w:t>
      </w:r>
      <w:r w:rsidR="00861A61">
        <w:rPr>
          <w:rFonts w:ascii="Palatino Linotype" w:hAnsi="Palatino Linotype" w:cs="Arial"/>
          <w:lang w:val="es-ES_tradnl"/>
        </w:rPr>
        <w:t>e</w:t>
      </w:r>
      <w:r w:rsidR="00F614DA" w:rsidRPr="00CF3F65">
        <w:rPr>
          <w:rFonts w:ascii="Palatino Linotype" w:hAnsi="Palatino Linotype" w:cs="Arial"/>
          <w:lang w:val="es-ES_tradnl"/>
        </w:rPr>
        <w:t>l</w:t>
      </w:r>
      <w:r w:rsidR="00861A61">
        <w:rPr>
          <w:rFonts w:ascii="Palatino Linotype" w:hAnsi="Palatino Linotype" w:cs="Arial"/>
          <w:lang w:val="es-ES_tradnl"/>
        </w:rPr>
        <w:t xml:space="preserve"> nombre</w:t>
      </w:r>
      <w:r w:rsidR="00D36ABC">
        <w:rPr>
          <w:rFonts w:ascii="Palatino Linotype" w:hAnsi="Palatino Linotype" w:cs="Arial"/>
          <w:lang w:val="es-ES_tradnl"/>
        </w:rPr>
        <w:t>, cargo o</w:t>
      </w:r>
      <w:r w:rsidR="00A74BB7" w:rsidRPr="00CF3F65">
        <w:rPr>
          <w:rFonts w:ascii="Palatino Linotype" w:hAnsi="Palatino Linotype" w:cs="Arial"/>
          <w:lang w:val="es-ES_tradnl"/>
        </w:rPr>
        <w:t xml:space="preserve"> área de adscripción </w:t>
      </w:r>
      <w:r w:rsidR="0067340C" w:rsidRPr="00CF3F65">
        <w:rPr>
          <w:rFonts w:ascii="Palatino Linotype" w:hAnsi="Palatino Linotype" w:cs="Arial"/>
          <w:lang w:val="es-ES_tradnl"/>
        </w:rPr>
        <w:t xml:space="preserve">de los servidores públicos </w:t>
      </w:r>
      <w:r w:rsidR="001C7B07" w:rsidRPr="00CF3F65">
        <w:rPr>
          <w:rFonts w:ascii="Palatino Linotype" w:hAnsi="Palatino Linotype" w:cs="Arial"/>
          <w:lang w:val="es-ES_tradnl"/>
        </w:rPr>
        <w:t>a los que se les hayan iniciado procedimientos, si la resolución que pus</w:t>
      </w:r>
      <w:r w:rsidR="00861A61">
        <w:rPr>
          <w:rFonts w:ascii="Palatino Linotype" w:hAnsi="Palatino Linotype" w:cs="Arial"/>
          <w:lang w:val="es-ES_tradnl"/>
        </w:rPr>
        <w:t xml:space="preserve">o fin al asunto fue </w:t>
      </w:r>
      <w:r w:rsidR="00861A61" w:rsidRPr="00D36ABC">
        <w:rPr>
          <w:rFonts w:ascii="Palatino Linotype" w:hAnsi="Palatino Linotype" w:cs="Arial"/>
          <w:b/>
          <w:lang w:val="es-ES_tradnl"/>
        </w:rPr>
        <w:t>absolutoria</w:t>
      </w:r>
      <w:r w:rsidR="00861A61">
        <w:rPr>
          <w:rFonts w:ascii="Palatino Linotype" w:hAnsi="Palatino Linotype" w:cs="Arial"/>
          <w:lang w:val="es-ES_tradnl"/>
        </w:rPr>
        <w:t>, ya que e</w:t>
      </w:r>
      <w:r w:rsidR="00861A61" w:rsidRPr="00861A61">
        <w:rPr>
          <w:rFonts w:ascii="Palatino Linotype" w:hAnsi="Palatino Linotype" w:cs="Arial"/>
          <w:lang w:val="es-ES_tradnl"/>
        </w:rPr>
        <w:t xml:space="preserve">ntregar </w:t>
      </w:r>
      <w:r w:rsidR="00861A61">
        <w:rPr>
          <w:rFonts w:ascii="Palatino Linotype" w:hAnsi="Palatino Linotype" w:cs="Arial"/>
          <w:lang w:val="es-ES_tradnl"/>
        </w:rPr>
        <w:t>es</w:t>
      </w:r>
      <w:r w:rsidR="00861A61" w:rsidRPr="00861A61">
        <w:rPr>
          <w:rFonts w:ascii="Palatino Linotype" w:hAnsi="Palatino Linotype" w:cs="Arial"/>
          <w:lang w:val="es-ES_tradnl"/>
        </w:rPr>
        <w:t xml:space="preserve">a información transparenta la gestión pública y la rendición de cuentas, </w:t>
      </w:r>
      <w:r w:rsidR="00861A61" w:rsidRPr="00861A61">
        <w:rPr>
          <w:rFonts w:ascii="Palatino Linotype" w:hAnsi="Palatino Linotype" w:cs="Arial"/>
          <w:lang w:val="es-ES_tradnl"/>
        </w:rPr>
        <w:lastRenderedPageBreak/>
        <w:t xml:space="preserve">pues se observa, que los servidores públicos, han cumplido con sus obligaciones </w:t>
      </w:r>
      <w:r w:rsidR="00861A61">
        <w:rPr>
          <w:rFonts w:ascii="Palatino Linotype" w:hAnsi="Palatino Linotype" w:cs="Arial"/>
          <w:lang w:val="es-ES_tradnl"/>
        </w:rPr>
        <w:t xml:space="preserve">y </w:t>
      </w:r>
      <w:r w:rsidR="00861A61" w:rsidRPr="00861A61">
        <w:rPr>
          <w:rFonts w:ascii="Palatino Linotype" w:hAnsi="Palatino Linotype" w:cs="Arial"/>
          <w:lang w:val="es-ES_tradnl"/>
        </w:rPr>
        <w:t>no ha cometido actos irregulares</w:t>
      </w:r>
      <w:r w:rsidR="00861A61">
        <w:rPr>
          <w:rFonts w:ascii="Palatino Linotype" w:hAnsi="Palatino Linotype" w:cs="Arial"/>
          <w:lang w:val="es-ES_tradnl"/>
        </w:rPr>
        <w:t xml:space="preserve">, </w:t>
      </w:r>
      <w:r w:rsidR="00861A61" w:rsidRPr="00861A61">
        <w:rPr>
          <w:rFonts w:ascii="Palatino Linotype" w:hAnsi="Palatino Linotype" w:cs="Arial"/>
          <w:lang w:val="es-ES_tradnl"/>
        </w:rPr>
        <w:t>actua</w:t>
      </w:r>
      <w:r w:rsidR="00861A61">
        <w:rPr>
          <w:rFonts w:ascii="Palatino Linotype" w:hAnsi="Palatino Linotype" w:cs="Arial"/>
          <w:lang w:val="es-ES_tradnl"/>
        </w:rPr>
        <w:t>n</w:t>
      </w:r>
      <w:r w:rsidR="00C85F1D">
        <w:rPr>
          <w:rFonts w:ascii="Palatino Linotype" w:hAnsi="Palatino Linotype" w:cs="Arial"/>
          <w:lang w:val="es-ES_tradnl"/>
        </w:rPr>
        <w:t>do conforme a la</w:t>
      </w:r>
      <w:r w:rsidR="00861A61" w:rsidRPr="00861A61">
        <w:rPr>
          <w:rFonts w:ascii="Palatino Linotype" w:hAnsi="Palatino Linotype" w:cs="Arial"/>
          <w:lang w:val="es-ES_tradnl"/>
        </w:rPr>
        <w:t xml:space="preserve"> normatividad aplicable. </w:t>
      </w:r>
    </w:p>
    <w:p w14:paraId="057E861F" w14:textId="77777777" w:rsidR="00861A61" w:rsidRDefault="00861A61" w:rsidP="00CF3F65">
      <w:pPr>
        <w:spacing w:line="360" w:lineRule="auto"/>
        <w:contextualSpacing/>
        <w:jc w:val="both"/>
        <w:rPr>
          <w:rFonts w:ascii="Palatino Linotype" w:hAnsi="Palatino Linotype" w:cs="Arial"/>
          <w:lang w:val="es-ES_tradnl"/>
        </w:rPr>
      </w:pPr>
    </w:p>
    <w:p w14:paraId="4EAB60DB" w14:textId="77777777" w:rsidR="007B1CFA" w:rsidRPr="00CF3F65" w:rsidRDefault="007B1CFA" w:rsidP="00CF3F65">
      <w:pPr>
        <w:pStyle w:val="Ttulo1"/>
        <w:numPr>
          <w:ilvl w:val="0"/>
          <w:numId w:val="2"/>
        </w:numPr>
        <w:spacing w:before="0" w:line="360" w:lineRule="auto"/>
        <w:rPr>
          <w:rFonts w:ascii="Palatino Linotype" w:hAnsi="Palatino Linotype"/>
          <w:color w:val="000000" w:themeColor="text1"/>
          <w:sz w:val="24"/>
          <w:szCs w:val="24"/>
        </w:rPr>
      </w:pPr>
      <w:bookmarkStart w:id="1" w:name="_Toc70345223"/>
      <w:r w:rsidRPr="00CF3F65">
        <w:rPr>
          <w:rFonts w:ascii="Palatino Linotype" w:hAnsi="Palatino Linotype"/>
          <w:color w:val="000000" w:themeColor="text1"/>
          <w:sz w:val="24"/>
          <w:szCs w:val="24"/>
        </w:rPr>
        <w:t>De los requerimientos planteados.</w:t>
      </w:r>
      <w:bookmarkEnd w:id="1"/>
    </w:p>
    <w:p w14:paraId="4177E27C" w14:textId="77777777" w:rsidR="00524594" w:rsidRPr="00CF3F65" w:rsidRDefault="00524594" w:rsidP="00CF3F65">
      <w:pPr>
        <w:pStyle w:val="Prrafodelista"/>
        <w:spacing w:line="360" w:lineRule="auto"/>
        <w:ind w:left="0"/>
        <w:jc w:val="both"/>
        <w:rPr>
          <w:rFonts w:ascii="Palatino Linotype" w:hAnsi="Palatino Linotype"/>
        </w:rPr>
      </w:pPr>
    </w:p>
    <w:p w14:paraId="090D0BE9" w14:textId="203B7361" w:rsidR="005C481C" w:rsidRDefault="00861A61" w:rsidP="005C481C">
      <w:pPr>
        <w:spacing w:before="240" w:after="240" w:line="360" w:lineRule="auto"/>
        <w:jc w:val="both"/>
        <w:rPr>
          <w:rFonts w:ascii="Palatino Linotype" w:eastAsia="Palatino Linotype" w:hAnsi="Palatino Linotype" w:cs="Palatino Linotype"/>
        </w:rPr>
      </w:pPr>
      <w:r>
        <w:rPr>
          <w:rFonts w:ascii="Palatino Linotype" w:hAnsi="Palatino Linotype" w:cs="Arial"/>
        </w:rPr>
        <w:t xml:space="preserve">El </w:t>
      </w:r>
      <w:r w:rsidR="005C481C">
        <w:rPr>
          <w:rFonts w:ascii="Palatino Linotype" w:hAnsi="Palatino Linotype" w:cs="Arial"/>
        </w:rPr>
        <w:t>r</w:t>
      </w:r>
      <w:r w:rsidR="005C481C">
        <w:rPr>
          <w:rFonts w:ascii="Palatino Linotype" w:eastAsia="Palatino Linotype" w:hAnsi="Palatino Linotype" w:cs="Palatino Linotype"/>
          <w:b/>
        </w:rPr>
        <w:t>ecurrente</w:t>
      </w:r>
      <w:r w:rsidR="005C481C">
        <w:rPr>
          <w:rFonts w:ascii="Palatino Linotype" w:eastAsia="Palatino Linotype" w:hAnsi="Palatino Linotype" w:cs="Palatino Linotype"/>
        </w:rPr>
        <w:t xml:space="preserve"> formuló solicitudes de acceso a información pública a través del Sistema de Acceso a la Información Mexiquense, en adelante </w:t>
      </w:r>
      <w:r w:rsidR="005C481C">
        <w:rPr>
          <w:rFonts w:ascii="Palatino Linotype" w:eastAsia="Palatino Linotype" w:hAnsi="Palatino Linotype" w:cs="Palatino Linotype"/>
          <w:b/>
        </w:rPr>
        <w:t>SAIMEX,</w:t>
      </w:r>
      <w:r w:rsidR="005C481C">
        <w:rPr>
          <w:rFonts w:ascii="Palatino Linotype" w:eastAsia="Palatino Linotype" w:hAnsi="Palatino Linotype" w:cs="Palatino Linotype"/>
        </w:rPr>
        <w:t xml:space="preserve"> en la que requirió lo siguiente:</w:t>
      </w:r>
    </w:p>
    <w:tbl>
      <w:tblPr>
        <w:tblW w:w="8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5895"/>
      </w:tblGrid>
      <w:tr w:rsidR="005C481C" w14:paraId="49BA13E1" w14:textId="77777777" w:rsidTr="00BB11DB">
        <w:trPr>
          <w:trHeight w:val="360"/>
        </w:trPr>
        <w:tc>
          <w:tcPr>
            <w:tcW w:w="2940" w:type="dxa"/>
            <w:tcBorders>
              <w:top w:val="single" w:sz="4" w:space="0" w:color="000000"/>
              <w:left w:val="single" w:sz="4" w:space="0" w:color="000000"/>
              <w:bottom w:val="single" w:sz="4" w:space="0" w:color="000000"/>
              <w:right w:val="single" w:sz="4" w:space="0" w:color="000000"/>
            </w:tcBorders>
            <w:shd w:val="clear" w:color="auto" w:fill="D9D9D9"/>
            <w:hideMark/>
          </w:tcPr>
          <w:p w14:paraId="7EFD769E"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Número de solicitud</w:t>
            </w:r>
            <w:bookmarkStart w:id="2" w:name="_heading=h.1fob9te"/>
            <w:bookmarkEnd w:id="2"/>
          </w:p>
        </w:tc>
        <w:tc>
          <w:tcPr>
            <w:tcW w:w="5895" w:type="dxa"/>
            <w:tcBorders>
              <w:top w:val="single" w:sz="4" w:space="0" w:color="000000"/>
              <w:left w:val="single" w:sz="4" w:space="0" w:color="000000"/>
              <w:bottom w:val="single" w:sz="4" w:space="0" w:color="000000"/>
              <w:right w:val="single" w:sz="4" w:space="0" w:color="000000"/>
            </w:tcBorders>
            <w:shd w:val="clear" w:color="auto" w:fill="D9D9D9"/>
            <w:hideMark/>
          </w:tcPr>
          <w:p w14:paraId="5CBC9557"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Información requerida.</w:t>
            </w:r>
          </w:p>
        </w:tc>
      </w:tr>
      <w:tr w:rsidR="005C481C" w14:paraId="43A6EB99" w14:textId="77777777" w:rsidTr="00BB11DB">
        <w:trPr>
          <w:trHeight w:val="1434"/>
        </w:trPr>
        <w:tc>
          <w:tcPr>
            <w:tcW w:w="2940" w:type="dxa"/>
            <w:tcBorders>
              <w:top w:val="single" w:sz="4" w:space="0" w:color="000000"/>
              <w:left w:val="single" w:sz="4" w:space="0" w:color="000000"/>
              <w:bottom w:val="single" w:sz="4" w:space="0" w:color="000000"/>
              <w:right w:val="single" w:sz="4" w:space="0" w:color="000000"/>
            </w:tcBorders>
            <w:hideMark/>
          </w:tcPr>
          <w:p w14:paraId="02998073"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00057/DIFNEZA/IP/2</w:t>
            </w:r>
            <w:bookmarkStart w:id="3" w:name="_heading=h.3znysh7"/>
            <w:bookmarkEnd w:id="3"/>
            <w:r>
              <w:rPr>
                <w:rFonts w:ascii="Palatino Linotype" w:eastAsia="Palatino Linotype" w:hAnsi="Palatino Linotype" w:cs="Palatino Linotype"/>
                <w:b/>
                <w:sz w:val="20"/>
                <w:szCs w:val="20"/>
              </w:rPr>
              <w:t>021</w:t>
            </w:r>
          </w:p>
        </w:tc>
        <w:tc>
          <w:tcPr>
            <w:tcW w:w="5895" w:type="dxa"/>
            <w:tcBorders>
              <w:top w:val="single" w:sz="4" w:space="0" w:color="000000"/>
              <w:left w:val="single" w:sz="4" w:space="0" w:color="000000"/>
              <w:bottom w:val="single" w:sz="4" w:space="0" w:color="000000"/>
              <w:right w:val="single" w:sz="4" w:space="0" w:color="000000"/>
            </w:tcBorders>
            <w:hideMark/>
          </w:tcPr>
          <w:p w14:paraId="55E169DB" w14:textId="77777777" w:rsidR="005C481C" w:rsidRDefault="005C481C">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si hay servidores </w:t>
            </w:r>
            <w:proofErr w:type="spellStart"/>
            <w:r>
              <w:rPr>
                <w:rFonts w:ascii="Palatino Linotype" w:eastAsia="Palatino Linotype" w:hAnsi="Palatino Linotype" w:cs="Palatino Linotype"/>
                <w:i/>
                <w:sz w:val="20"/>
                <w:szCs w:val="20"/>
              </w:rPr>
              <w:t>publicos</w:t>
            </w:r>
            <w:proofErr w:type="spellEnd"/>
            <w:r>
              <w:rPr>
                <w:rFonts w:ascii="Palatino Linotype" w:eastAsia="Palatino Linotype" w:hAnsi="Palatino Linotype" w:cs="Palatino Linotype"/>
                <w:i/>
                <w:sz w:val="20"/>
                <w:szCs w:val="20"/>
              </w:rPr>
              <w:t xml:space="preserve"> que tienen procedimientos en el </w:t>
            </w:r>
            <w:proofErr w:type="spellStart"/>
            <w:r>
              <w:rPr>
                <w:rFonts w:ascii="Palatino Linotype" w:eastAsia="Palatino Linotype" w:hAnsi="Palatino Linotype" w:cs="Palatino Linotype"/>
                <w:i/>
                <w:sz w:val="20"/>
                <w:szCs w:val="20"/>
              </w:rPr>
              <w:t>area</w:t>
            </w:r>
            <w:proofErr w:type="spellEnd"/>
            <w:r>
              <w:rPr>
                <w:rFonts w:ascii="Palatino Linotype" w:eastAsia="Palatino Linotype" w:hAnsi="Palatino Linotype" w:cs="Palatino Linotype"/>
                <w:i/>
                <w:sz w:val="20"/>
                <w:szCs w:val="20"/>
              </w:rPr>
              <w:t xml:space="preserve"> de </w:t>
            </w:r>
            <w:proofErr w:type="spellStart"/>
            <w:r>
              <w:rPr>
                <w:rFonts w:ascii="Palatino Linotype" w:eastAsia="Palatino Linotype" w:hAnsi="Palatino Linotype" w:cs="Palatino Linotype"/>
                <w:i/>
                <w:sz w:val="20"/>
                <w:szCs w:val="20"/>
              </w:rPr>
              <w:t>contraloria</w:t>
            </w:r>
            <w:proofErr w:type="spellEnd"/>
            <w:r>
              <w:rPr>
                <w:rFonts w:ascii="Palatino Linotype" w:eastAsia="Palatino Linotype" w:hAnsi="Palatino Linotype" w:cs="Palatino Linotype"/>
                <w:i/>
                <w:sz w:val="20"/>
                <w:szCs w:val="20"/>
              </w:rPr>
              <w:t xml:space="preserve">, el </w:t>
            </w:r>
            <w:proofErr w:type="spellStart"/>
            <w:r>
              <w:rPr>
                <w:rFonts w:ascii="Palatino Linotype" w:eastAsia="Palatino Linotype" w:hAnsi="Palatino Linotype" w:cs="Palatino Linotype"/>
                <w:i/>
                <w:sz w:val="20"/>
                <w:szCs w:val="20"/>
              </w:rPr>
              <w:t>por que</w:t>
            </w:r>
            <w:proofErr w:type="spellEnd"/>
            <w:r>
              <w:rPr>
                <w:rFonts w:ascii="Palatino Linotype" w:eastAsia="Palatino Linotype" w:hAnsi="Palatino Linotype" w:cs="Palatino Linotype"/>
                <w:i/>
                <w:sz w:val="20"/>
                <w:szCs w:val="20"/>
              </w:rPr>
              <w:t xml:space="preserve"> los tienen a detalle en un informe y </w:t>
            </w:r>
            <w:proofErr w:type="spellStart"/>
            <w:r>
              <w:rPr>
                <w:rFonts w:ascii="Palatino Linotype" w:eastAsia="Palatino Linotype" w:hAnsi="Palatino Linotype" w:cs="Palatino Linotype"/>
                <w:i/>
                <w:sz w:val="20"/>
                <w:szCs w:val="20"/>
              </w:rPr>
              <w:t>cual</w:t>
            </w:r>
            <w:proofErr w:type="spellEnd"/>
            <w:r>
              <w:rPr>
                <w:rFonts w:ascii="Palatino Linotype" w:eastAsia="Palatino Linotype" w:hAnsi="Palatino Linotype" w:cs="Palatino Linotype"/>
                <w:i/>
                <w:sz w:val="20"/>
                <w:szCs w:val="20"/>
              </w:rPr>
              <w:t xml:space="preserve"> es su estatus y si ya se resolvieron, pido el informe de cada uno detalladamente de los años 2017, 2018,2019,2020 y 2021.” (Sic)</w:t>
            </w:r>
          </w:p>
        </w:tc>
      </w:tr>
      <w:tr w:rsidR="005C481C" w14:paraId="72F7B3B4" w14:textId="77777777" w:rsidTr="00BB11DB">
        <w:trPr>
          <w:trHeight w:val="718"/>
        </w:trPr>
        <w:tc>
          <w:tcPr>
            <w:tcW w:w="2940" w:type="dxa"/>
            <w:tcBorders>
              <w:top w:val="single" w:sz="4" w:space="0" w:color="000000"/>
              <w:left w:val="single" w:sz="4" w:space="0" w:color="000000"/>
              <w:bottom w:val="single" w:sz="4" w:space="0" w:color="000000"/>
              <w:right w:val="single" w:sz="4" w:space="0" w:color="000000"/>
            </w:tcBorders>
            <w:hideMark/>
          </w:tcPr>
          <w:p w14:paraId="75A932C8"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00051/DIFNEZA/IP/2021</w:t>
            </w:r>
          </w:p>
        </w:tc>
        <w:tc>
          <w:tcPr>
            <w:tcW w:w="5895" w:type="dxa"/>
            <w:tcBorders>
              <w:top w:val="single" w:sz="4" w:space="0" w:color="000000"/>
              <w:left w:val="single" w:sz="4" w:space="0" w:color="000000"/>
              <w:bottom w:val="single" w:sz="4" w:space="0" w:color="000000"/>
              <w:right w:val="single" w:sz="4" w:space="0" w:color="000000"/>
            </w:tcBorders>
            <w:hideMark/>
          </w:tcPr>
          <w:p w14:paraId="770E1990" w14:textId="77777777" w:rsidR="005C481C" w:rsidRDefault="005C481C">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los acuses recibidos por la área de </w:t>
            </w:r>
            <w:proofErr w:type="spellStart"/>
            <w:r>
              <w:rPr>
                <w:rFonts w:ascii="Palatino Linotype" w:eastAsia="Palatino Linotype" w:hAnsi="Palatino Linotype" w:cs="Palatino Linotype"/>
                <w:i/>
                <w:sz w:val="20"/>
                <w:szCs w:val="20"/>
              </w:rPr>
              <w:t>direccion</w:t>
            </w:r>
            <w:proofErr w:type="spellEnd"/>
            <w:r>
              <w:rPr>
                <w:rFonts w:ascii="Palatino Linotype" w:eastAsia="Palatino Linotype" w:hAnsi="Palatino Linotype" w:cs="Palatino Linotype"/>
                <w:i/>
                <w:sz w:val="20"/>
                <w:szCs w:val="20"/>
              </w:rPr>
              <w:t xml:space="preserve"> del año 2018 a todas las áreas.” (Sic)</w:t>
            </w:r>
          </w:p>
        </w:tc>
      </w:tr>
      <w:tr w:rsidR="005C481C" w14:paraId="28129085" w14:textId="77777777" w:rsidTr="00BB11DB">
        <w:trPr>
          <w:trHeight w:val="676"/>
        </w:trPr>
        <w:tc>
          <w:tcPr>
            <w:tcW w:w="2940" w:type="dxa"/>
            <w:tcBorders>
              <w:top w:val="single" w:sz="4" w:space="0" w:color="000000"/>
              <w:left w:val="single" w:sz="4" w:space="0" w:color="000000"/>
              <w:bottom w:val="single" w:sz="4" w:space="0" w:color="000000"/>
              <w:right w:val="single" w:sz="4" w:space="0" w:color="000000"/>
            </w:tcBorders>
            <w:hideMark/>
          </w:tcPr>
          <w:p w14:paraId="23B5ED1D"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00050/DIFNEZA/IP/2021</w:t>
            </w:r>
          </w:p>
        </w:tc>
        <w:tc>
          <w:tcPr>
            <w:tcW w:w="5895" w:type="dxa"/>
            <w:tcBorders>
              <w:top w:val="single" w:sz="4" w:space="0" w:color="000000"/>
              <w:left w:val="single" w:sz="4" w:space="0" w:color="000000"/>
              <w:bottom w:val="single" w:sz="4" w:space="0" w:color="000000"/>
              <w:right w:val="single" w:sz="4" w:space="0" w:color="000000"/>
            </w:tcBorders>
            <w:hideMark/>
          </w:tcPr>
          <w:p w14:paraId="15563A98" w14:textId="77777777" w:rsidR="005C481C" w:rsidRDefault="005C481C">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los acuses recibidos por la área de </w:t>
            </w:r>
            <w:proofErr w:type="spellStart"/>
            <w:r>
              <w:rPr>
                <w:rFonts w:ascii="Palatino Linotype" w:eastAsia="Palatino Linotype" w:hAnsi="Palatino Linotype" w:cs="Palatino Linotype"/>
                <w:i/>
                <w:sz w:val="20"/>
                <w:szCs w:val="20"/>
              </w:rPr>
              <w:t>contraloria</w:t>
            </w:r>
            <w:proofErr w:type="spellEnd"/>
            <w:r>
              <w:rPr>
                <w:rFonts w:ascii="Palatino Linotype" w:eastAsia="Palatino Linotype" w:hAnsi="Palatino Linotype" w:cs="Palatino Linotype"/>
                <w:i/>
                <w:sz w:val="20"/>
                <w:szCs w:val="20"/>
              </w:rPr>
              <w:t xml:space="preserve"> del año 2021 a todas las áreas.” (Sic)</w:t>
            </w:r>
          </w:p>
        </w:tc>
      </w:tr>
      <w:tr w:rsidR="005C481C" w14:paraId="135F056C" w14:textId="77777777" w:rsidTr="00BB11DB">
        <w:trPr>
          <w:trHeight w:val="777"/>
        </w:trPr>
        <w:tc>
          <w:tcPr>
            <w:tcW w:w="2940" w:type="dxa"/>
            <w:tcBorders>
              <w:top w:val="single" w:sz="4" w:space="0" w:color="000000"/>
              <w:left w:val="single" w:sz="4" w:space="0" w:color="000000"/>
              <w:bottom w:val="single" w:sz="4" w:space="0" w:color="000000"/>
              <w:right w:val="single" w:sz="4" w:space="0" w:color="000000"/>
            </w:tcBorders>
            <w:hideMark/>
          </w:tcPr>
          <w:p w14:paraId="6B3EF3BD"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00049/DIFNEZA/IP/2021</w:t>
            </w:r>
          </w:p>
        </w:tc>
        <w:tc>
          <w:tcPr>
            <w:tcW w:w="5895" w:type="dxa"/>
            <w:tcBorders>
              <w:top w:val="single" w:sz="4" w:space="0" w:color="000000"/>
              <w:left w:val="single" w:sz="4" w:space="0" w:color="000000"/>
              <w:bottom w:val="single" w:sz="4" w:space="0" w:color="000000"/>
              <w:right w:val="single" w:sz="4" w:space="0" w:color="000000"/>
            </w:tcBorders>
            <w:hideMark/>
          </w:tcPr>
          <w:p w14:paraId="6919870E" w14:textId="77777777" w:rsidR="005C481C" w:rsidRDefault="005C481C">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los acuses recibidos por la área de </w:t>
            </w:r>
            <w:proofErr w:type="spellStart"/>
            <w:r>
              <w:rPr>
                <w:rFonts w:ascii="Palatino Linotype" w:eastAsia="Palatino Linotype" w:hAnsi="Palatino Linotype" w:cs="Palatino Linotype"/>
                <w:i/>
                <w:sz w:val="20"/>
                <w:szCs w:val="20"/>
              </w:rPr>
              <w:t>contraloria</w:t>
            </w:r>
            <w:proofErr w:type="spellEnd"/>
            <w:r>
              <w:rPr>
                <w:rFonts w:ascii="Palatino Linotype" w:eastAsia="Palatino Linotype" w:hAnsi="Palatino Linotype" w:cs="Palatino Linotype"/>
                <w:i/>
                <w:sz w:val="20"/>
                <w:szCs w:val="20"/>
              </w:rPr>
              <w:t xml:space="preserve"> del año 2020 a todas las áreas. (Sic)</w:t>
            </w:r>
          </w:p>
        </w:tc>
      </w:tr>
      <w:tr w:rsidR="005C481C" w14:paraId="1D8FAD82" w14:textId="77777777" w:rsidTr="00BB11DB">
        <w:tc>
          <w:tcPr>
            <w:tcW w:w="2940" w:type="dxa"/>
            <w:tcBorders>
              <w:top w:val="single" w:sz="4" w:space="0" w:color="000000"/>
              <w:left w:val="single" w:sz="4" w:space="0" w:color="000000"/>
              <w:bottom w:val="single" w:sz="4" w:space="0" w:color="000000"/>
              <w:right w:val="single" w:sz="4" w:space="0" w:color="000000"/>
            </w:tcBorders>
            <w:hideMark/>
          </w:tcPr>
          <w:p w14:paraId="3F5FB1D6" w14:textId="77777777" w:rsidR="005C481C" w:rsidRDefault="005C481C">
            <w:pPr>
              <w:spacing w:before="240" w:after="240"/>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 00048/DIFNEZA/IP/2021</w:t>
            </w:r>
          </w:p>
        </w:tc>
        <w:tc>
          <w:tcPr>
            <w:tcW w:w="5895" w:type="dxa"/>
            <w:tcBorders>
              <w:top w:val="single" w:sz="4" w:space="0" w:color="000000"/>
              <w:left w:val="single" w:sz="4" w:space="0" w:color="000000"/>
              <w:bottom w:val="single" w:sz="4" w:space="0" w:color="000000"/>
              <w:right w:val="single" w:sz="4" w:space="0" w:color="000000"/>
            </w:tcBorders>
            <w:hideMark/>
          </w:tcPr>
          <w:p w14:paraId="55364205" w14:textId="77777777" w:rsidR="005C481C" w:rsidRDefault="005C481C">
            <w:pPr>
              <w:spacing w:before="240" w:after="24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“Solicito </w:t>
            </w:r>
            <w:r>
              <w:rPr>
                <w:rFonts w:ascii="Palatino Linotype" w:eastAsia="Palatino Linotype" w:hAnsi="Palatino Linotype" w:cs="Palatino Linotype"/>
                <w:i/>
                <w:color w:val="000000"/>
                <w:sz w:val="20"/>
                <w:szCs w:val="20"/>
              </w:rPr>
              <w:t xml:space="preserve">listado de los oficios </w:t>
            </w:r>
            <w:r>
              <w:rPr>
                <w:rFonts w:ascii="Palatino Linotype" w:eastAsia="Palatino Linotype" w:hAnsi="Palatino Linotype" w:cs="Palatino Linotype"/>
                <w:i/>
                <w:sz w:val="20"/>
                <w:szCs w:val="20"/>
              </w:rPr>
              <w:t xml:space="preserve">recibidos por la área de </w:t>
            </w:r>
            <w:proofErr w:type="spellStart"/>
            <w:r>
              <w:rPr>
                <w:rFonts w:ascii="Palatino Linotype" w:eastAsia="Palatino Linotype" w:hAnsi="Palatino Linotype" w:cs="Palatino Linotype"/>
                <w:i/>
                <w:sz w:val="20"/>
                <w:szCs w:val="20"/>
              </w:rPr>
              <w:t>contraloria</w:t>
            </w:r>
            <w:proofErr w:type="spellEnd"/>
            <w:r>
              <w:rPr>
                <w:rFonts w:ascii="Palatino Linotype" w:eastAsia="Palatino Linotype" w:hAnsi="Palatino Linotype" w:cs="Palatino Linotype"/>
                <w:i/>
                <w:sz w:val="20"/>
                <w:szCs w:val="20"/>
              </w:rPr>
              <w:t xml:space="preserve"> 2019 a todas las áreas.” (Sic)</w:t>
            </w:r>
          </w:p>
        </w:tc>
      </w:tr>
    </w:tbl>
    <w:p w14:paraId="5617A760" w14:textId="1BB7B6EA" w:rsidR="005C481C" w:rsidRDefault="00524594" w:rsidP="005C481C">
      <w:pPr>
        <w:spacing w:before="240" w:after="240" w:line="360" w:lineRule="auto"/>
        <w:jc w:val="both"/>
        <w:rPr>
          <w:rFonts w:ascii="Palatino Linotype" w:eastAsia="Palatino Linotype" w:hAnsi="Palatino Linotype" w:cs="Palatino Linotype"/>
        </w:rPr>
      </w:pPr>
      <w:r w:rsidRPr="00CF3F65">
        <w:rPr>
          <w:rFonts w:ascii="Palatino Linotype" w:hAnsi="Palatino Linotype"/>
        </w:rPr>
        <w:lastRenderedPageBreak/>
        <w:t xml:space="preserve">En respuesta, el Sujeto Obligado </w:t>
      </w:r>
      <w:r w:rsidR="005C481C">
        <w:rPr>
          <w:rFonts w:ascii="Palatino Linotype" w:eastAsia="Palatino Linotype" w:hAnsi="Palatino Linotype" w:cs="Palatino Linotype"/>
        </w:rPr>
        <w:t>el</w:t>
      </w:r>
      <w:r w:rsidR="005C481C">
        <w:rPr>
          <w:rFonts w:ascii="Palatino Linotype" w:eastAsia="Palatino Linotype" w:hAnsi="Palatino Linotype" w:cs="Palatino Linotype"/>
          <w:b/>
        </w:rPr>
        <w:t xml:space="preserve"> Sujeto Obligado </w:t>
      </w:r>
      <w:r w:rsidR="005C481C">
        <w:rPr>
          <w:rFonts w:ascii="Palatino Linotype" w:eastAsia="Palatino Linotype" w:hAnsi="Palatino Linotype" w:cs="Palatino Linotype"/>
        </w:rPr>
        <w:t xml:space="preserve">en fecha </w:t>
      </w:r>
      <w:r w:rsidR="005C481C">
        <w:rPr>
          <w:rFonts w:ascii="Palatino Linotype" w:eastAsia="Palatino Linotype" w:hAnsi="Palatino Linotype" w:cs="Palatino Linotype"/>
          <w:b/>
        </w:rPr>
        <w:t>quince de diciembre de dos mil veintiuno</w:t>
      </w:r>
      <w:r w:rsidR="005C481C">
        <w:rPr>
          <w:rFonts w:ascii="Palatino Linotype" w:eastAsia="Palatino Linotype" w:hAnsi="Palatino Linotype" w:cs="Palatino Linotype"/>
        </w:rPr>
        <w:t xml:space="preserve">, respondió a las solicitudes de información </w:t>
      </w:r>
      <w:r w:rsidR="005C481C" w:rsidRPr="005C481C">
        <w:rPr>
          <w:rFonts w:ascii="Palatino Linotype" w:eastAsia="Palatino Linotype" w:hAnsi="Palatino Linotype" w:cs="Palatino Linotype"/>
        </w:rPr>
        <w:t>cambia</w:t>
      </w:r>
      <w:r w:rsidR="005C481C">
        <w:rPr>
          <w:rFonts w:ascii="Palatino Linotype" w:eastAsia="Palatino Linotype" w:hAnsi="Palatino Linotype" w:cs="Palatino Linotype"/>
        </w:rPr>
        <w:t>ndo</w:t>
      </w:r>
      <w:r w:rsidR="005C481C" w:rsidRPr="005C481C">
        <w:rPr>
          <w:rFonts w:ascii="Palatino Linotype" w:eastAsia="Palatino Linotype" w:hAnsi="Palatino Linotype" w:cs="Palatino Linotype"/>
        </w:rPr>
        <w:t xml:space="preserve"> la modalidad de entrega de la información a consulta directa, ello en vir</w:t>
      </w:r>
      <w:r w:rsidR="005C481C">
        <w:rPr>
          <w:rFonts w:ascii="Palatino Linotype" w:eastAsia="Palatino Linotype" w:hAnsi="Palatino Linotype" w:cs="Palatino Linotype"/>
        </w:rPr>
        <w:t>tud del excedente de documentos  y anexa a</w:t>
      </w:r>
      <w:r w:rsidR="005C481C" w:rsidRPr="005C481C">
        <w:rPr>
          <w:rFonts w:ascii="Palatino Linotype" w:eastAsia="Palatino Linotype" w:hAnsi="Palatino Linotype" w:cs="Palatino Linotype"/>
        </w:rPr>
        <w:t>cta circunstanciada del 16 de diciembre de 2021 mediante la cual se hizo constar que el solicitante no se presentó a las instalaciones del Sujeto Obligado para consultar la información requerida.</w:t>
      </w:r>
    </w:p>
    <w:p w14:paraId="3D598AD1" w14:textId="17D1EFB8" w:rsidR="00524594" w:rsidRDefault="00524594" w:rsidP="00CF3F65">
      <w:pPr>
        <w:spacing w:line="360" w:lineRule="auto"/>
        <w:ind w:right="49"/>
        <w:jc w:val="both"/>
        <w:rPr>
          <w:rFonts w:ascii="Palatino Linotype" w:hAnsi="Palatino Linotype"/>
        </w:rPr>
      </w:pPr>
      <w:r w:rsidRPr="00CF3F65">
        <w:rPr>
          <w:rFonts w:ascii="Palatino Linotype" w:hAnsi="Palatino Linotype"/>
        </w:rPr>
        <w:t>Inconforme con la respuesta</w:t>
      </w:r>
      <w:r w:rsidR="009E155A" w:rsidRPr="00CF3F65">
        <w:rPr>
          <w:rFonts w:ascii="Palatino Linotype" w:hAnsi="Palatino Linotype"/>
        </w:rPr>
        <w:t>, el Recurrente interpuso el recurso</w:t>
      </w:r>
      <w:r w:rsidRPr="00CF3F65">
        <w:rPr>
          <w:rFonts w:ascii="Palatino Linotype" w:hAnsi="Palatino Linotype"/>
        </w:rPr>
        <w:t xml:space="preserve"> de revisión materia del presente estudio, en </w:t>
      </w:r>
      <w:r w:rsidR="009E155A" w:rsidRPr="00CF3F65">
        <w:rPr>
          <w:rFonts w:ascii="Palatino Linotype" w:hAnsi="Palatino Linotype"/>
        </w:rPr>
        <w:t>e</w:t>
      </w:r>
      <w:r w:rsidRPr="00CF3F65">
        <w:rPr>
          <w:rFonts w:ascii="Palatino Linotype" w:hAnsi="Palatino Linotype"/>
        </w:rPr>
        <w:t xml:space="preserve">l </w:t>
      </w:r>
      <w:r w:rsidR="009E155A" w:rsidRPr="00CF3F65">
        <w:rPr>
          <w:rFonts w:ascii="Palatino Linotype" w:hAnsi="Palatino Linotype"/>
        </w:rPr>
        <w:t>que</w:t>
      </w:r>
      <w:r w:rsidRPr="00CF3F65">
        <w:rPr>
          <w:rFonts w:ascii="Palatino Linotype" w:hAnsi="Palatino Linotype"/>
        </w:rPr>
        <w:t xml:space="preserve"> medularmente </w:t>
      </w:r>
      <w:r w:rsidR="009E155A" w:rsidRPr="00CF3F65">
        <w:rPr>
          <w:rFonts w:ascii="Palatino Linotype" w:hAnsi="Palatino Linotype"/>
        </w:rPr>
        <w:t xml:space="preserve">se inconforma </w:t>
      </w:r>
      <w:r w:rsidRPr="00CF3F65">
        <w:rPr>
          <w:rFonts w:ascii="Palatino Linotype" w:hAnsi="Palatino Linotype"/>
        </w:rPr>
        <w:t>de</w:t>
      </w:r>
      <w:r w:rsidR="00D36ABC">
        <w:rPr>
          <w:rFonts w:ascii="Palatino Linotype" w:hAnsi="Palatino Linotype"/>
        </w:rPr>
        <w:t xml:space="preserve"> que se le niega la entrega de la información y requiere que se le entregue el soporte </w:t>
      </w:r>
      <w:r w:rsidR="00216C06">
        <w:rPr>
          <w:rFonts w:ascii="Palatino Linotype" w:hAnsi="Palatino Linotype"/>
        </w:rPr>
        <w:t>documental</w:t>
      </w:r>
      <w:r w:rsidR="00D36ABC">
        <w:rPr>
          <w:rFonts w:ascii="Palatino Linotype" w:hAnsi="Palatino Linotype"/>
        </w:rPr>
        <w:t xml:space="preserve"> solicitado inicialmente</w:t>
      </w:r>
      <w:r w:rsidRPr="00CF3F65">
        <w:rPr>
          <w:rFonts w:ascii="Palatino Linotype" w:hAnsi="Palatino Linotype"/>
        </w:rPr>
        <w:t>.</w:t>
      </w:r>
    </w:p>
    <w:p w14:paraId="4167A7B2" w14:textId="6AF22E50" w:rsidR="005C481C" w:rsidRDefault="005C481C" w:rsidP="005C481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w:t>
      </w:r>
      <w:r>
        <w:rPr>
          <w:rFonts w:ascii="Palatino Linotype" w:eastAsia="Palatino Linotype" w:hAnsi="Palatino Linotype" w:cs="Palatino Linotype"/>
        </w:rPr>
        <w:t xml:space="preserve">n fecha </w:t>
      </w:r>
      <w:r>
        <w:rPr>
          <w:rFonts w:ascii="Palatino Linotype" w:eastAsia="Palatino Linotype" w:hAnsi="Palatino Linotype" w:cs="Palatino Linotype"/>
          <w:b/>
        </w:rPr>
        <w:t>veinte de diciembre de dos mil veintiuno</w:t>
      </w:r>
      <w:r>
        <w:rPr>
          <w:rFonts w:ascii="Palatino Linotype" w:eastAsia="Palatino Linotype" w:hAnsi="Palatino Linotype" w:cs="Palatino Linotype"/>
        </w:rPr>
        <w:t xml:space="preserve">, </w:t>
      </w:r>
      <w:r w:rsidRPr="00BB11DB">
        <w:rPr>
          <w:rFonts w:ascii="Palatino Linotype" w:eastAsia="Palatino Linotype" w:hAnsi="Palatino Linotype" w:cs="Palatino Linotype"/>
        </w:rPr>
        <w:t>el Recurrente interpuso</w:t>
      </w:r>
      <w:r>
        <w:rPr>
          <w:rFonts w:ascii="Palatino Linotype" w:eastAsia="Palatino Linotype" w:hAnsi="Palatino Linotype" w:cs="Palatino Linotype"/>
        </w:rPr>
        <w:t xml:space="preserve"> los recursos de revisión</w:t>
      </w:r>
      <w:r>
        <w:rPr>
          <w:rFonts w:ascii="Palatino Linotype" w:eastAsia="Palatino Linotype" w:hAnsi="Palatino Linotype" w:cs="Palatino Linotype"/>
        </w:rPr>
        <w:t xml:space="preserve"> correspondientes donde en esencia </w:t>
      </w:r>
      <w:r>
        <w:rPr>
          <w:rFonts w:ascii="Palatino Linotype" w:eastAsia="Palatino Linotype" w:hAnsi="Palatino Linotype" w:cs="Palatino Linotype"/>
        </w:rPr>
        <w:t xml:space="preserve"> manifestó </w:t>
      </w:r>
      <w:r>
        <w:rPr>
          <w:rFonts w:ascii="Palatino Linotype" w:eastAsia="Palatino Linotype" w:hAnsi="Palatino Linotype" w:cs="Palatino Linotype"/>
        </w:rPr>
        <w:t xml:space="preserve">que se le </w:t>
      </w:r>
      <w:r w:rsidRPr="005C481C">
        <w:rPr>
          <w:rFonts w:ascii="Palatino Linotype" w:eastAsia="Palatino Linotype" w:hAnsi="Palatino Linotype" w:cs="Palatino Linotype"/>
        </w:rPr>
        <w:t>está cambiando la forma de entrega mediante oficio donde estipula que es información confidencial por lo cual están ocultando información y se está negando,</w:t>
      </w:r>
      <w:r>
        <w:rPr>
          <w:rFonts w:ascii="Palatino Linotype" w:eastAsia="Palatino Linotype" w:hAnsi="Palatino Linotype" w:cs="Palatino Linotype"/>
        </w:rPr>
        <w:t xml:space="preserve"> e indica como motivo de inconformidad  </w:t>
      </w:r>
      <w:r w:rsidRPr="005C481C">
        <w:rPr>
          <w:rFonts w:ascii="Palatino Linotype" w:eastAsia="Palatino Linotype" w:hAnsi="Palatino Linotype" w:cs="Palatino Linotype"/>
        </w:rPr>
        <w:t xml:space="preserve">que no se cambie la forma de entrega todo sea mediante la plataforma en archivo </w:t>
      </w:r>
      <w:proofErr w:type="spellStart"/>
      <w:r w:rsidRPr="005C481C">
        <w:rPr>
          <w:rFonts w:ascii="Palatino Linotype" w:eastAsia="Palatino Linotype" w:hAnsi="Palatino Linotype" w:cs="Palatino Linotype"/>
        </w:rPr>
        <w:t>pdf</w:t>
      </w:r>
      <w:proofErr w:type="spellEnd"/>
      <w:r w:rsidRPr="005C481C">
        <w:rPr>
          <w:rFonts w:ascii="Palatino Linotype" w:eastAsia="Palatino Linotype" w:hAnsi="Palatino Linotype" w:cs="Palatino Linotype"/>
        </w:rPr>
        <w:t xml:space="preserve"> mediante </w:t>
      </w:r>
      <w:r>
        <w:rPr>
          <w:rFonts w:ascii="Palatino Linotype" w:eastAsia="Palatino Linotype" w:hAnsi="Palatino Linotype" w:cs="Palatino Linotype"/>
        </w:rPr>
        <w:t>SAIMEX</w:t>
      </w:r>
      <w:r w:rsidRPr="005C481C">
        <w:rPr>
          <w:rFonts w:ascii="Palatino Linotype" w:eastAsia="Palatino Linotype" w:hAnsi="Palatino Linotype" w:cs="Palatino Linotype"/>
        </w:rPr>
        <w:t>.</w:t>
      </w:r>
    </w:p>
    <w:p w14:paraId="3514C601" w14:textId="2B34AAA0" w:rsidR="00BB11DB" w:rsidRDefault="00BB11DB" w:rsidP="00BB11DB">
      <w:pPr>
        <w:spacing w:line="360" w:lineRule="auto"/>
        <w:ind w:right="49"/>
        <w:jc w:val="both"/>
        <w:rPr>
          <w:rFonts w:ascii="Palatino Linotype" w:eastAsia="Palatino Linotype" w:hAnsi="Palatino Linotype" w:cs="Palatino Linotype"/>
          <w:b/>
        </w:rPr>
      </w:pPr>
      <w:r>
        <w:rPr>
          <w:rFonts w:ascii="Palatino Linotype" w:hAnsi="Palatino Linotype"/>
        </w:rPr>
        <w:t>P</w:t>
      </w:r>
      <w:r w:rsidR="00524594" w:rsidRPr="00CF3F65">
        <w:rPr>
          <w:rFonts w:ascii="Palatino Linotype" w:hAnsi="Palatino Linotype"/>
        </w:rPr>
        <w:t xml:space="preserve">revia sustanciación del recurso, se determinó </w:t>
      </w:r>
      <w:r>
        <w:rPr>
          <w:rFonts w:ascii="Palatino Linotype" w:hAnsi="Palatino Linotype" w:cs="Arial"/>
          <w:lang w:val="es-ES_tradnl"/>
        </w:rPr>
        <w:t>revocar la respuesta y ordena</w:t>
      </w:r>
      <w:r>
        <w:rPr>
          <w:rFonts w:ascii="Palatino Linotype" w:hAnsi="Palatino Linotype" w:cs="Arial"/>
          <w:lang w:val="es-ES_tradnl"/>
        </w:rPr>
        <w:t xml:space="preserve"> </w:t>
      </w:r>
      <w:r>
        <w:rPr>
          <w:rFonts w:ascii="Palatino Linotype" w:hAnsi="Palatino Linotype" w:cs="Arial"/>
          <w:lang w:val="es-ES_tradnl"/>
        </w:rPr>
        <w:t xml:space="preserve">al </w:t>
      </w:r>
      <w:r>
        <w:rPr>
          <w:rFonts w:ascii="Palatino Linotype" w:eastAsia="Palatino Linotype" w:hAnsi="Palatino Linotype" w:cs="Palatino Linotype"/>
        </w:rPr>
        <w:t xml:space="preserve">Sujeto Obligado haga entrega del documento donde consten </w:t>
      </w:r>
      <w:r>
        <w:rPr>
          <w:rFonts w:ascii="Palatino Linotype" w:eastAsia="Palatino Linotype" w:hAnsi="Palatino Linotype" w:cs="Palatino Linotype"/>
        </w:rPr>
        <w:t xml:space="preserve">los </w:t>
      </w:r>
      <w:r>
        <w:rPr>
          <w:rFonts w:ascii="Palatino Linotype" w:eastAsia="Palatino Linotype" w:hAnsi="Palatino Linotype" w:cs="Palatino Linotype"/>
        </w:rPr>
        <w:t>i</w:t>
      </w:r>
      <w:r>
        <w:rPr>
          <w:rFonts w:ascii="Palatino Linotype" w:eastAsia="Palatino Linotype" w:hAnsi="Palatino Linotype" w:cs="Palatino Linotype"/>
          <w:b/>
        </w:rPr>
        <w:t>nformes detallados de los años 2017, 2018, 2019, 2020 y del 1 de enero al 8 de diciembre de 2021</w:t>
      </w:r>
      <w:bookmarkStart w:id="4" w:name="_GoBack"/>
      <w:bookmarkEnd w:id="4"/>
      <w:r>
        <w:rPr>
          <w:rFonts w:ascii="Palatino Linotype" w:eastAsia="Palatino Linotype" w:hAnsi="Palatino Linotype" w:cs="Palatino Linotype"/>
          <w:b/>
        </w:rPr>
        <w:t>:</w:t>
      </w:r>
    </w:p>
    <w:p w14:paraId="78FCEC8D" w14:textId="77777777" w:rsidR="00BB11DB" w:rsidRDefault="00BB11DB" w:rsidP="00BB11DB">
      <w:pPr>
        <w:numPr>
          <w:ilvl w:val="0"/>
          <w:numId w:val="13"/>
        </w:numPr>
        <w:spacing w:before="240" w:after="240" w:line="360" w:lineRule="auto"/>
        <w:ind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Los procedimientos por faltas graves condenatorias y que hayan causado estado.</w:t>
      </w:r>
    </w:p>
    <w:p w14:paraId="1A0BD569" w14:textId="77777777" w:rsidR="00BB11DB" w:rsidRDefault="00BB11DB" w:rsidP="00BB11DB">
      <w:pPr>
        <w:numPr>
          <w:ilvl w:val="0"/>
          <w:numId w:val="13"/>
        </w:numPr>
        <w:spacing w:before="240" w:after="240" w:line="360" w:lineRule="auto"/>
        <w:ind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procedimientos por faltas graves absolutorias y que hayan causado estado (</w:t>
      </w:r>
      <w:r>
        <w:rPr>
          <w:rFonts w:ascii="Palatino Linotype" w:eastAsia="Palatino Linotype" w:hAnsi="Palatino Linotype" w:cs="Palatino Linotype"/>
          <w:i/>
        </w:rPr>
        <w:t>clasificando como confidencial el nombre y cargo)</w:t>
      </w:r>
      <w:r>
        <w:rPr>
          <w:rFonts w:ascii="Palatino Linotype" w:eastAsia="Palatino Linotype" w:hAnsi="Palatino Linotype" w:cs="Palatino Linotype"/>
          <w:sz w:val="22"/>
          <w:szCs w:val="22"/>
        </w:rPr>
        <w:t>.</w:t>
      </w:r>
    </w:p>
    <w:p w14:paraId="5306DE1B" w14:textId="77777777" w:rsidR="00BB11DB" w:rsidRDefault="00BB11DB" w:rsidP="00BB11DB">
      <w:pPr>
        <w:numPr>
          <w:ilvl w:val="0"/>
          <w:numId w:val="13"/>
        </w:numPr>
        <w:spacing w:before="240" w:line="360" w:lineRule="auto"/>
        <w:ind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rPr>
        <w:t>Los procedimientos concluidos por faltas no graves (</w:t>
      </w:r>
      <w:r>
        <w:rPr>
          <w:rFonts w:ascii="Palatino Linotype" w:eastAsia="Palatino Linotype" w:hAnsi="Palatino Linotype" w:cs="Palatino Linotype"/>
          <w:i/>
        </w:rPr>
        <w:t>clasificando como confidencial el nombre y cargo y sanción</w:t>
      </w:r>
      <w:r>
        <w:rPr>
          <w:rFonts w:ascii="Palatino Linotype" w:eastAsia="Palatino Linotype" w:hAnsi="Palatino Linotype" w:cs="Palatino Linotype"/>
        </w:rPr>
        <w:t>).</w:t>
      </w:r>
    </w:p>
    <w:p w14:paraId="550E5E29" w14:textId="3D0C6741" w:rsidR="00BB11DB" w:rsidRDefault="00BB11DB" w:rsidP="00CF3F65">
      <w:pPr>
        <w:spacing w:line="360" w:lineRule="auto"/>
        <w:ind w:right="49"/>
        <w:jc w:val="both"/>
        <w:rPr>
          <w:rFonts w:ascii="Palatino Linotype" w:hAnsi="Palatino Linotype"/>
        </w:rPr>
      </w:pPr>
    </w:p>
    <w:p w14:paraId="4DE6ABF3" w14:textId="73AF45E5" w:rsidR="00BB11DB" w:rsidRDefault="00BB11DB" w:rsidP="00BB11DB">
      <w:pPr>
        <w:spacing w:before="240" w:line="360" w:lineRule="auto"/>
        <w:ind w:right="49"/>
        <w:jc w:val="both"/>
        <w:rPr>
          <w:rFonts w:ascii="Palatino Linotype" w:eastAsia="Palatino Linotype" w:hAnsi="Palatino Linotype" w:cs="Palatino Linotype"/>
        </w:rPr>
      </w:pPr>
      <w:r w:rsidRPr="00BB11DB">
        <w:rPr>
          <w:rFonts w:ascii="Palatino Linotype" w:eastAsia="Palatino Linotype" w:hAnsi="Palatino Linotype" w:cs="Palatino Linotype"/>
        </w:rPr>
        <w:t>Al analizar los</w:t>
      </w:r>
      <w:r>
        <w:rPr>
          <w:rFonts w:ascii="Palatino Linotype" w:eastAsia="Palatino Linotype" w:hAnsi="Palatino Linotype" w:cs="Palatino Linotype"/>
          <w:b/>
        </w:rPr>
        <w:t xml:space="preserve"> </w:t>
      </w:r>
      <w:r>
        <w:rPr>
          <w:rFonts w:ascii="Palatino Linotype" w:eastAsia="Palatino Linotype" w:hAnsi="Palatino Linotype" w:cs="Palatino Linotype"/>
          <w:b/>
        </w:rPr>
        <w:t xml:space="preserve">Procedimientos de sanciones </w:t>
      </w:r>
      <w:r>
        <w:rPr>
          <w:rFonts w:ascii="Palatino Linotype" w:eastAsia="Palatino Linotype" w:hAnsi="Palatino Linotype" w:cs="Palatino Linotype"/>
          <w:b/>
        </w:rPr>
        <w:t xml:space="preserve">graves absolutorias, concluidos, </w:t>
      </w:r>
      <w:r w:rsidRPr="00BB11DB">
        <w:rPr>
          <w:rFonts w:ascii="Palatino Linotype" w:eastAsia="Palatino Linotype" w:hAnsi="Palatino Linotype" w:cs="Palatino Linotype"/>
        </w:rPr>
        <w:t>la resolución refiere que s</w:t>
      </w:r>
      <w:r w:rsidRPr="00BB11DB">
        <w:rPr>
          <w:rFonts w:ascii="Palatino Linotype" w:eastAsia="Palatino Linotype" w:hAnsi="Palatino Linotype" w:cs="Palatino Linotype"/>
        </w:rPr>
        <w:t>i los procedimientos administrativos requeridos por</w:t>
      </w:r>
      <w:r>
        <w:rPr>
          <w:rFonts w:ascii="Palatino Linotype" w:eastAsia="Palatino Linotype" w:hAnsi="Palatino Linotype" w:cs="Palatino Linotype"/>
        </w:rPr>
        <w:t xml:space="preserve"> el particular, están contenidos en expedientes que encuadran en el presente caso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26194DF1" w14:textId="77777777" w:rsidR="00BB11DB" w:rsidRDefault="00BB11DB" w:rsidP="00CF3F65">
      <w:pPr>
        <w:spacing w:line="360" w:lineRule="auto"/>
        <w:ind w:right="49"/>
        <w:contextualSpacing/>
        <w:jc w:val="both"/>
        <w:rPr>
          <w:rFonts w:ascii="Palatino Linotype" w:eastAsiaTheme="minorEastAsia" w:hAnsi="Palatino Linotype"/>
          <w:lang w:val="es-MX" w:eastAsia="es-MX"/>
        </w:rPr>
      </w:pPr>
    </w:p>
    <w:p w14:paraId="078AB369" w14:textId="6F62FBBA" w:rsidR="00524594" w:rsidRPr="00CF3F65" w:rsidRDefault="00216C06" w:rsidP="00CF3F65">
      <w:pPr>
        <w:spacing w:line="360" w:lineRule="auto"/>
        <w:ind w:right="49"/>
        <w:contextualSpacing/>
        <w:jc w:val="both"/>
        <w:rPr>
          <w:rFonts w:ascii="Palatino Linotype" w:eastAsia="Calibri" w:hAnsi="Palatino Linotype" w:cs="Tahoma"/>
          <w:iCs/>
          <w:lang w:eastAsia="es-ES_tradnl"/>
        </w:rPr>
      </w:pPr>
      <w:r>
        <w:rPr>
          <w:rFonts w:ascii="Palatino Linotype" w:eastAsiaTheme="minorEastAsia" w:hAnsi="Palatino Linotype"/>
          <w:lang w:val="es-MX" w:eastAsia="es-MX"/>
        </w:rPr>
        <w:t xml:space="preserve">Al respecto, se considera que </w:t>
      </w:r>
      <w:r w:rsidR="00BB11DB">
        <w:rPr>
          <w:rFonts w:ascii="Palatino Linotype" w:eastAsiaTheme="minorEastAsia" w:hAnsi="Palatino Linotype"/>
          <w:lang w:val="es-MX" w:eastAsia="es-MX"/>
        </w:rPr>
        <w:t xml:space="preserve">no se debe clasificar </w:t>
      </w:r>
      <w:r w:rsidR="00524594" w:rsidRPr="00CF3F65">
        <w:rPr>
          <w:rFonts w:ascii="Palatino Linotype" w:hAnsi="Palatino Linotype"/>
        </w:rPr>
        <w:t xml:space="preserve"> el nombre, cargo y área de adscripción del Servidor Público absuelto, </w:t>
      </w:r>
      <w:r w:rsidR="00524594" w:rsidRPr="00CF3F65">
        <w:rPr>
          <w:rFonts w:ascii="Palatino Linotype" w:hAnsi="Palatino Linotype"/>
          <w:bCs/>
        </w:rPr>
        <w:t xml:space="preserve">toda vez que la información solicitada, </w:t>
      </w:r>
      <w:r>
        <w:rPr>
          <w:rFonts w:ascii="Palatino Linotype" w:hAnsi="Palatino Linotype"/>
          <w:bCs/>
        </w:rPr>
        <w:t>no</w:t>
      </w:r>
      <w:r w:rsidR="00524594" w:rsidRPr="00CF3F65">
        <w:rPr>
          <w:rFonts w:ascii="Palatino Linotype" w:eastAsia="Calibri" w:hAnsi="Palatino Linotype" w:cs="Tahoma"/>
          <w:b/>
          <w:iCs/>
          <w:lang w:eastAsia="es-ES_tradnl"/>
        </w:rPr>
        <w:t xml:space="preserve"> </w:t>
      </w:r>
      <w:r w:rsidR="00524594" w:rsidRPr="00CF3F65">
        <w:rPr>
          <w:rFonts w:ascii="Palatino Linotype" w:eastAsia="Calibri" w:hAnsi="Palatino Linotype" w:cs="Tahoma"/>
          <w:iCs/>
          <w:lang w:eastAsia="es-ES_tradnl"/>
        </w:rPr>
        <w:t>podría afectar su</w:t>
      </w:r>
      <w:r>
        <w:rPr>
          <w:rFonts w:ascii="Palatino Linotype" w:eastAsia="Calibri" w:hAnsi="Palatino Linotype" w:cs="Tahoma"/>
          <w:iCs/>
          <w:lang w:eastAsia="es-ES_tradnl"/>
        </w:rPr>
        <w:t xml:space="preserve"> honor, buen nombre y su imagen, por no haber resultado responsable.</w:t>
      </w:r>
    </w:p>
    <w:p w14:paraId="0C67FEC8" w14:textId="77BD616B" w:rsidR="00524594" w:rsidRPr="00CF3F65" w:rsidRDefault="00216C06" w:rsidP="00CF3F65">
      <w:pPr>
        <w:autoSpaceDE w:val="0"/>
        <w:autoSpaceDN w:val="0"/>
        <w:adjustRightInd w:val="0"/>
        <w:spacing w:line="360" w:lineRule="auto"/>
        <w:jc w:val="both"/>
        <w:rPr>
          <w:rFonts w:ascii="Palatino Linotype" w:hAnsi="Palatino Linotype"/>
        </w:rPr>
      </w:pPr>
      <w:r>
        <w:rPr>
          <w:rFonts w:ascii="Palatino Linotype" w:hAnsi="Palatino Linotype"/>
        </w:rPr>
        <w:lastRenderedPageBreak/>
        <w:t>E</w:t>
      </w:r>
      <w:r w:rsidR="00524594" w:rsidRPr="00CF3F65">
        <w:rPr>
          <w:rFonts w:ascii="Palatino Linotype" w:hAnsi="Palatino Linotype"/>
        </w:rPr>
        <w:t xml:space="preserve">sta Ponencia </w:t>
      </w:r>
      <w:r>
        <w:rPr>
          <w:rFonts w:ascii="Palatino Linotype" w:hAnsi="Palatino Linotype"/>
        </w:rPr>
        <w:t xml:space="preserve">sostiene </w:t>
      </w:r>
      <w:r w:rsidR="00524594" w:rsidRPr="00CF3F65">
        <w:rPr>
          <w:rFonts w:ascii="Palatino Linotype" w:hAnsi="Palatino Linotype"/>
        </w:rPr>
        <w:t xml:space="preserve">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0CA5F6EE"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responsabilidades administrativas graves, esto es, </w:t>
      </w:r>
      <w:r w:rsidRPr="00CF3F65">
        <w:rPr>
          <w:rFonts w:ascii="Palatino Linotype" w:hAnsi="Palatino Linotype"/>
          <w:b/>
        </w:rPr>
        <w:t>que no hayan decretado alguna responsabilidad o culpabilidad</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F7AD07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Lo anterior de conformidad con la jurisprudencia con el rubro </w:t>
      </w:r>
      <w:r w:rsidRPr="00CF3F65">
        <w:rPr>
          <w:rFonts w:ascii="Palatino Linotype" w:hAnsi="Palatino Linotype"/>
          <w:b/>
        </w:rPr>
        <w:t>LIBERTAD DE EXPRESIÓN Y DERECHO AL HONOR. EXPRESIONES QUE SE ENCUENTRAN PROTEGIDAS CONSTITUCIONALMENTE</w:t>
      </w:r>
      <w:r w:rsidRPr="00CF3F65">
        <w:rPr>
          <w:rFonts w:ascii="Palatino Linotype" w:hAnsi="Palatino Linotype"/>
        </w:rPr>
        <w:t xml:space="preserve">, de la que se desprende que la Suprema Corte de Justicia de la Nación, considera que existe una presunción general </w:t>
      </w:r>
      <w:r w:rsidRPr="00CF3F65">
        <w:rPr>
          <w:rFonts w:ascii="Palatino Linotype" w:hAnsi="Palatino Linotype"/>
        </w:rPr>
        <w:lastRenderedPageBreak/>
        <w:t xml:space="preserve">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659D5773" w14:textId="77777777" w:rsidR="00524594" w:rsidRPr="00CF3F65" w:rsidRDefault="00524594" w:rsidP="00CF3F65">
      <w:pPr>
        <w:pStyle w:val="NormalWeb"/>
        <w:spacing w:before="0" w:beforeAutospacing="0" w:after="0" w:afterAutospacing="0" w:line="360" w:lineRule="auto"/>
        <w:ind w:left="357"/>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w:t>
      </w:r>
      <w:r w:rsidRPr="00CF3F65">
        <w:rPr>
          <w:rFonts w:ascii="Palatino Linotype" w:hAnsi="Palatino Linotype"/>
        </w:rPr>
        <w:lastRenderedPageBreak/>
        <w:t xml:space="preserve">intervención de juicios o valoraciones subjetivas que no tengan como fin informar a la sociedad, sino que pretendan establecer una postura, opinión o crítica hacia la persona. </w:t>
      </w:r>
    </w:p>
    <w:p w14:paraId="134336E5"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6BBDD2A2" w14:textId="33746493" w:rsidR="0003360D" w:rsidRDefault="0003360D" w:rsidP="0003360D">
      <w:pPr>
        <w:pStyle w:val="NormalWeb"/>
        <w:spacing w:before="0" w:beforeAutospacing="0" w:after="0" w:afterAutospacing="0" w:line="360" w:lineRule="auto"/>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p>
    <w:p w14:paraId="6C4677BA" w14:textId="77777777" w:rsidR="0003360D" w:rsidRPr="0028544C" w:rsidRDefault="0003360D" w:rsidP="0003360D">
      <w:pPr>
        <w:pStyle w:val="NormalWeb"/>
        <w:spacing w:before="0" w:beforeAutospacing="0" w:after="0" w:afterAutospacing="0" w:line="360" w:lineRule="auto"/>
        <w:ind w:left="567"/>
        <w:jc w:val="both"/>
        <w:rPr>
          <w:rFonts w:ascii="Palatino Linotype" w:hAnsi="Palatino Linotype"/>
        </w:rPr>
      </w:pPr>
    </w:p>
    <w:p w14:paraId="666C038B"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 El cohecho. </w:t>
      </w:r>
    </w:p>
    <w:p w14:paraId="149D9A5A" w14:textId="77777777" w:rsidR="0003360D" w:rsidRDefault="0003360D" w:rsidP="0003360D">
      <w:pPr>
        <w:pStyle w:val="Default"/>
        <w:ind w:left="567"/>
        <w:rPr>
          <w:rFonts w:cs="Times New Roman"/>
          <w:color w:val="auto"/>
          <w:lang w:eastAsia="es-MX"/>
        </w:rPr>
      </w:pPr>
    </w:p>
    <w:p w14:paraId="58D0D7C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 El peculado. </w:t>
      </w:r>
    </w:p>
    <w:p w14:paraId="5EF26619" w14:textId="77777777" w:rsidR="0003360D" w:rsidRPr="0028544C" w:rsidRDefault="0003360D" w:rsidP="0003360D">
      <w:pPr>
        <w:pStyle w:val="Default"/>
        <w:ind w:left="567"/>
        <w:rPr>
          <w:rFonts w:cs="Times New Roman"/>
          <w:color w:val="auto"/>
          <w:lang w:eastAsia="es-MX"/>
        </w:rPr>
      </w:pPr>
    </w:p>
    <w:p w14:paraId="1443BC81"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III. El desvío de recursos públicos. </w:t>
      </w:r>
    </w:p>
    <w:p w14:paraId="05A3582A" w14:textId="77777777" w:rsidR="0003360D" w:rsidRPr="0028544C" w:rsidRDefault="0003360D" w:rsidP="0003360D">
      <w:pPr>
        <w:pStyle w:val="Default"/>
        <w:ind w:left="567"/>
        <w:rPr>
          <w:rFonts w:cs="Times New Roman"/>
          <w:color w:val="auto"/>
          <w:lang w:eastAsia="es-MX"/>
        </w:rPr>
      </w:pPr>
    </w:p>
    <w:p w14:paraId="6679F8AE"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IV. La utilización indebida de información. </w:t>
      </w:r>
    </w:p>
    <w:p w14:paraId="7046189B" w14:textId="77777777" w:rsidR="0003360D" w:rsidRPr="0028544C" w:rsidRDefault="0003360D" w:rsidP="0003360D">
      <w:pPr>
        <w:pStyle w:val="Default"/>
        <w:ind w:left="567"/>
        <w:rPr>
          <w:rFonts w:cs="Times New Roman"/>
          <w:color w:val="auto"/>
          <w:lang w:eastAsia="es-MX"/>
        </w:rPr>
      </w:pPr>
    </w:p>
    <w:p w14:paraId="4C2AD3A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 El abuso de funciones. </w:t>
      </w:r>
    </w:p>
    <w:p w14:paraId="2206129F" w14:textId="77777777" w:rsidR="0003360D" w:rsidRPr="0028544C" w:rsidRDefault="0003360D" w:rsidP="0003360D">
      <w:pPr>
        <w:pStyle w:val="Default"/>
        <w:ind w:left="567"/>
        <w:rPr>
          <w:rFonts w:cs="Times New Roman"/>
          <w:color w:val="auto"/>
          <w:lang w:eastAsia="es-MX"/>
        </w:rPr>
      </w:pPr>
    </w:p>
    <w:p w14:paraId="5E0521A5"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 Cometer o tolerar conductas de hostigamiento y acoso sexual. </w:t>
      </w:r>
    </w:p>
    <w:p w14:paraId="32FB01D8" w14:textId="77777777" w:rsidR="00FC6C29" w:rsidRDefault="00FC6C29" w:rsidP="0003360D">
      <w:pPr>
        <w:pStyle w:val="Default"/>
        <w:ind w:left="567"/>
        <w:rPr>
          <w:rFonts w:cs="Times New Roman"/>
          <w:color w:val="auto"/>
          <w:lang w:eastAsia="es-MX"/>
        </w:rPr>
      </w:pPr>
    </w:p>
    <w:p w14:paraId="4948B4D3"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 El actuar bajo conflicto de interés. </w:t>
      </w:r>
    </w:p>
    <w:p w14:paraId="054DD634" w14:textId="77777777" w:rsidR="0003360D" w:rsidRPr="0028544C" w:rsidRDefault="0003360D" w:rsidP="0003360D">
      <w:pPr>
        <w:pStyle w:val="Default"/>
        <w:ind w:left="567"/>
        <w:rPr>
          <w:rFonts w:cs="Times New Roman"/>
          <w:color w:val="auto"/>
          <w:lang w:eastAsia="es-MX"/>
        </w:rPr>
      </w:pPr>
    </w:p>
    <w:p w14:paraId="161F2A50"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VIII. La contratación indebida. </w:t>
      </w:r>
    </w:p>
    <w:p w14:paraId="44A6F2FD" w14:textId="77777777" w:rsidR="0003360D" w:rsidRDefault="0003360D" w:rsidP="0003360D">
      <w:pPr>
        <w:pStyle w:val="Default"/>
        <w:ind w:left="567"/>
        <w:rPr>
          <w:rFonts w:cs="Times New Roman"/>
          <w:color w:val="auto"/>
          <w:lang w:eastAsia="es-MX"/>
        </w:rPr>
      </w:pPr>
    </w:p>
    <w:p w14:paraId="53C4A907"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IX. El enriquecimiento oculto u ocultamiento de conflicto de interés. </w:t>
      </w:r>
    </w:p>
    <w:p w14:paraId="0E73A98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lastRenderedPageBreak/>
        <w:t xml:space="preserve">X. El tráfico de influencias. </w:t>
      </w:r>
    </w:p>
    <w:p w14:paraId="063AE394" w14:textId="77777777" w:rsidR="0003360D" w:rsidRPr="00332FDF" w:rsidRDefault="0003360D" w:rsidP="0003360D">
      <w:pPr>
        <w:pStyle w:val="Default"/>
        <w:ind w:left="567"/>
        <w:rPr>
          <w:rFonts w:cs="Times New Roman"/>
          <w:color w:val="auto"/>
          <w:lang w:eastAsia="es-MX"/>
        </w:rPr>
      </w:pPr>
    </w:p>
    <w:p w14:paraId="1C39683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XI. El encubrimiento. </w:t>
      </w:r>
    </w:p>
    <w:p w14:paraId="615F58A6" w14:textId="77777777" w:rsidR="0003360D" w:rsidRPr="00332FDF" w:rsidRDefault="0003360D" w:rsidP="0003360D">
      <w:pPr>
        <w:pStyle w:val="Default"/>
        <w:ind w:left="567"/>
        <w:rPr>
          <w:rFonts w:cs="Times New Roman"/>
          <w:color w:val="auto"/>
          <w:lang w:eastAsia="es-MX"/>
        </w:rPr>
      </w:pPr>
    </w:p>
    <w:p w14:paraId="21D8B644" w14:textId="77777777" w:rsidR="0003360D" w:rsidRDefault="0003360D" w:rsidP="0003360D">
      <w:pPr>
        <w:pStyle w:val="Default"/>
        <w:ind w:left="567"/>
        <w:rPr>
          <w:rFonts w:cs="Times New Roman"/>
          <w:color w:val="auto"/>
          <w:lang w:eastAsia="es-MX"/>
        </w:rPr>
      </w:pPr>
      <w:r w:rsidRPr="00332FDF">
        <w:rPr>
          <w:rFonts w:cs="Times New Roman"/>
          <w:color w:val="auto"/>
          <w:lang w:eastAsia="es-MX"/>
        </w:rPr>
        <w:t xml:space="preserve">XII. El desacato. </w:t>
      </w:r>
    </w:p>
    <w:p w14:paraId="11D52001" w14:textId="77777777" w:rsidR="0003360D" w:rsidRPr="00332FDF" w:rsidRDefault="0003360D" w:rsidP="0003360D">
      <w:pPr>
        <w:pStyle w:val="Default"/>
        <w:ind w:left="567"/>
        <w:rPr>
          <w:rFonts w:cs="Times New Roman"/>
          <w:color w:val="auto"/>
          <w:lang w:eastAsia="es-MX"/>
        </w:rPr>
      </w:pPr>
    </w:p>
    <w:p w14:paraId="38397CE9"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XIII. La obstrucción de la Justicia.</w:t>
      </w:r>
    </w:p>
    <w:p w14:paraId="18EAA13A"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49C02EDE" w14:textId="15084142" w:rsidR="00524594" w:rsidRPr="00CF3F65" w:rsidRDefault="0003360D" w:rsidP="00FC6C29">
      <w:pPr>
        <w:pStyle w:val="NormalWeb"/>
        <w:spacing w:before="0" w:beforeAutospacing="0" w:after="0" w:afterAutospacing="0" w:line="360" w:lineRule="auto"/>
        <w:jc w:val="both"/>
        <w:rPr>
          <w:rFonts w:ascii="Palatino Linotype" w:eastAsia="Calibri" w:hAnsi="Palatino Linotype" w:cs="Arial"/>
        </w:rPr>
      </w:pPr>
      <w:r w:rsidRPr="009565F9">
        <w:rPr>
          <w:rFonts w:ascii="Palatino Linotype" w:hAnsi="Palatino Linotype"/>
        </w:rPr>
        <w:t>En ese orden de ideas, dar a conocer la información relativa a las resoluciones absolutorias</w:t>
      </w:r>
      <w:r>
        <w:rPr>
          <w:rFonts w:ascii="Palatino Linotype" w:hAnsi="Palatino Linotype"/>
        </w:rPr>
        <w:t xml:space="preserve"> por responsabilidades administrativas graves</w:t>
      </w:r>
      <w:r w:rsidRPr="009565F9">
        <w:rPr>
          <w:rFonts w:ascii="Palatino Linotype" w:hAnsi="Palatino Linotype"/>
        </w:rPr>
        <w:t xml:space="preserve">, </w:t>
      </w:r>
      <w:r w:rsidR="00524594" w:rsidRPr="00CF3F65">
        <w:rPr>
          <w:rFonts w:ascii="Palatino Linotype" w:hAnsi="Palatino Linotype"/>
        </w:rPr>
        <w:t xml:space="preserve">transparenta la gestión pública y la rendición de cuentas, pues da a conocer que se ha conducido conforme a Derecho, es decir, de conformidad a sus objetivos, atribuciones y obligaciones.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7090212C" w14:textId="68DBA4CD" w:rsidR="00524594" w:rsidRDefault="00524594" w:rsidP="00CF3F65">
      <w:pPr>
        <w:pStyle w:val="Prrafodelista"/>
        <w:spacing w:line="360" w:lineRule="auto"/>
        <w:ind w:left="0"/>
        <w:jc w:val="both"/>
        <w:rPr>
          <w:rFonts w:ascii="Palatino Linotype" w:hAnsi="Palatino Linotype"/>
        </w:rPr>
      </w:pPr>
      <w:r w:rsidRPr="00CF3F65">
        <w:rPr>
          <w:rFonts w:ascii="Palatino Linotype" w:hAnsi="Palatino Linotype"/>
        </w:rPr>
        <w:t xml:space="preserve">Por lo anterior,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36285E3F" w14:textId="77777777" w:rsidR="00C85F1D" w:rsidRDefault="00C85F1D" w:rsidP="00CF3F65">
      <w:pPr>
        <w:pStyle w:val="Prrafodelista"/>
        <w:spacing w:line="360" w:lineRule="auto"/>
        <w:ind w:left="0"/>
        <w:jc w:val="both"/>
        <w:rPr>
          <w:rFonts w:ascii="Palatino Linotype" w:hAnsi="Palatino Linotype"/>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5"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5"/>
    </w:p>
    <w:p w14:paraId="6FA2D7E5" w14:textId="77777777" w:rsidR="00524594" w:rsidRPr="00CF3F65" w:rsidRDefault="00524594" w:rsidP="00CF3F65">
      <w:pPr>
        <w:pStyle w:val="Prrafodelista"/>
        <w:spacing w:line="360" w:lineRule="auto"/>
        <w:ind w:left="567"/>
        <w:rPr>
          <w:rFonts w:ascii="Palatino Linotype" w:eastAsia="Calibri" w:hAnsi="Palatino Linotype" w:cs="Arial"/>
        </w:rPr>
      </w:pPr>
    </w:p>
    <w:p w14:paraId="55415850" w14:textId="5ABFC1AF" w:rsidR="00524594"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 xml:space="preserve">No se comparte el criterio de que se clasifique </w:t>
      </w:r>
      <w:r w:rsidRPr="00CF3F65">
        <w:rPr>
          <w:rFonts w:ascii="Palatino Linotype" w:eastAsiaTheme="minorHAnsi" w:hAnsi="Palatino Linotype" w:cstheme="minorBidi"/>
          <w:lang w:val="es-MX" w:eastAsia="en-US"/>
        </w:rPr>
        <w:t xml:space="preserve">como confidencial el nombre y cargo de los servidores públicos, absueltos, en los procedimientos por faltas graves y que hayan causado </w:t>
      </w:r>
      <w:r w:rsidR="00216C06" w:rsidRPr="00CF3F65">
        <w:rPr>
          <w:rFonts w:ascii="Palatino Linotype" w:eastAsiaTheme="minorHAnsi" w:hAnsi="Palatino Linotype" w:cstheme="minorBidi"/>
          <w:lang w:val="es-MX" w:eastAsia="en-US"/>
        </w:rPr>
        <w:t xml:space="preserve">estado, </w:t>
      </w:r>
      <w:r w:rsidR="00216C06" w:rsidRPr="00CF3F65">
        <w:rPr>
          <w:rFonts w:ascii="Palatino Linotype" w:eastAsia="Calibri" w:hAnsi="Palatino Linotype" w:cs="Arial"/>
        </w:rPr>
        <w:t>en</w:t>
      </w:r>
      <w:r w:rsidRPr="00CF3F65">
        <w:rPr>
          <w:rFonts w:ascii="Palatino Linotype" w:eastAsia="Calibri" w:hAnsi="Palatino Linotype" w:cs="Arial"/>
        </w:rPr>
        <w:t xml:space="preserve"> razón de que, al no existir una sanción impuesta, no existe afectación alguna al honor y buen nombre de los servidores públicos.</w:t>
      </w:r>
    </w:p>
    <w:p w14:paraId="750CB1FE" w14:textId="77777777" w:rsidR="00216C06" w:rsidRPr="00CF3F65" w:rsidRDefault="00216C06" w:rsidP="00CF3F65">
      <w:pPr>
        <w:spacing w:line="360" w:lineRule="auto"/>
        <w:jc w:val="both"/>
        <w:rPr>
          <w:rFonts w:ascii="Palatino Linotype" w:eastAsia="Calibri" w:hAnsi="Palatino Linotype" w:cs="Arial"/>
        </w:rPr>
      </w:pPr>
    </w:p>
    <w:p w14:paraId="79E03E58" w14:textId="77777777" w:rsidR="00524594" w:rsidRPr="00CF3F65"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lastRenderedPageBreak/>
        <w:t>La publicidad 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2AC4B520" w14:textId="77777777" w:rsidR="00524594" w:rsidRPr="00CF3F65" w:rsidRDefault="00524594" w:rsidP="00CF3F65">
      <w:pPr>
        <w:pStyle w:val="Prrafodelista"/>
        <w:spacing w:line="360" w:lineRule="auto"/>
        <w:rPr>
          <w:rFonts w:ascii="Palatino Linotype" w:eastAsia="Calibri" w:hAnsi="Palatino Linotype" w:cs="Arial"/>
        </w:rPr>
      </w:pPr>
    </w:p>
    <w:p w14:paraId="5765498A" w14:textId="77777777" w:rsidR="00524594" w:rsidRPr="00CF3F65" w:rsidRDefault="00524594" w:rsidP="00CF3F65">
      <w:pPr>
        <w:pStyle w:val="Prrafodelista"/>
        <w:spacing w:line="360" w:lineRule="auto"/>
        <w:rPr>
          <w:rFonts w:ascii="Palatino Linotype" w:eastAsia="Calibri" w:hAnsi="Palatino Linotype" w:cs="Arial"/>
        </w:rPr>
      </w:pPr>
    </w:p>
    <w:p w14:paraId="5BE23A3F" w14:textId="77777777" w:rsidR="00820022" w:rsidRPr="00CF3F65" w:rsidRDefault="00820022" w:rsidP="00CF3F65">
      <w:pPr>
        <w:spacing w:line="360" w:lineRule="auto"/>
        <w:rPr>
          <w:rFonts w:ascii="Palatino Linotype" w:hAnsi="Palatino Linotype"/>
        </w:rPr>
      </w:pPr>
    </w:p>
    <w:p w14:paraId="10E16306" w14:textId="77777777" w:rsidR="00820022" w:rsidRPr="00CF3F65" w:rsidRDefault="00820022" w:rsidP="00CF3F65">
      <w:pPr>
        <w:spacing w:line="360" w:lineRule="auto"/>
        <w:rPr>
          <w:rFonts w:ascii="Palatino Linotype" w:hAnsi="Palatino Linotype" w:cs="Arial"/>
          <w:bCs/>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23DFF" w14:textId="77777777" w:rsidR="00294490" w:rsidRDefault="00294490" w:rsidP="00C80F8C">
      <w:r>
        <w:separator/>
      </w:r>
    </w:p>
  </w:endnote>
  <w:endnote w:type="continuationSeparator" w:id="0">
    <w:p w14:paraId="2CD005F1" w14:textId="77777777" w:rsidR="00294490" w:rsidRDefault="002944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7007C" w14:textId="77777777" w:rsidR="00294490" w:rsidRDefault="00294490" w:rsidP="00C80F8C">
      <w:r>
        <w:separator/>
      </w:r>
    </w:p>
  </w:footnote>
  <w:footnote w:type="continuationSeparator" w:id="0">
    <w:p w14:paraId="0CB6A093" w14:textId="77777777" w:rsidR="00294490" w:rsidRDefault="0029449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29449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294490"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29449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5"/>
  </w:num>
  <w:num w:numId="5">
    <w:abstractNumId w:val="9"/>
  </w:num>
  <w:num w:numId="6">
    <w:abstractNumId w:val="8"/>
  </w:num>
  <w:num w:numId="7">
    <w:abstractNumId w:val="6"/>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1112E6"/>
    <w:rsid w:val="0018216B"/>
    <w:rsid w:val="001B3D11"/>
    <w:rsid w:val="001C7B07"/>
    <w:rsid w:val="00216C06"/>
    <w:rsid w:val="00284217"/>
    <w:rsid w:val="00294490"/>
    <w:rsid w:val="002D5B21"/>
    <w:rsid w:val="00312863"/>
    <w:rsid w:val="003D1F47"/>
    <w:rsid w:val="00430304"/>
    <w:rsid w:val="004D0A26"/>
    <w:rsid w:val="004E305D"/>
    <w:rsid w:val="004E7984"/>
    <w:rsid w:val="00502EE6"/>
    <w:rsid w:val="0050559A"/>
    <w:rsid w:val="00513782"/>
    <w:rsid w:val="00524594"/>
    <w:rsid w:val="00575235"/>
    <w:rsid w:val="005C481C"/>
    <w:rsid w:val="005D1946"/>
    <w:rsid w:val="005F3A48"/>
    <w:rsid w:val="00634485"/>
    <w:rsid w:val="0067340C"/>
    <w:rsid w:val="006B2674"/>
    <w:rsid w:val="006E6389"/>
    <w:rsid w:val="006F0A6E"/>
    <w:rsid w:val="006F30F8"/>
    <w:rsid w:val="0071093C"/>
    <w:rsid w:val="00736C06"/>
    <w:rsid w:val="00760037"/>
    <w:rsid w:val="007617C8"/>
    <w:rsid w:val="00762C20"/>
    <w:rsid w:val="007A1C9F"/>
    <w:rsid w:val="007B1CFA"/>
    <w:rsid w:val="007C766E"/>
    <w:rsid w:val="007D4251"/>
    <w:rsid w:val="007E70F8"/>
    <w:rsid w:val="00820022"/>
    <w:rsid w:val="00820034"/>
    <w:rsid w:val="00861A61"/>
    <w:rsid w:val="00892AFC"/>
    <w:rsid w:val="008D1526"/>
    <w:rsid w:val="008F67BC"/>
    <w:rsid w:val="00961995"/>
    <w:rsid w:val="00975EB9"/>
    <w:rsid w:val="009E155A"/>
    <w:rsid w:val="009F0D8D"/>
    <w:rsid w:val="00A16950"/>
    <w:rsid w:val="00A53363"/>
    <w:rsid w:val="00A610D3"/>
    <w:rsid w:val="00A74BB7"/>
    <w:rsid w:val="00A81140"/>
    <w:rsid w:val="00AC0680"/>
    <w:rsid w:val="00AE7763"/>
    <w:rsid w:val="00B014D8"/>
    <w:rsid w:val="00B53290"/>
    <w:rsid w:val="00BB11DB"/>
    <w:rsid w:val="00BD7483"/>
    <w:rsid w:val="00BF6974"/>
    <w:rsid w:val="00C27236"/>
    <w:rsid w:val="00C65950"/>
    <w:rsid w:val="00C80F8C"/>
    <w:rsid w:val="00C85F1D"/>
    <w:rsid w:val="00C8760D"/>
    <w:rsid w:val="00CF3F65"/>
    <w:rsid w:val="00D20156"/>
    <w:rsid w:val="00D36ABC"/>
    <w:rsid w:val="00DD5CD5"/>
    <w:rsid w:val="00DE1629"/>
    <w:rsid w:val="00DE5C27"/>
    <w:rsid w:val="00F614DA"/>
    <w:rsid w:val="00F717F4"/>
    <w:rsid w:val="00F9546D"/>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31B3D-8D72-4E02-941D-E595A9136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1697</Words>
  <Characters>9812</Characters>
  <Application>Microsoft Office Word</Application>
  <DocSecurity>0</DocSecurity>
  <Lines>155</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INFORMATICA</cp:lastModifiedBy>
  <cp:revision>3</cp:revision>
  <cp:lastPrinted>2022-02-15T19:21:00Z</cp:lastPrinted>
  <dcterms:created xsi:type="dcterms:W3CDTF">2022-03-08T21:48:00Z</dcterms:created>
  <dcterms:modified xsi:type="dcterms:W3CDTF">2022-03-08T23:16:00Z</dcterms:modified>
</cp:coreProperties>
</file>