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p>
    <w:p w14:paraId="0DCE4B37" w14:textId="3502B449" w:rsidR="004536B0" w:rsidRDefault="004536B0"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FF41CC">
        <w:rPr>
          <w:rFonts w:ascii="Palatino Linotype" w:hAnsi="Palatino Linotype"/>
          <w:b/>
          <w:lang w:val="es-ES_tradnl"/>
        </w:rPr>
        <w:t>01479</w:t>
      </w:r>
      <w:r w:rsidR="00213730" w:rsidRPr="00F67B0E">
        <w:rPr>
          <w:rFonts w:ascii="Palatino Linotype" w:hAnsi="Palatino Linotype"/>
          <w:b/>
          <w:lang w:val="es-ES_tradnl"/>
        </w:rPr>
        <w:t>/INFOEM/IP/RR/2022</w:t>
      </w:r>
      <w:r w:rsidR="00E8180A" w:rsidRPr="001C5BFE">
        <w:rPr>
          <w:rFonts w:ascii="Palatino Linotype" w:hAnsi="Palatino Linotype" w:cs="Tahoma"/>
          <w:b/>
        </w:rPr>
        <w:t>, PROMOVIDO EN CONTRA DEL</w:t>
      </w:r>
      <w:r w:rsidR="00213730" w:rsidRPr="00213730">
        <w:t xml:space="preserve"> </w:t>
      </w:r>
      <w:r w:rsidR="00213730" w:rsidRPr="00213730">
        <w:rPr>
          <w:rFonts w:ascii="Palatino Linotype" w:hAnsi="Palatino Linotype" w:cs="Tahoma"/>
          <w:b/>
        </w:rPr>
        <w:t xml:space="preserve">AYUNTAMIENTO DE </w:t>
      </w:r>
      <w:r w:rsidR="00FF41CC">
        <w:rPr>
          <w:rFonts w:ascii="Palatino Linotype" w:hAnsi="Palatino Linotype" w:cs="Tahoma"/>
          <w:b/>
        </w:rPr>
        <w:t>TEMOAYA</w:t>
      </w:r>
      <w:r w:rsidR="00213730">
        <w:rPr>
          <w:rFonts w:ascii="Palatino Linotype" w:hAnsi="Palatino Linotype" w:cs="Tahoma"/>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68D57660" w:rsidR="006705F3" w:rsidRPr="006705F3" w:rsidRDefault="00A54D95" w:rsidP="006705F3">
      <w:pPr>
        <w:spacing w:after="0" w:line="360" w:lineRule="auto"/>
        <w:ind w:right="-93"/>
        <w:contextualSpacing/>
        <w:jc w:val="both"/>
        <w:rPr>
          <w:rFonts w:ascii="Palatino Linotype" w:hAnsi="Palatino Linotype"/>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FF41CC">
        <w:rPr>
          <w:rFonts w:ascii="Palatino Linotype" w:hAnsi="Palatino Linotype"/>
          <w:b/>
          <w:lang w:val="es-ES_tradnl"/>
        </w:rPr>
        <w:t>01479</w:t>
      </w:r>
      <w:r w:rsidR="00213730" w:rsidRPr="009C2953">
        <w:rPr>
          <w:rFonts w:ascii="Palatino Linotype" w:hAnsi="Palatino Linotype"/>
          <w:b/>
          <w:lang w:val="es-ES_tradnl"/>
        </w:rPr>
        <w:t>/INFOEM/IP/RR/2022</w:t>
      </w:r>
      <w:r w:rsidR="00213730">
        <w:rPr>
          <w:rFonts w:ascii="Palatino Linotype" w:hAnsi="Palatino Linotype"/>
          <w:b/>
          <w:lang w:val="es-ES_tradnl"/>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43FC57D2" w14:textId="02860ABE" w:rsidR="00B77A0C" w:rsidRDefault="004536B0" w:rsidP="002A0A48">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Solicitante requirió </w:t>
      </w:r>
      <w:r w:rsidR="00213730">
        <w:rPr>
          <w:rFonts w:ascii="Palatino Linotype" w:hAnsi="Palatino Linotype"/>
        </w:rPr>
        <w:t xml:space="preserve">información relacionada con documentos de archivo; en respuesta el Sujeto Obligado </w:t>
      </w:r>
      <w:r w:rsidR="007C2A40">
        <w:rPr>
          <w:rFonts w:ascii="Palatino Linotype" w:hAnsi="Palatino Linotype"/>
        </w:rPr>
        <w:t>proporcionó diversa información, a lo cual, el Particular se agravió con la entrega de información incompleta</w:t>
      </w:r>
      <w:r w:rsidR="00213730">
        <w:rPr>
          <w:rFonts w:ascii="Palatino Linotype" w:hAnsi="Palatino Linotype"/>
        </w:rPr>
        <w:t xml:space="preserve">; por lo que, el Sujeto Obligado, durante la tramitación del Recurso de Revisión rindió </w:t>
      </w:r>
      <w:r w:rsidR="007C2A40">
        <w:rPr>
          <w:rFonts w:ascii="Palatino Linotype" w:hAnsi="Palatino Linotype"/>
        </w:rPr>
        <w:t>I</w:t>
      </w:r>
      <w:r w:rsidR="00213730">
        <w:rPr>
          <w:rFonts w:ascii="Palatino Linotype" w:hAnsi="Palatino Linotype"/>
        </w:rPr>
        <w:t xml:space="preserve">nforme </w:t>
      </w:r>
      <w:r w:rsidR="007C2A40">
        <w:rPr>
          <w:rFonts w:ascii="Palatino Linotype" w:hAnsi="Palatino Linotype"/>
        </w:rPr>
        <w:t>J</w:t>
      </w:r>
      <w:r w:rsidR="00213730">
        <w:rPr>
          <w:rFonts w:ascii="Palatino Linotype" w:hAnsi="Palatino Linotype"/>
        </w:rPr>
        <w:t>ustificado</w:t>
      </w:r>
      <w:r w:rsidR="007C2A40">
        <w:rPr>
          <w:rFonts w:ascii="Palatino Linotype" w:hAnsi="Palatino Linotype"/>
        </w:rPr>
        <w:t xml:space="preserve">, en donde entregó </w:t>
      </w:r>
      <w:r w:rsidR="00213730">
        <w:rPr>
          <w:rFonts w:ascii="Palatino Linotype" w:hAnsi="Palatino Linotype"/>
        </w:rPr>
        <w:t xml:space="preserve">una liga que remite </w:t>
      </w:r>
      <w:r w:rsidR="007C2A40">
        <w:rPr>
          <w:rFonts w:ascii="Palatino Linotype" w:hAnsi="Palatino Linotype"/>
        </w:rPr>
        <w:t>a su Portal de</w:t>
      </w:r>
      <w:r w:rsidR="00213730">
        <w:rPr>
          <w:rFonts w:ascii="Palatino Linotype" w:hAnsi="Palatino Linotype"/>
        </w:rPr>
        <w:t xml:space="preserve"> </w:t>
      </w:r>
      <w:r w:rsidR="00213730" w:rsidRPr="00213730">
        <w:rPr>
          <w:rFonts w:ascii="Palatino Linotype" w:hAnsi="Palatino Linotype"/>
        </w:rPr>
        <w:t xml:space="preserve">Información Pública de Oficio </w:t>
      </w:r>
      <w:r w:rsidR="007C2A40">
        <w:rPr>
          <w:rFonts w:ascii="Palatino Linotype" w:hAnsi="Palatino Linotype"/>
        </w:rPr>
        <w:t xml:space="preserve">Mexiquense </w:t>
      </w:r>
      <w:r w:rsidR="00213730">
        <w:rPr>
          <w:rFonts w:ascii="Palatino Linotype" w:hAnsi="Palatino Linotype"/>
        </w:rPr>
        <w:t xml:space="preserve">(IPOMEX); consecuencia del análisis, la Ponencia determinó que no se colmaron todos los puntos solicitados y ordenó la entrega de la información faltante, </w:t>
      </w:r>
      <w:r w:rsidR="00B77A0C">
        <w:rPr>
          <w:rFonts w:ascii="Palatino Linotype" w:hAnsi="Palatino Linotype"/>
        </w:rPr>
        <w:t xml:space="preserve">de igual forma se ordenó dar vista a la Dirección General Jurídica y de </w:t>
      </w:r>
      <w:r w:rsidR="00E528A9">
        <w:rPr>
          <w:rFonts w:ascii="Palatino Linotype" w:hAnsi="Palatino Linotype"/>
        </w:rPr>
        <w:t xml:space="preserve">Verificación de este Instituto, por </w:t>
      </w:r>
      <w:r w:rsidR="00213730">
        <w:rPr>
          <w:rFonts w:ascii="Palatino Linotype" w:hAnsi="Palatino Linotype"/>
        </w:rPr>
        <w:t xml:space="preserve">considerar que no está actualizado </w:t>
      </w:r>
      <w:r w:rsidR="007C2A40">
        <w:rPr>
          <w:rFonts w:ascii="Palatino Linotype" w:hAnsi="Palatino Linotype"/>
        </w:rPr>
        <w:t>el Portal mencionado</w:t>
      </w:r>
      <w:r w:rsidR="00213730">
        <w:rPr>
          <w:rFonts w:ascii="Palatino Linotype" w:hAnsi="Palatino Linotype"/>
        </w:rPr>
        <w:t>.</w:t>
      </w:r>
    </w:p>
    <w:p w14:paraId="503A640E" w14:textId="0631D2AB" w:rsidR="00FF1DA6" w:rsidRDefault="00FF1DA6" w:rsidP="006705F3">
      <w:pPr>
        <w:spacing w:after="0" w:line="360" w:lineRule="auto"/>
        <w:jc w:val="both"/>
        <w:rPr>
          <w:rFonts w:ascii="Palatino Linotype" w:hAnsi="Palatino Linotype"/>
        </w:rPr>
      </w:pPr>
    </w:p>
    <w:p w14:paraId="687E28AD" w14:textId="71A8FFF2" w:rsidR="00826FAD" w:rsidRDefault="00B77A0C" w:rsidP="00B77A0C">
      <w:pPr>
        <w:tabs>
          <w:tab w:val="left" w:pos="0"/>
        </w:tabs>
        <w:spacing w:after="0" w:line="360" w:lineRule="auto"/>
        <w:ind w:right="49"/>
        <w:contextualSpacing/>
        <w:jc w:val="both"/>
        <w:rPr>
          <w:rFonts w:ascii="Palatino Linotype" w:hAnsi="Palatino Linotype"/>
        </w:rPr>
      </w:pPr>
      <w:r w:rsidRPr="00B77A0C">
        <w:rPr>
          <w:rFonts w:ascii="Palatino Linotype" w:hAnsi="Palatino Linotype"/>
        </w:rPr>
        <w:t>Al respecto, es preciso mencionar que si bien se comparte el sentido de la Resolución</w:t>
      </w:r>
      <w:r>
        <w:rPr>
          <w:rFonts w:ascii="Palatino Linotype" w:hAnsi="Palatino Linotype"/>
        </w:rPr>
        <w:t xml:space="preserve"> </w:t>
      </w:r>
      <w:r w:rsidRPr="00B77A0C">
        <w:rPr>
          <w:rFonts w:ascii="Palatino Linotype" w:hAnsi="Palatino Linotype"/>
        </w:rPr>
        <w:t>emitida en virtud de que procede ordenar los documentos que dan cuenta de la</w:t>
      </w:r>
      <w:r>
        <w:rPr>
          <w:rFonts w:ascii="Palatino Linotype" w:hAnsi="Palatino Linotype"/>
        </w:rPr>
        <w:t xml:space="preserve"> </w:t>
      </w:r>
      <w:r w:rsidRPr="00B77A0C">
        <w:rPr>
          <w:rFonts w:ascii="Palatino Linotype" w:hAnsi="Palatino Linotype"/>
        </w:rPr>
        <w:t xml:space="preserve">información </w:t>
      </w:r>
      <w:r w:rsidRPr="00B77A0C">
        <w:rPr>
          <w:rFonts w:ascii="Palatino Linotype" w:hAnsi="Palatino Linotype"/>
        </w:rPr>
        <w:lastRenderedPageBreak/>
        <w:t>solicitada, no obstante, se agregó en el estudio, de acuerdo con el criterio</w:t>
      </w:r>
      <w:r>
        <w:rPr>
          <w:rFonts w:ascii="Palatino Linotype" w:hAnsi="Palatino Linotype"/>
        </w:rPr>
        <w:t xml:space="preserve"> </w:t>
      </w:r>
      <w:r w:rsidRPr="00B77A0C">
        <w:rPr>
          <w:rFonts w:ascii="Palatino Linotype" w:hAnsi="Palatino Linotype"/>
        </w:rPr>
        <w:t>mayoritario dar vista a la Dirección General Jurídica y de Verificación de este Instituto,</w:t>
      </w:r>
      <w:r>
        <w:rPr>
          <w:rFonts w:ascii="Palatino Linotype" w:hAnsi="Palatino Linotype"/>
        </w:rPr>
        <w:t xml:space="preserve"> </w:t>
      </w:r>
      <w:r w:rsidRPr="00B77A0C">
        <w:rPr>
          <w:rFonts w:ascii="Palatino Linotype" w:hAnsi="Palatino Linotype"/>
        </w:rPr>
        <w:t>para que realice el procedimiento que marca la Ley y procure la inmediata publicación de</w:t>
      </w:r>
      <w:r>
        <w:rPr>
          <w:rFonts w:ascii="Palatino Linotype" w:hAnsi="Palatino Linotype"/>
        </w:rPr>
        <w:t xml:space="preserve"> </w:t>
      </w:r>
      <w:r w:rsidRPr="00B77A0C">
        <w:rPr>
          <w:rFonts w:ascii="Palatino Linotype" w:hAnsi="Palatino Linotype"/>
        </w:rPr>
        <w:t xml:space="preserve">la información a cargo del Sujeto Obligado en </w:t>
      </w:r>
      <w:r w:rsidR="007C2A40">
        <w:rPr>
          <w:rFonts w:ascii="Palatino Linotype" w:hAnsi="Palatino Linotype"/>
        </w:rPr>
        <w:t xml:space="preserve">el </w:t>
      </w:r>
      <w:r w:rsidR="007C2A40">
        <w:rPr>
          <w:rFonts w:ascii="Palatino Linotype" w:hAnsi="Palatino Linotype"/>
        </w:rPr>
        <w:t xml:space="preserve">Portal de </w:t>
      </w:r>
      <w:r w:rsidR="007C2A40" w:rsidRPr="00213730">
        <w:rPr>
          <w:rFonts w:ascii="Palatino Linotype" w:hAnsi="Palatino Linotype"/>
        </w:rPr>
        <w:t xml:space="preserve">Información Pública de Oficio </w:t>
      </w:r>
      <w:r w:rsidR="007C2A40">
        <w:rPr>
          <w:rFonts w:ascii="Palatino Linotype" w:hAnsi="Palatino Linotype"/>
        </w:rPr>
        <w:t>Mexiquense</w:t>
      </w:r>
      <w:r w:rsidRPr="00B77A0C">
        <w:rPr>
          <w:rFonts w:ascii="Palatino Linotype" w:hAnsi="Palatino Linotype"/>
        </w:rPr>
        <w:t>.</w:t>
      </w:r>
    </w:p>
    <w:p w14:paraId="76ED8ACE" w14:textId="77777777" w:rsidR="00B77A0C" w:rsidRPr="004124F9" w:rsidRDefault="00B77A0C" w:rsidP="00B77A0C">
      <w:pPr>
        <w:tabs>
          <w:tab w:val="left" w:pos="0"/>
        </w:tabs>
        <w:spacing w:after="0" w:line="360" w:lineRule="auto"/>
        <w:ind w:right="49"/>
        <w:contextualSpacing/>
        <w:jc w:val="both"/>
        <w:rPr>
          <w:rFonts w:ascii="Palatino Linotype" w:hAnsi="Palatino Linotype"/>
        </w:rPr>
      </w:pPr>
    </w:p>
    <w:p w14:paraId="4AEB652A" w14:textId="4BFFE003"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4124F9">
        <w:rPr>
          <w:rFonts w:ascii="Palatino Linotype" w:eastAsia="Calibri" w:hAnsi="Palatino Linotype" w:cs="Times New Roman"/>
          <w:b/>
          <w:bCs/>
          <w:u w:val="single"/>
        </w:rPr>
        <w:t>r</w:t>
      </w:r>
      <w:r w:rsidRPr="004124F9">
        <w:rPr>
          <w:rFonts w:ascii="Palatino Linotype" w:eastAsia="Calibri" w:hAnsi="Palatino Linotype" w:cs="Times New Roman"/>
          <w:b/>
          <w:u w:val="single"/>
        </w:rPr>
        <w:t>esponsable de garantizar el ejercicio de los derechos de acceso a la información pública y la protección de datos personales en posesión de los sujetos obligados</w:t>
      </w:r>
      <w:r w:rsidRPr="004124F9">
        <w:rPr>
          <w:rFonts w:ascii="Palatino Linotype" w:eastAsia="Calibri" w:hAnsi="Palatino Linotype" w:cs="Times New Roman"/>
        </w:rPr>
        <w:t xml:space="preserve"> conforme a los principios y bases establecidas en la Constitución Federal, Constitución Local, Ley General, así como lo previsto en esta Ley y demás disposiciones jurídicas aplicables.</w:t>
      </w:r>
    </w:p>
    <w:p w14:paraId="4394E0D0" w14:textId="77777777"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p>
    <w:p w14:paraId="41815C43" w14:textId="6B8B050E" w:rsidR="00826FAD"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1ABD41DF" w14:textId="77777777" w:rsidR="00826FAD" w:rsidRPr="004124F9"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p>
    <w:p w14:paraId="6994BF15" w14:textId="6D8ADDB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r w:rsidR="007C2A40">
        <w:rPr>
          <w:rFonts w:ascii="Palatino Linotype" w:eastAsia="Calibri" w:hAnsi="Palatino Linotype" w:cs="Times New Roman"/>
          <w:lang w:eastAsia="es-ES"/>
        </w:rPr>
        <w:t>;</w:t>
      </w:r>
    </w:p>
    <w:p w14:paraId="0A7375E1" w14:textId="0368A308"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r w:rsidR="007C2A40">
        <w:rPr>
          <w:rFonts w:ascii="Palatino Linotype" w:eastAsia="Calibri" w:hAnsi="Palatino Linotype" w:cs="Times New Roman"/>
          <w:lang w:eastAsia="es-ES"/>
        </w:rPr>
        <w:t>;</w:t>
      </w:r>
    </w:p>
    <w:p w14:paraId="0A7DE5C6" w14:textId="7C394696" w:rsidR="00826FAD"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Revocar o modificar la respuesta del sujeto obligado</w:t>
      </w:r>
      <w:r w:rsidR="007C2A40">
        <w:rPr>
          <w:rFonts w:ascii="Palatino Linotype" w:eastAsia="Calibri" w:hAnsi="Palatino Linotype" w:cs="Times New Roman"/>
          <w:lang w:eastAsia="es-ES"/>
        </w:rPr>
        <w:t>,</w:t>
      </w:r>
      <w:r w:rsidRPr="002872F1">
        <w:rPr>
          <w:rFonts w:ascii="Palatino Linotype" w:eastAsia="Calibri" w:hAnsi="Palatino Linotype" w:cs="Times New Roman"/>
          <w:lang w:eastAsia="es-ES"/>
        </w:rPr>
        <w:t xml:space="preserve"> y </w:t>
      </w:r>
    </w:p>
    <w:p w14:paraId="3C55EE17" w14:textId="77777777" w:rsidR="00FF71D5" w:rsidRPr="002872F1" w:rsidRDefault="00FF71D5" w:rsidP="00FF71D5">
      <w:pPr>
        <w:spacing w:after="0" w:line="360" w:lineRule="auto"/>
        <w:ind w:left="720"/>
        <w:contextualSpacing/>
        <w:jc w:val="both"/>
        <w:rPr>
          <w:rFonts w:ascii="Palatino Linotype" w:eastAsia="Calibri" w:hAnsi="Palatino Linotype" w:cs="Times New Roman"/>
          <w:lang w:eastAsia="es-ES"/>
        </w:rPr>
      </w:pPr>
    </w:p>
    <w:p w14:paraId="1AE496C7"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4E790C76" w14:textId="77777777" w:rsidR="00826FAD" w:rsidRPr="004124F9" w:rsidRDefault="00826FAD" w:rsidP="00826FAD">
      <w:pPr>
        <w:spacing w:after="0" w:line="360" w:lineRule="auto"/>
        <w:ind w:left="720"/>
        <w:contextualSpacing/>
        <w:jc w:val="both"/>
        <w:rPr>
          <w:rFonts w:ascii="Palatino Linotype" w:eastAsia="Calibri" w:hAnsi="Palatino Linotype" w:cs="Times New Roman"/>
          <w:lang w:eastAsia="es-ES"/>
        </w:rPr>
      </w:pPr>
    </w:p>
    <w:p w14:paraId="14DFDF3D"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6B83EEDD" w14:textId="77777777" w:rsidR="00826FAD" w:rsidRPr="004124F9" w:rsidRDefault="00826FAD" w:rsidP="00826FAD">
      <w:pPr>
        <w:spacing w:after="0" w:line="360" w:lineRule="auto"/>
        <w:jc w:val="both"/>
        <w:rPr>
          <w:rFonts w:ascii="Palatino Linotype" w:eastAsia="Calibri" w:hAnsi="Palatino Linotype" w:cs="Times New Roman"/>
        </w:rPr>
      </w:pPr>
    </w:p>
    <w:p w14:paraId="35A63C56" w14:textId="7BC42312"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5F748866" w14:textId="4FB9514F"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r w:rsidR="007C2A40">
        <w:rPr>
          <w:rFonts w:ascii="Palatino Linotype" w:eastAsia="Calibri" w:hAnsi="Palatino Linotype" w:cs="Times New Roman"/>
          <w:lang w:eastAsia="es-ES"/>
        </w:rPr>
        <w:t>;</w:t>
      </w:r>
    </w:p>
    <w:p w14:paraId="17E97BDF" w14:textId="7875470C"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b/>
          <w:lang w:eastAsia="es-ES"/>
        </w:rPr>
        <w:t xml:space="preserve">Los alcances y efectos de la resolución, </w:t>
      </w:r>
      <w:r w:rsidR="00D72921">
        <w:rPr>
          <w:rFonts w:ascii="Palatino Linotype" w:eastAsia="Calibri" w:hAnsi="Palatino Linotype" w:cs="Times New Roman"/>
          <w:b/>
          <w:lang w:eastAsia="es-ES"/>
        </w:rPr>
        <w:t xml:space="preserve">en donde se </w:t>
      </w:r>
      <w:r w:rsidRPr="002872F1">
        <w:rPr>
          <w:rFonts w:ascii="Palatino Linotype" w:eastAsia="Calibri" w:hAnsi="Palatino Linotype" w:cs="Times New Roman"/>
          <w:b/>
          <w:lang w:eastAsia="es-ES"/>
        </w:rPr>
        <w:t>fij</w:t>
      </w:r>
      <w:r w:rsidR="00D72921">
        <w:rPr>
          <w:rFonts w:ascii="Palatino Linotype" w:eastAsia="Calibri" w:hAnsi="Palatino Linotype" w:cs="Times New Roman"/>
          <w:b/>
          <w:lang w:eastAsia="es-ES"/>
        </w:rPr>
        <w:t>e</w:t>
      </w:r>
      <w:r w:rsidRPr="002872F1">
        <w:rPr>
          <w:rFonts w:ascii="Palatino Linotype" w:eastAsia="Calibri" w:hAnsi="Palatino Linotype" w:cs="Times New Roman"/>
          <w:b/>
          <w:lang w:eastAsia="es-ES"/>
        </w:rPr>
        <w:t xml:space="preserve"> con precisión</w:t>
      </w:r>
      <w:r w:rsidRPr="002872F1">
        <w:rPr>
          <w:rFonts w:ascii="Palatino Linotype" w:eastAsia="Calibri" w:hAnsi="Palatino Linotype" w:cs="Times New Roman"/>
          <w:lang w:eastAsia="es-ES"/>
        </w:rPr>
        <w:t xml:space="preserve">, en su caso, </w:t>
      </w:r>
      <w:r w:rsidR="00D72921">
        <w:rPr>
          <w:rFonts w:ascii="Palatino Linotype" w:eastAsia="Calibri" w:hAnsi="Palatino Linotype" w:cs="Times New Roman"/>
          <w:b/>
          <w:u w:val="single"/>
          <w:lang w:eastAsia="es-ES"/>
        </w:rPr>
        <w:t xml:space="preserve">los sujetos e instituciones públicas </w:t>
      </w:r>
      <w:r w:rsidRPr="002872F1">
        <w:rPr>
          <w:rFonts w:ascii="Palatino Linotype" w:eastAsia="Calibri" w:hAnsi="Palatino Linotype" w:cs="Times New Roman"/>
          <w:b/>
          <w:u w:val="single"/>
          <w:lang w:eastAsia="es-ES"/>
        </w:rPr>
        <w:t>obligados a cumplirla</w:t>
      </w:r>
      <w:r w:rsidR="007C2A40">
        <w:rPr>
          <w:rFonts w:ascii="Palatino Linotype" w:eastAsia="Calibri" w:hAnsi="Palatino Linotype" w:cs="Times New Roman"/>
          <w:b/>
          <w:u w:val="single"/>
          <w:lang w:eastAsia="es-ES"/>
        </w:rPr>
        <w:t>,</w:t>
      </w:r>
      <w:r w:rsidRPr="002872F1">
        <w:rPr>
          <w:rFonts w:ascii="Palatino Linotype" w:eastAsia="Calibri" w:hAnsi="Palatino Linotype" w:cs="Times New Roman"/>
          <w:lang w:eastAsia="es-ES"/>
        </w:rPr>
        <w:t xml:space="preserve"> y</w:t>
      </w:r>
    </w:p>
    <w:p w14:paraId="7341CB03" w14:textId="77777777" w:rsidR="00826FAD" w:rsidRPr="002872F1"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3E162A5A" w14:textId="77777777" w:rsidR="00826FAD" w:rsidRPr="004124F9" w:rsidRDefault="00826FAD" w:rsidP="00826FAD">
      <w:pPr>
        <w:spacing w:after="0" w:line="360" w:lineRule="auto"/>
        <w:jc w:val="both"/>
        <w:rPr>
          <w:rFonts w:ascii="Palatino Linotype" w:eastAsia="Calibri" w:hAnsi="Palatino Linotype" w:cs="Times New Roman"/>
        </w:rPr>
      </w:pPr>
    </w:p>
    <w:p w14:paraId="736386B3"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 xml:space="preserve">Sobre este punto, se considera de suma importancia mencionar </w:t>
      </w:r>
      <w:proofErr w:type="gramStart"/>
      <w:r w:rsidRPr="004124F9">
        <w:rPr>
          <w:rFonts w:ascii="Palatino Linotype" w:eastAsia="Calibri" w:hAnsi="Palatino Linotype" w:cs="Times New Roman"/>
        </w:rPr>
        <w:t>que</w:t>
      </w:r>
      <w:proofErr w:type="gramEnd"/>
      <w:r w:rsidRPr="004124F9">
        <w:rPr>
          <w:rFonts w:ascii="Palatino Linotype" w:eastAsia="Calibri" w:hAnsi="Palatino Linotype" w:cs="Times New Roman"/>
        </w:rPr>
        <w:t xml:space="preserve"> de la normatividad citada, se advierte que este Instituto está facultado entre otras cosas para:</w:t>
      </w:r>
    </w:p>
    <w:p w14:paraId="4C337038" w14:textId="77777777" w:rsidR="00826FAD" w:rsidRPr="004124F9" w:rsidRDefault="00826FAD" w:rsidP="00826FAD">
      <w:pPr>
        <w:spacing w:after="0" w:line="360" w:lineRule="auto"/>
        <w:jc w:val="both"/>
        <w:rPr>
          <w:rFonts w:ascii="Palatino Linotype" w:eastAsia="Calibri" w:hAnsi="Palatino Linotype" w:cs="Times New Roman"/>
        </w:rPr>
      </w:pPr>
    </w:p>
    <w:p w14:paraId="6C650376"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Conocer y resolver los recursos de revisión interpuestos por los particulares en contra de las resoluciones de los sujetos obligados en el ámbito estatal;</w:t>
      </w:r>
    </w:p>
    <w:p w14:paraId="6B1ABBDF"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t>Realizar de oficio</w:t>
      </w:r>
      <w:r w:rsidRPr="007C2A40">
        <w:rPr>
          <w:rFonts w:ascii="Palatino Linotype" w:eastAsia="Calibri" w:hAnsi="Palatino Linotype" w:cs="Times New Roman"/>
          <w:iCs/>
          <w:lang w:eastAsia="es-ES"/>
        </w:rPr>
        <w:t xml:space="preserve"> y a petición de parte, </w:t>
      </w:r>
      <w:r w:rsidRPr="007C2A40">
        <w:rPr>
          <w:rFonts w:ascii="Palatino Linotype" w:eastAsia="Calibri" w:hAnsi="Palatino Linotype" w:cs="Times New Roman"/>
          <w:b/>
          <w:iCs/>
          <w:u w:val="single"/>
          <w:lang w:eastAsia="es-ES"/>
        </w:rPr>
        <w:t>análisis y recomendaciones</w:t>
      </w:r>
      <w:r w:rsidRPr="007C2A40">
        <w:rPr>
          <w:rFonts w:ascii="Palatino Linotype" w:eastAsia="Calibri" w:hAnsi="Palatino Linotype" w:cs="Times New Roman"/>
          <w:iCs/>
          <w:lang w:eastAsia="es-ES"/>
        </w:rPr>
        <w:t xml:space="preserve"> o en su caso, lineamientos </w:t>
      </w:r>
      <w:r w:rsidRPr="007C2A40">
        <w:rPr>
          <w:rFonts w:ascii="Palatino Linotype" w:eastAsia="Calibri" w:hAnsi="Palatino Linotype" w:cs="Times New Roman"/>
          <w:b/>
          <w:iCs/>
          <w:u w:val="single"/>
          <w:lang w:eastAsia="es-ES"/>
        </w:rPr>
        <w:t>en relación con presuntos incumplimientos a las disposiciones de la Ley</w:t>
      </w:r>
      <w:r w:rsidRPr="007C2A40">
        <w:rPr>
          <w:rFonts w:ascii="Palatino Linotype" w:eastAsia="Calibri" w:hAnsi="Palatino Linotype" w:cs="Times New Roman"/>
          <w:iCs/>
          <w:lang w:eastAsia="es-ES"/>
        </w:rPr>
        <w:t>, cuando existan elementos suficientes a juicio del Pleno del Instituto;</w:t>
      </w:r>
    </w:p>
    <w:p w14:paraId="36EE4C97"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t>Emitir comunicados públicos</w:t>
      </w:r>
      <w:r w:rsidRPr="007C2A40">
        <w:rPr>
          <w:rFonts w:ascii="Palatino Linotype" w:eastAsia="Calibri" w:hAnsi="Palatino Linotype" w:cs="Times New Roman"/>
          <w:iCs/>
          <w:lang w:eastAsia="es-ES"/>
        </w:rPr>
        <w:t xml:space="preserve"> sobre el incumplimiento de sus resoluciones o </w:t>
      </w:r>
      <w:r w:rsidRPr="007C2A40">
        <w:rPr>
          <w:rFonts w:ascii="Palatino Linotype" w:eastAsia="Calibri" w:hAnsi="Palatino Linotype" w:cs="Times New Roman"/>
          <w:b/>
          <w:iCs/>
          <w:u w:val="single"/>
          <w:lang w:eastAsia="es-ES"/>
        </w:rPr>
        <w:t>por infracciones reiteradas a la Ley</w:t>
      </w:r>
      <w:r w:rsidRPr="007C2A40">
        <w:rPr>
          <w:rFonts w:ascii="Palatino Linotype" w:eastAsia="Calibri" w:hAnsi="Palatino Linotype" w:cs="Times New Roman"/>
          <w:iCs/>
          <w:lang w:eastAsia="es-ES"/>
        </w:rPr>
        <w:t>, en el ámbito de su competencia;</w:t>
      </w:r>
    </w:p>
    <w:p w14:paraId="7F7BEF66"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Ordenar a los sujetos obligados la ejecutoría en la entrega de información en términos de la presente Ley;</w:t>
      </w:r>
    </w:p>
    <w:p w14:paraId="1164D12C" w14:textId="479BBD19" w:rsidR="00826FAD"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Imponer las medidas de apremio para asegurar el cumplimiento de sus determinaciones</w:t>
      </w:r>
      <w:r w:rsidR="007C2A40">
        <w:rPr>
          <w:rFonts w:ascii="Palatino Linotype" w:eastAsia="Calibri" w:hAnsi="Palatino Linotype" w:cs="Times New Roman"/>
          <w:iCs/>
          <w:lang w:eastAsia="es-ES"/>
        </w:rPr>
        <w:t>, y</w:t>
      </w:r>
    </w:p>
    <w:p w14:paraId="3CB252A1" w14:textId="77777777" w:rsidR="00FF71D5" w:rsidRPr="007C2A40" w:rsidRDefault="00FF71D5" w:rsidP="00FF71D5">
      <w:pPr>
        <w:spacing w:after="0" w:line="360" w:lineRule="auto"/>
        <w:ind w:left="720"/>
        <w:contextualSpacing/>
        <w:jc w:val="both"/>
        <w:rPr>
          <w:rFonts w:ascii="Palatino Linotype" w:eastAsia="Calibri" w:hAnsi="Palatino Linotype" w:cs="Times New Roman"/>
          <w:iCs/>
          <w:lang w:eastAsia="es-ES"/>
        </w:rPr>
      </w:pPr>
    </w:p>
    <w:p w14:paraId="5621DCBC"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t>Hacer del conocimiento de la instancia competente la probable responsabilidad por el incumplimiento de las obligaciones</w:t>
      </w:r>
      <w:r w:rsidRPr="007C2A40">
        <w:rPr>
          <w:rFonts w:ascii="Palatino Linotype" w:eastAsia="Calibri" w:hAnsi="Palatino Linotype" w:cs="Times New Roman"/>
          <w:iCs/>
          <w:lang w:eastAsia="es-ES"/>
        </w:rPr>
        <w:t xml:space="preserve"> previstas en la Ley y en las demás disposiciones aplicable.  </w:t>
      </w:r>
    </w:p>
    <w:p w14:paraId="6C1DEE03" w14:textId="77777777" w:rsidR="00826FAD" w:rsidRPr="004124F9" w:rsidRDefault="00826FAD" w:rsidP="00826FAD">
      <w:pPr>
        <w:spacing w:after="0" w:line="360" w:lineRule="auto"/>
        <w:jc w:val="both"/>
        <w:rPr>
          <w:rFonts w:ascii="Palatino Linotype" w:eastAsia="Calibri" w:hAnsi="Palatino Linotype" w:cs="Times New Roman"/>
        </w:rPr>
      </w:pPr>
    </w:p>
    <w:p w14:paraId="5340E180" w14:textId="5C7F4DC1"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Instituto cuenta en su estructura orgánica con diversas unidades administrativas entre las que se prevé la Dirección</w:t>
      </w:r>
      <w:r w:rsidR="00B77A0C">
        <w:rPr>
          <w:rFonts w:ascii="Palatino Linotype" w:eastAsia="Calibri" w:hAnsi="Palatino Linotype" w:cs="Times New Roman"/>
        </w:rPr>
        <w:t xml:space="preserve"> General</w:t>
      </w:r>
      <w:r w:rsidRPr="004124F9">
        <w:rPr>
          <w:rFonts w:ascii="Palatino Linotype" w:eastAsia="Calibri" w:hAnsi="Palatino Linotype" w:cs="Times New Roman"/>
        </w:rPr>
        <w:t xml:space="preserve"> Jurídica y de Verificación, que de acuerdo a lo establecido en el artículo 23, fracciones XIV, XV, XVI Y XVII del Reglamento Interior del Instituto de Transparencia, Acceso a la Información Pública y Protección de Datos Personales, está facultada entre otras funciones para: </w:t>
      </w:r>
    </w:p>
    <w:p w14:paraId="7B17C171" w14:textId="77777777" w:rsidR="00826FAD" w:rsidRPr="004124F9" w:rsidRDefault="00826FAD" w:rsidP="00826FAD">
      <w:pPr>
        <w:spacing w:after="0" w:line="360" w:lineRule="auto"/>
        <w:jc w:val="both"/>
        <w:rPr>
          <w:rFonts w:ascii="Palatino Linotype" w:eastAsia="Calibri" w:hAnsi="Palatino Linotype" w:cs="Times New Roman"/>
        </w:rPr>
      </w:pPr>
    </w:p>
    <w:p w14:paraId="5964F300" w14:textId="04F96B81"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Ordenar y practicar verificaciones a los portales de Internet de los Sujetos Obligados</w:t>
      </w:r>
      <w:r w:rsidR="007C2A40">
        <w:rPr>
          <w:rFonts w:ascii="Palatino Linotype" w:hAnsi="Palatino Linotype"/>
        </w:rPr>
        <w:t>;</w:t>
      </w:r>
    </w:p>
    <w:p w14:paraId="5F0A837F"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513E93D1" w14:textId="5011138B"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Derivado de lo anterior calificar el desempeño de los Sujetos Obligados</w:t>
      </w:r>
      <w:r w:rsidR="007C2A40">
        <w:rPr>
          <w:rFonts w:ascii="Palatino Linotype" w:hAnsi="Palatino Linotype"/>
        </w:rPr>
        <w:t>, y</w:t>
      </w:r>
    </w:p>
    <w:p w14:paraId="34E69C5B"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Tramitar y resolver las denuncias que se promuevan por la falta de publicación de las obligaciones de transparencia en los términos que establecen las Leyes de la Materia, lineamientos y demás disposiciones jurídicas aplicables.</w:t>
      </w:r>
    </w:p>
    <w:p w14:paraId="4EE7A9E8" w14:textId="77777777" w:rsidR="00E8180A" w:rsidRDefault="00E8180A" w:rsidP="00826FAD">
      <w:pPr>
        <w:spacing w:after="0" w:line="360" w:lineRule="auto"/>
        <w:jc w:val="both"/>
        <w:rPr>
          <w:rFonts w:ascii="Palatino Linotype" w:eastAsia="Calibri" w:hAnsi="Palatino Linotype" w:cs="Times New Roman"/>
        </w:rPr>
      </w:pPr>
    </w:p>
    <w:p w14:paraId="0E5C2949" w14:textId="3054948D" w:rsidR="00826FAD" w:rsidRDefault="00826FAD" w:rsidP="00826FAD">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D72921">
        <w:rPr>
          <w:rFonts w:ascii="Palatino Linotype" w:eastAsia="Calibri" w:hAnsi="Palatino Linotype" w:cs="Times New Roman"/>
          <w:b/>
          <w:u w:val="single"/>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w:t>
      </w:r>
      <w:r w:rsidR="00061630">
        <w:rPr>
          <w:rFonts w:ascii="Palatino Linotype" w:eastAsia="Calibri" w:hAnsi="Palatino Linotype" w:cs="Times New Roman"/>
        </w:rPr>
        <w:t>teria impone al Sujeto Obligado</w:t>
      </w:r>
      <w:r w:rsidRPr="004124F9">
        <w:rPr>
          <w:rFonts w:ascii="Palatino Linotype" w:eastAsia="Calibri" w:hAnsi="Palatino Linotype" w:cs="Times New Roman"/>
        </w:rPr>
        <w:t xml:space="preserve"> y de ser </w:t>
      </w:r>
      <w:r w:rsidRPr="004124F9">
        <w:rPr>
          <w:rFonts w:ascii="Palatino Linotype" w:eastAsia="Calibri" w:hAnsi="Palatino Linotype" w:cs="Times New Roman"/>
        </w:rPr>
        <w:lastRenderedPageBreak/>
        <w:t xml:space="preserve">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00A887CD" w14:textId="77777777" w:rsidR="00826FAD" w:rsidRDefault="00826FAD" w:rsidP="00826FAD">
      <w:pPr>
        <w:spacing w:after="0" w:line="360" w:lineRule="auto"/>
        <w:jc w:val="both"/>
        <w:rPr>
          <w:rFonts w:ascii="Palatino Linotype" w:eastAsia="Calibri" w:hAnsi="Palatino Linotype" w:cs="Times New Roman"/>
        </w:rPr>
      </w:pPr>
    </w:p>
    <w:p w14:paraId="31821864" w14:textId="3A279317" w:rsidR="00061630"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Asi</w:t>
      </w:r>
      <w:r w:rsidR="00826FAD">
        <w:rPr>
          <w:rFonts w:ascii="Palatino Linotype" w:eastAsia="Calibri" w:hAnsi="Palatino Linotype" w:cs="Times New Roman"/>
        </w:rPr>
        <w:t xml:space="preserve">mismo, el procedimiento de verificación de las obligaciones de información pública de oficio </w:t>
      </w:r>
      <w:r w:rsidR="00826FAD" w:rsidRPr="00407C0B">
        <w:rPr>
          <w:rFonts w:ascii="Palatino Linotype" w:eastAsia="Calibri" w:hAnsi="Palatino Linotype" w:cs="Times New Roman"/>
          <w:b/>
          <w:bCs/>
          <w:u w:val="single"/>
        </w:rPr>
        <w:t>se encuentra plenamente establecido y calendarizado por parte de la Dirección  General Jurídica y de Verificación</w:t>
      </w:r>
      <w:r w:rsidR="00826FAD">
        <w:rPr>
          <w:rFonts w:ascii="Palatino Linotype" w:eastAsia="Calibri" w:hAnsi="Palatino Linotype" w:cs="Times New Roman"/>
        </w:rPr>
        <w:t xml:space="preserve">, además el análisis del cumplimiento de las obligaciones de transparencia, debe realizarse a la luz de los  </w:t>
      </w:r>
      <w:r w:rsidR="00826FAD" w:rsidRPr="00C66752">
        <w:rPr>
          <w:rFonts w:ascii="Palatino Linotype" w:eastAsia="Calibri" w:hAnsi="Palatino Linotype"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26FAD">
        <w:rPr>
          <w:rFonts w:ascii="Palatino Linotype" w:eastAsia="Calibri" w:hAnsi="Palatino Linotype" w:cs="Times New Roman"/>
        </w:rPr>
        <w:t>, por lo que el plazo de actualización debe cumplir con estos y no con lo requerido en una solicitud de acceso a la información pública</w:t>
      </w:r>
      <w:r>
        <w:rPr>
          <w:rFonts w:ascii="Palatino Linotype" w:eastAsia="Calibri" w:hAnsi="Palatino Linotype" w:cs="Times New Roman"/>
        </w:rPr>
        <w:t>.</w:t>
      </w:r>
    </w:p>
    <w:p w14:paraId="6780886C" w14:textId="77777777" w:rsidR="00061630" w:rsidRDefault="00061630" w:rsidP="004E5CA5">
      <w:pPr>
        <w:spacing w:after="0" w:line="360" w:lineRule="auto"/>
        <w:jc w:val="both"/>
        <w:rPr>
          <w:rFonts w:ascii="Palatino Linotype" w:eastAsia="Calibri" w:hAnsi="Palatino Linotype" w:cs="Times New Roman"/>
        </w:rPr>
      </w:pPr>
    </w:p>
    <w:p w14:paraId="0576BE5B" w14:textId="1DECCFC8" w:rsidR="00F2485B"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Con base en lo expuesto,</w:t>
      </w:r>
      <w:r w:rsidR="00826FAD">
        <w:rPr>
          <w:rFonts w:ascii="Palatino Linotype" w:eastAsia="Calibri" w:hAnsi="Palatino Linotype" w:cs="Times New Roman"/>
        </w:rPr>
        <w:t xml:space="preserve"> </w:t>
      </w:r>
      <w:r w:rsidR="00DE2AC5">
        <w:rPr>
          <w:rFonts w:ascii="Palatino Linotype" w:eastAsia="Calibri" w:hAnsi="Palatino Linotype" w:cs="Times New Roman"/>
        </w:rPr>
        <w:t>considero que al haberse atendido el motivo de inconformidad del particular al ordenar la entrega de la información que es de su interés, el hecho de agregar en el resolutivo dar vista a la Dirección General Jurídica y de Verificación</w:t>
      </w:r>
      <w:r w:rsidR="00826FAD">
        <w:rPr>
          <w:rFonts w:ascii="Palatino Linotype" w:eastAsia="Calibri" w:hAnsi="Palatino Linotype" w:cs="Times New Roman"/>
        </w:rPr>
        <w:t xml:space="preserve"> </w:t>
      </w:r>
      <w:r w:rsidR="00DE2AC5">
        <w:rPr>
          <w:rFonts w:ascii="Palatino Linotype" w:eastAsia="Calibri" w:hAnsi="Palatino Linotype" w:cs="Times New Roman"/>
        </w:rPr>
        <w:t xml:space="preserve">por el posible incumplimiento a la actualización del </w:t>
      </w:r>
      <w:r w:rsidR="00FF71D5">
        <w:rPr>
          <w:rFonts w:ascii="Palatino Linotype" w:hAnsi="Palatino Linotype"/>
        </w:rPr>
        <w:t xml:space="preserve">Portal de </w:t>
      </w:r>
      <w:r w:rsidR="00FF71D5" w:rsidRPr="00213730">
        <w:rPr>
          <w:rFonts w:ascii="Palatino Linotype" w:hAnsi="Palatino Linotype"/>
        </w:rPr>
        <w:t xml:space="preserve">Información Pública de Oficio </w:t>
      </w:r>
      <w:r w:rsidR="00FF71D5">
        <w:rPr>
          <w:rFonts w:ascii="Palatino Linotype" w:hAnsi="Palatino Linotype"/>
        </w:rPr>
        <w:t>Mexiquense</w:t>
      </w:r>
      <w:r w:rsidR="00FF71D5">
        <w:rPr>
          <w:rFonts w:ascii="Palatino Linotype" w:eastAsia="Calibri" w:hAnsi="Palatino Linotype" w:cs="Times New Roman"/>
        </w:rPr>
        <w:t xml:space="preserve"> </w:t>
      </w:r>
      <w:r w:rsidR="00DE2AC5">
        <w:rPr>
          <w:rFonts w:ascii="Palatino Linotype" w:eastAsia="Calibri" w:hAnsi="Palatino Linotype" w:cs="Times New Roman"/>
        </w:rPr>
        <w:t xml:space="preserve">del Sujeto Obligado, va más allá del objetivo de la resolución e incluso </w:t>
      </w:r>
      <w:r w:rsidR="00826FAD">
        <w:rPr>
          <w:rFonts w:ascii="Palatino Linotype" w:eastAsia="Calibri" w:hAnsi="Palatino Linotype" w:cs="Times New Roman"/>
        </w:rPr>
        <w:t>puede ser contrario tanto con la planeación como con l</w:t>
      </w:r>
      <w:r w:rsidR="00DE2AC5">
        <w:rPr>
          <w:rFonts w:ascii="Palatino Linotype" w:eastAsia="Calibri" w:hAnsi="Palatino Linotype" w:cs="Times New Roman"/>
        </w:rPr>
        <w:t>a</w:t>
      </w:r>
      <w:r w:rsidR="00826FAD">
        <w:rPr>
          <w:rFonts w:ascii="Palatino Linotype" w:eastAsia="Calibri" w:hAnsi="Palatino Linotype" w:cs="Times New Roman"/>
        </w:rPr>
        <w:t>s determinaciones que en su caso emita o haya emitido el área responsable de las verificaciones.</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p>
    <w:p w14:paraId="37716E85" w14:textId="1AD6CF4A"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Voto </w:t>
      </w:r>
      <w:proofErr w:type="gramStart"/>
      <w:r w:rsidR="00F2485B">
        <w:rPr>
          <w:rFonts w:ascii="Palatino Linotype" w:hAnsi="Palatino Linotype" w:cs="Tahoma"/>
        </w:rPr>
        <w:t>Particular</w:t>
      </w:r>
      <w:r w:rsidR="00E81338" w:rsidRPr="004536B0">
        <w:rPr>
          <w:rFonts w:ascii="Palatino Linotype" w:hAnsi="Palatino Linotype" w:cs="Tahoma"/>
        </w:rPr>
        <w:t>.</w:t>
      </w:r>
      <w:r w:rsidR="00B77A0C">
        <w:rPr>
          <w:rFonts w:ascii="Palatino Linotype" w:hAnsi="Palatino Linotype" w:cs="Tahoma"/>
        </w:rPr>
        <w:t>-----------------------------------------------------------------------------------------------------------------------------------</w:t>
      </w:r>
      <w:proofErr w:type="gramEnd"/>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1E61D7CE" w:rsidR="001D1143" w:rsidRDefault="00FF71D5" w:rsidP="00FF71D5">
      <w:pPr>
        <w:tabs>
          <w:tab w:val="left" w:pos="8025"/>
        </w:tabs>
        <w:spacing w:after="0" w:line="360" w:lineRule="auto"/>
        <w:jc w:val="both"/>
        <w:rPr>
          <w:rFonts w:ascii="Palatino Linotype" w:hAnsi="Palatino Linotype" w:cs="Tahoma"/>
        </w:rPr>
      </w:pPr>
      <w:r>
        <w:rPr>
          <w:rFonts w:ascii="Palatino Linotype" w:hAnsi="Palatino Linotype" w:cs="Tahoma"/>
        </w:rPr>
        <w:tab/>
      </w: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A54D95">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6FDB" w14:textId="77777777" w:rsidR="00CB0903" w:rsidRDefault="00CB0903" w:rsidP="00EE29F6">
      <w:pPr>
        <w:spacing w:after="0" w:line="240" w:lineRule="auto"/>
      </w:pPr>
      <w:r>
        <w:separator/>
      </w:r>
    </w:p>
  </w:endnote>
  <w:endnote w:type="continuationSeparator" w:id="0">
    <w:p w14:paraId="3AD6D4E3" w14:textId="77777777" w:rsidR="00CB0903" w:rsidRDefault="00CB0903"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235599"/>
      <w:docPartObj>
        <w:docPartGallery w:val="Page Numbers (Bottom of Page)"/>
        <w:docPartUnique/>
      </w:docPartObj>
    </w:sdtPr>
    <w:sdtContent>
      <w:sdt>
        <w:sdtPr>
          <w:id w:val="-1769616900"/>
          <w:docPartObj>
            <w:docPartGallery w:val="Page Numbers (Top of Page)"/>
            <w:docPartUnique/>
          </w:docPartObj>
        </w:sdtPr>
        <w:sdtContent>
          <w:p w14:paraId="528F0228" w14:textId="5A95D843" w:rsidR="00FF71D5" w:rsidRDefault="00FF71D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65BF" w14:textId="77777777" w:rsidR="00CB0903" w:rsidRDefault="00CB0903" w:rsidP="00EE29F6">
      <w:pPr>
        <w:spacing w:after="0" w:line="240" w:lineRule="auto"/>
      </w:pPr>
      <w:r>
        <w:separator/>
      </w:r>
    </w:p>
  </w:footnote>
  <w:footnote w:type="continuationSeparator" w:id="0">
    <w:p w14:paraId="38EFA6CC" w14:textId="77777777" w:rsidR="00CB0903" w:rsidRDefault="00CB0903"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812"/>
    </w:tblGrid>
    <w:tr w:rsidR="0077694E" w:rsidRPr="001106EA" w14:paraId="0DBC0D16" w14:textId="77777777" w:rsidTr="00A54D95">
      <w:trPr>
        <w:trHeight w:val="1843"/>
      </w:trPr>
      <w:tc>
        <w:tcPr>
          <w:tcW w:w="3969" w:type="dxa"/>
          <w:vAlign w:val="bottom"/>
        </w:tcPr>
        <w:p w14:paraId="3B21EC61" w14:textId="2EF7B377" w:rsidR="00A1524E" w:rsidRDefault="00A54D95" w:rsidP="00A54D95">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6CDA1CDD" wp14:editId="2A764E3B">
                <wp:simplePos x="0" y="0"/>
                <wp:positionH relativeFrom="column">
                  <wp:posOffset>-281940</wp:posOffset>
                </wp:positionH>
                <wp:positionV relativeFrom="paragraph">
                  <wp:posOffset>-1070610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01867AE2"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FF41CC">
            <w:rPr>
              <w:rFonts w:ascii="Palatino Linotype" w:hAnsi="Palatino Linotype" w:cs="Tahoma"/>
            </w:rPr>
            <w:t>01479</w:t>
          </w:r>
          <w:r w:rsidR="00213730" w:rsidRPr="00213730">
            <w:rPr>
              <w:rFonts w:ascii="Palatino Linotype" w:hAnsi="Palatino Linotype" w:cs="Tahoma"/>
            </w:rPr>
            <w:t>/INFOEM/IP/RR/2022</w:t>
          </w:r>
        </w:p>
        <w:p w14:paraId="77CAC7DB" w14:textId="63EB2591" w:rsidR="005D7E89" w:rsidRPr="001C5BFE" w:rsidRDefault="00801E58" w:rsidP="005D7E89">
          <w:pPr>
            <w:pStyle w:val="Encabezado"/>
            <w:ind w:left="1737" w:hanging="1843"/>
            <w:jc w:val="both"/>
            <w:rPr>
              <w:rFonts w:ascii="Palatino Linotype" w:hAnsi="Palatino Linotype"/>
              <w:b/>
              <w:lang w:val="es-ES_tradnl"/>
            </w:rPr>
          </w:pPr>
          <w:r w:rsidRPr="001C5BFE">
            <w:rPr>
              <w:rFonts w:ascii="Palatino Linotype" w:hAnsi="Palatino Linotype" w:cs="Tahoma"/>
              <w:b/>
            </w:rPr>
            <w:t xml:space="preserve">Sujeto Obligado: </w:t>
          </w:r>
          <w:r w:rsidR="00213730" w:rsidRPr="00213730">
            <w:rPr>
              <w:rFonts w:ascii="Palatino Linotype" w:hAnsi="Palatino Linotype"/>
              <w:lang w:val="es-ES_tradnl"/>
            </w:rPr>
            <w:t xml:space="preserve">Ayuntamiento de </w:t>
          </w:r>
          <w:r w:rsidR="00FF41CC">
            <w:rPr>
              <w:rFonts w:ascii="Palatino Linotype" w:hAnsi="Palatino Linotype"/>
              <w:lang w:val="es-ES_tradnl"/>
            </w:rPr>
            <w:t>Temoaya</w:t>
          </w:r>
        </w:p>
        <w:p w14:paraId="042154BA" w14:textId="4196B655" w:rsidR="00112D5D" w:rsidRPr="001106EA" w:rsidRDefault="006F754E" w:rsidP="00FF41CC">
          <w:pPr>
            <w:pStyle w:val="Encabezado"/>
            <w:ind w:left="-108" w:right="-250"/>
            <w:jc w:val="both"/>
            <w:rPr>
              <w:rFonts w:ascii="Tahoma" w:hAnsi="Tahoma" w:cs="Tahoma"/>
            </w:rPr>
          </w:pPr>
          <w:r w:rsidRPr="001C5BFE">
            <w:rPr>
              <w:rFonts w:ascii="Palatino Linotype" w:hAnsi="Palatino Linotype" w:cs="Tahoma"/>
              <w:b/>
            </w:rPr>
            <w:t>Comisionad</w:t>
          </w:r>
          <w:r w:rsidR="00A54D95">
            <w:rPr>
              <w:rFonts w:ascii="Palatino Linotype" w:hAnsi="Palatino Linotype" w:cs="Tahoma"/>
              <w:b/>
            </w:rPr>
            <w:t>a</w:t>
          </w:r>
          <w:r w:rsidRPr="001C5BFE">
            <w:rPr>
              <w:rFonts w:ascii="Palatino Linotype" w:hAnsi="Palatino Linotype" w:cs="Tahoma"/>
              <w:b/>
            </w:rPr>
            <w:t xml:space="preserve"> Ponente: </w:t>
          </w:r>
          <w:r w:rsidR="00FF41CC">
            <w:rPr>
              <w:rFonts w:ascii="Palatino Linotype" w:hAnsi="Palatino Linotype" w:cs="Tahoma"/>
              <w:lang w:val="es-MX"/>
            </w:rPr>
            <w:t>Guadalupe Ramírez Peña</w:t>
          </w:r>
        </w:p>
      </w:tc>
    </w:tr>
  </w:tbl>
  <w:p w14:paraId="024EAA3C" w14:textId="424367F3"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23697820">
    <w:abstractNumId w:val="4"/>
  </w:num>
  <w:num w:numId="2" w16cid:durableId="1412770289">
    <w:abstractNumId w:val="13"/>
  </w:num>
  <w:num w:numId="3" w16cid:durableId="1892300244">
    <w:abstractNumId w:val="7"/>
  </w:num>
  <w:num w:numId="4" w16cid:durableId="1043019987">
    <w:abstractNumId w:val="0"/>
  </w:num>
  <w:num w:numId="5" w16cid:durableId="1172719446">
    <w:abstractNumId w:val="14"/>
  </w:num>
  <w:num w:numId="6" w16cid:durableId="166990062">
    <w:abstractNumId w:val="6"/>
  </w:num>
  <w:num w:numId="7" w16cid:durableId="766316310">
    <w:abstractNumId w:val="11"/>
  </w:num>
  <w:num w:numId="8" w16cid:durableId="1796675248">
    <w:abstractNumId w:val="22"/>
  </w:num>
  <w:num w:numId="9" w16cid:durableId="1930238683">
    <w:abstractNumId w:val="15"/>
  </w:num>
  <w:num w:numId="10" w16cid:durableId="458573682">
    <w:abstractNumId w:val="17"/>
  </w:num>
  <w:num w:numId="11" w16cid:durableId="1890725167">
    <w:abstractNumId w:val="20"/>
  </w:num>
  <w:num w:numId="12" w16cid:durableId="1888881664">
    <w:abstractNumId w:val="1"/>
  </w:num>
  <w:num w:numId="13" w16cid:durableId="189730248">
    <w:abstractNumId w:val="9"/>
  </w:num>
  <w:num w:numId="14" w16cid:durableId="2030448724">
    <w:abstractNumId w:val="23"/>
  </w:num>
  <w:num w:numId="15" w16cid:durableId="1504398820">
    <w:abstractNumId w:val="21"/>
  </w:num>
  <w:num w:numId="16" w16cid:durableId="1807383706">
    <w:abstractNumId w:val="2"/>
  </w:num>
  <w:num w:numId="17" w16cid:durableId="1546329718">
    <w:abstractNumId w:val="5"/>
  </w:num>
  <w:num w:numId="18" w16cid:durableId="379285799">
    <w:abstractNumId w:val="18"/>
  </w:num>
  <w:num w:numId="19" w16cid:durableId="1507088240">
    <w:abstractNumId w:val="10"/>
  </w:num>
  <w:num w:numId="20" w16cid:durableId="940600252">
    <w:abstractNumId w:val="16"/>
  </w:num>
  <w:num w:numId="21" w16cid:durableId="472677343">
    <w:abstractNumId w:val="3"/>
  </w:num>
  <w:num w:numId="22" w16cid:durableId="657003735">
    <w:abstractNumId w:val="24"/>
  </w:num>
  <w:num w:numId="23" w16cid:durableId="470949280">
    <w:abstractNumId w:val="8"/>
  </w:num>
  <w:num w:numId="24" w16cid:durableId="1776362533">
    <w:abstractNumId w:val="12"/>
  </w:num>
  <w:num w:numId="25" w16cid:durableId="53557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1630"/>
    <w:rsid w:val="0006561A"/>
    <w:rsid w:val="00082543"/>
    <w:rsid w:val="00087AC8"/>
    <w:rsid w:val="00097988"/>
    <w:rsid w:val="000A65BC"/>
    <w:rsid w:val="000B235B"/>
    <w:rsid w:val="000B7F6F"/>
    <w:rsid w:val="000C10B7"/>
    <w:rsid w:val="000C4CCE"/>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5BFE"/>
    <w:rsid w:val="001C6E0B"/>
    <w:rsid w:val="001D0B7E"/>
    <w:rsid w:val="001D1143"/>
    <w:rsid w:val="001D2EDC"/>
    <w:rsid w:val="001E2FC8"/>
    <w:rsid w:val="001F5016"/>
    <w:rsid w:val="001F667B"/>
    <w:rsid w:val="001F6A82"/>
    <w:rsid w:val="00213730"/>
    <w:rsid w:val="00216BC4"/>
    <w:rsid w:val="0021743D"/>
    <w:rsid w:val="00223F64"/>
    <w:rsid w:val="00231B68"/>
    <w:rsid w:val="00242C75"/>
    <w:rsid w:val="00243617"/>
    <w:rsid w:val="00243A13"/>
    <w:rsid w:val="00245ACA"/>
    <w:rsid w:val="00246FAF"/>
    <w:rsid w:val="00250CBE"/>
    <w:rsid w:val="002742DA"/>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E2EA3"/>
    <w:rsid w:val="002E5A1A"/>
    <w:rsid w:val="002F2A8E"/>
    <w:rsid w:val="002F356C"/>
    <w:rsid w:val="002F4E95"/>
    <w:rsid w:val="002F7FA0"/>
    <w:rsid w:val="00320769"/>
    <w:rsid w:val="00322675"/>
    <w:rsid w:val="00326D16"/>
    <w:rsid w:val="00333B7A"/>
    <w:rsid w:val="0033623E"/>
    <w:rsid w:val="003512C9"/>
    <w:rsid w:val="0036006F"/>
    <w:rsid w:val="0037159A"/>
    <w:rsid w:val="00374017"/>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01F"/>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47E7D"/>
    <w:rsid w:val="007632F3"/>
    <w:rsid w:val="00767DA9"/>
    <w:rsid w:val="0077694E"/>
    <w:rsid w:val="0078072F"/>
    <w:rsid w:val="00780F20"/>
    <w:rsid w:val="00782502"/>
    <w:rsid w:val="00793961"/>
    <w:rsid w:val="00793E42"/>
    <w:rsid w:val="00796A29"/>
    <w:rsid w:val="007A2D13"/>
    <w:rsid w:val="007A440E"/>
    <w:rsid w:val="007C2A40"/>
    <w:rsid w:val="007D3257"/>
    <w:rsid w:val="007D5347"/>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4D95"/>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67355"/>
    <w:rsid w:val="00B7041D"/>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B0903"/>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2921"/>
    <w:rsid w:val="00D75FAE"/>
    <w:rsid w:val="00D77F63"/>
    <w:rsid w:val="00D87D7F"/>
    <w:rsid w:val="00D9114A"/>
    <w:rsid w:val="00D96166"/>
    <w:rsid w:val="00DA11C0"/>
    <w:rsid w:val="00DB1EF4"/>
    <w:rsid w:val="00DC4A9C"/>
    <w:rsid w:val="00DD69B0"/>
    <w:rsid w:val="00DE2AC5"/>
    <w:rsid w:val="00DE56D1"/>
    <w:rsid w:val="00DF3893"/>
    <w:rsid w:val="00DF47E7"/>
    <w:rsid w:val="00DF6CA0"/>
    <w:rsid w:val="00E06B90"/>
    <w:rsid w:val="00E11DB1"/>
    <w:rsid w:val="00E145E1"/>
    <w:rsid w:val="00E26123"/>
    <w:rsid w:val="00E26DFC"/>
    <w:rsid w:val="00E34559"/>
    <w:rsid w:val="00E345D1"/>
    <w:rsid w:val="00E41481"/>
    <w:rsid w:val="00E416F8"/>
    <w:rsid w:val="00E45036"/>
    <w:rsid w:val="00E472AD"/>
    <w:rsid w:val="00E528A9"/>
    <w:rsid w:val="00E54506"/>
    <w:rsid w:val="00E656C1"/>
    <w:rsid w:val="00E738F3"/>
    <w:rsid w:val="00E7538D"/>
    <w:rsid w:val="00E80551"/>
    <w:rsid w:val="00E81338"/>
    <w:rsid w:val="00E818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41CC"/>
    <w:rsid w:val="00FF59CC"/>
    <w:rsid w:val="00FF6013"/>
    <w:rsid w:val="00FF6095"/>
    <w:rsid w:val="00FF71D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C7A2-7A48-4C5E-B80D-22DD48B3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2022-05-16T17:53:00Z</cp:lastPrinted>
  <dcterms:created xsi:type="dcterms:W3CDTF">2022-05-30T16:35:00Z</dcterms:created>
  <dcterms:modified xsi:type="dcterms:W3CDTF">2022-05-30T16:35:00Z</dcterms:modified>
</cp:coreProperties>
</file>