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F159" w14:textId="77777777" w:rsidR="009016E6" w:rsidRPr="004B61E7" w:rsidRDefault="009016E6" w:rsidP="00820C84">
      <w:pPr>
        <w:tabs>
          <w:tab w:val="left" w:pos="1843"/>
        </w:tabs>
        <w:spacing w:after="0" w:line="360" w:lineRule="auto"/>
        <w:jc w:val="both"/>
        <w:rPr>
          <w:rFonts w:ascii="Palatino Linotype" w:hAnsi="Palatino Linotype" w:cs="Tahoma"/>
          <w:b/>
          <w:sz w:val="14"/>
          <w:szCs w:val="14"/>
        </w:rPr>
      </w:pPr>
      <w:bookmarkStart w:id="0" w:name="_GoBack"/>
      <w:bookmarkEnd w:id="0"/>
    </w:p>
    <w:p w14:paraId="697D8B02" w14:textId="48766ED7" w:rsidR="00976B1D" w:rsidRPr="000C73AC" w:rsidRDefault="00A5441A" w:rsidP="00820C84">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w:t>
      </w:r>
      <w:r w:rsidR="00557228">
        <w:rPr>
          <w:rFonts w:ascii="Palatino Linotype" w:hAnsi="Palatino Linotype" w:cs="Tahoma"/>
          <w:b/>
        </w:rPr>
        <w:t xml:space="preserve">EXPEDIENTE DEL </w:t>
      </w:r>
      <w:r w:rsidR="00587F4D" w:rsidRPr="000C73AC">
        <w:rPr>
          <w:rFonts w:ascii="Palatino Linotype" w:hAnsi="Palatino Linotype" w:cs="Tahoma"/>
          <w:b/>
        </w:rPr>
        <w:t xml:space="preserve">RECURSO DE REVISIÓN </w:t>
      </w:r>
      <w:r w:rsidR="00587F4D" w:rsidRPr="000C73AC">
        <w:rPr>
          <w:rFonts w:ascii="Palatino Linotype" w:hAnsi="Palatino Linotype" w:cs="Arial"/>
          <w:b/>
          <w:bCs/>
          <w:lang w:val="es-MX" w:eastAsia="es-MX"/>
        </w:rPr>
        <w:t>0</w:t>
      </w:r>
      <w:r w:rsidR="00557228">
        <w:rPr>
          <w:rFonts w:ascii="Palatino Linotype" w:hAnsi="Palatino Linotype" w:cs="Arial"/>
          <w:b/>
          <w:bCs/>
          <w:lang w:val="es-MX" w:eastAsia="es-MX"/>
        </w:rPr>
        <w:t>2202</w:t>
      </w:r>
      <w:r w:rsidR="00587F4D" w:rsidRPr="000C73AC">
        <w:rPr>
          <w:rFonts w:ascii="Palatino Linotype" w:hAnsi="Palatino Linotype" w:cs="Arial"/>
          <w:b/>
          <w:bCs/>
          <w:lang w:val="es-MX" w:eastAsia="es-MX"/>
        </w:rPr>
        <w:t>/INFOEM/IP/RR/2022</w:t>
      </w:r>
      <w:r w:rsidR="00557228">
        <w:rPr>
          <w:rFonts w:ascii="Palatino Linotype" w:hAnsi="Palatino Linotype" w:cs="Arial"/>
          <w:b/>
          <w:bCs/>
          <w:lang w:val="es-MX" w:eastAsia="es-MX"/>
        </w:rPr>
        <w:t xml:space="preserve"> Y ACUMULADOS</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AYUNTAMIENTO DE </w:t>
      </w:r>
      <w:r w:rsidR="00557228">
        <w:rPr>
          <w:rFonts w:ascii="Palatino Linotype" w:hAnsi="Palatino Linotype" w:cs="Tahoma"/>
          <w:b/>
        </w:rPr>
        <w:t>METEPEC</w:t>
      </w:r>
      <w:r w:rsidR="00587F4D" w:rsidRPr="000C73AC">
        <w:rPr>
          <w:rFonts w:ascii="Palatino Linotype" w:hAnsi="Palatino Linotype" w:cs="Tahoma"/>
          <w:b/>
        </w:rPr>
        <w:t>.</w:t>
      </w:r>
    </w:p>
    <w:p w14:paraId="20FF4B48" w14:textId="77777777" w:rsidR="00FA5A0F" w:rsidRPr="000C73AC" w:rsidRDefault="00FA5A0F" w:rsidP="00820C84">
      <w:pPr>
        <w:tabs>
          <w:tab w:val="left" w:pos="1843"/>
        </w:tabs>
        <w:spacing w:after="0" w:line="360" w:lineRule="auto"/>
        <w:jc w:val="both"/>
        <w:rPr>
          <w:rFonts w:ascii="Palatino Linotype" w:hAnsi="Palatino Linotype" w:cs="Arial"/>
          <w:b/>
        </w:rPr>
      </w:pPr>
    </w:p>
    <w:p w14:paraId="45BA7852" w14:textId="2DF01CE4" w:rsidR="00A64F8C" w:rsidRPr="002424A2"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w:t>
      </w:r>
      <w:r w:rsidRPr="002424A2">
        <w:rPr>
          <w:rFonts w:ascii="Palatino Linotype" w:hAnsi="Palatino Linotype" w:cs="Tahoma"/>
        </w:rPr>
        <w:t xml:space="preserve">lamento Interior del Instituto de Transparencia, Acceso a la Información Pública y Protección de Datos Personales del Estado de México y Municipios; </w:t>
      </w:r>
      <w:r w:rsidR="00A64F8C" w:rsidRPr="002424A2">
        <w:rPr>
          <w:rFonts w:ascii="Palatino Linotype" w:hAnsi="Palatino Linotype" w:cs="Tahoma"/>
        </w:rPr>
        <w:t xml:space="preserve">2°, fracción XX, </w:t>
      </w:r>
      <w:r w:rsidR="00DF675F" w:rsidRPr="002424A2">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424A2">
        <w:rPr>
          <w:rFonts w:ascii="Palatino Linotype" w:hAnsi="Palatino Linotype" w:cs="Tahoma"/>
        </w:rPr>
        <w:t xml:space="preserve">, emito el presente </w:t>
      </w:r>
      <w:r w:rsidRPr="002424A2">
        <w:rPr>
          <w:rFonts w:ascii="Palatino Linotype" w:hAnsi="Palatino Linotype" w:cs="Tahoma"/>
          <w:b/>
        </w:rPr>
        <w:t>Voto Particular</w:t>
      </w:r>
      <w:r w:rsidR="00587F4D" w:rsidRPr="002424A2">
        <w:rPr>
          <w:rFonts w:ascii="Palatino Linotype" w:hAnsi="Palatino Linotype" w:cs="Tahoma"/>
        </w:rPr>
        <w:t xml:space="preserve"> </w:t>
      </w:r>
      <w:r w:rsidR="009E0861" w:rsidRPr="002424A2">
        <w:rPr>
          <w:rFonts w:ascii="Palatino Linotype" w:hAnsi="Palatino Linotype" w:cs="Tahoma"/>
        </w:rPr>
        <w:t xml:space="preserve">por </w:t>
      </w:r>
      <w:r w:rsidR="00E659E3" w:rsidRPr="002424A2">
        <w:rPr>
          <w:rFonts w:ascii="Palatino Linotype" w:hAnsi="Palatino Linotype" w:cs="Tahoma"/>
        </w:rPr>
        <w:t xml:space="preserve">no compartir en su totalidad las consideraciones que sustentan la Resolución del </w:t>
      </w:r>
      <w:r w:rsidR="00557228" w:rsidRPr="002424A2">
        <w:rPr>
          <w:rFonts w:ascii="Palatino Linotype" w:hAnsi="Palatino Linotype" w:cs="Tahoma"/>
        </w:rPr>
        <w:t xml:space="preserve">Expediente del </w:t>
      </w:r>
      <w:r w:rsidR="00E659E3" w:rsidRPr="002424A2">
        <w:rPr>
          <w:rFonts w:ascii="Palatino Linotype" w:hAnsi="Palatino Linotype" w:cs="Tahoma"/>
        </w:rPr>
        <w:t>Recurso de Revisión</w:t>
      </w:r>
      <w:r w:rsidR="00405FE0" w:rsidRPr="002424A2">
        <w:rPr>
          <w:rFonts w:ascii="Palatino Linotype" w:hAnsi="Palatino Linotype" w:cs="Tahoma"/>
        </w:rPr>
        <w:t xml:space="preserve"> </w:t>
      </w:r>
      <w:r w:rsidR="00BE7715" w:rsidRPr="002424A2">
        <w:rPr>
          <w:rFonts w:ascii="Palatino Linotype" w:hAnsi="Palatino Linotype"/>
          <w:b/>
          <w:bCs/>
          <w:lang w:val="es-MX"/>
        </w:rPr>
        <w:t>0</w:t>
      </w:r>
      <w:r w:rsidR="00557228" w:rsidRPr="002424A2">
        <w:rPr>
          <w:rFonts w:ascii="Palatino Linotype" w:hAnsi="Palatino Linotype"/>
          <w:b/>
          <w:bCs/>
          <w:lang w:val="es-MX"/>
        </w:rPr>
        <w:t>2202</w:t>
      </w:r>
      <w:r w:rsidR="00924BA1" w:rsidRPr="002424A2">
        <w:rPr>
          <w:rFonts w:ascii="Palatino Linotype" w:hAnsi="Palatino Linotype"/>
          <w:b/>
          <w:bCs/>
          <w:lang w:val="es-MX"/>
        </w:rPr>
        <w:t>/INFOEM/IP/RR/202</w:t>
      </w:r>
      <w:r w:rsidR="00BE7715" w:rsidRPr="002424A2">
        <w:rPr>
          <w:rFonts w:ascii="Palatino Linotype" w:hAnsi="Palatino Linotype"/>
          <w:b/>
          <w:bCs/>
          <w:lang w:val="es-MX"/>
        </w:rPr>
        <w:t>2</w:t>
      </w:r>
      <w:r w:rsidR="00557228" w:rsidRPr="002424A2">
        <w:rPr>
          <w:rFonts w:ascii="Palatino Linotype" w:hAnsi="Palatino Linotype"/>
          <w:b/>
          <w:bCs/>
          <w:lang w:val="es-MX"/>
        </w:rPr>
        <w:t xml:space="preserve"> y acumulados</w:t>
      </w:r>
      <w:r w:rsidR="00587F4D" w:rsidRPr="002424A2">
        <w:rPr>
          <w:rFonts w:ascii="Palatino Linotype" w:hAnsi="Palatino Linotype"/>
          <w:b/>
          <w:bCs/>
          <w:lang w:val="es-MX"/>
        </w:rPr>
        <w:t xml:space="preserve">, </w:t>
      </w:r>
      <w:r w:rsidR="00A64F8C" w:rsidRPr="002424A2">
        <w:rPr>
          <w:rFonts w:ascii="Palatino Linotype" w:hAnsi="Palatino Linotype" w:cs="Tahoma"/>
        </w:rPr>
        <w:t>por no compartir en su totalidad las consideraciones que la sustentan, conforme a lo siguiente:</w:t>
      </w:r>
    </w:p>
    <w:p w14:paraId="560BF450" w14:textId="1DA6B350" w:rsidR="00E659E3" w:rsidRPr="002424A2" w:rsidRDefault="00E659E3" w:rsidP="00A64F8C">
      <w:pPr>
        <w:tabs>
          <w:tab w:val="left" w:pos="1843"/>
        </w:tabs>
        <w:spacing w:after="0" w:line="360" w:lineRule="auto"/>
        <w:jc w:val="both"/>
        <w:rPr>
          <w:rFonts w:ascii="Palatino Linotype" w:hAnsi="Palatino Linotype" w:cs="Tahoma"/>
        </w:rPr>
      </w:pPr>
    </w:p>
    <w:p w14:paraId="69EB7782" w14:textId="55158302" w:rsidR="002424A2" w:rsidRDefault="005C5AEE" w:rsidP="00975F0D">
      <w:pPr>
        <w:spacing w:after="0" w:line="360" w:lineRule="auto"/>
        <w:jc w:val="both"/>
        <w:rPr>
          <w:rFonts w:ascii="Palatino Linotype" w:hAnsi="Palatino Linotype" w:cs="Tahoma"/>
        </w:rPr>
      </w:pPr>
      <w:r w:rsidRPr="002424A2">
        <w:rPr>
          <w:rFonts w:ascii="Palatino Linotype" w:hAnsi="Palatino Linotype" w:cs="Tahoma"/>
        </w:rPr>
        <w:t xml:space="preserve">Como se desprende de la </w:t>
      </w:r>
      <w:r w:rsidR="00E659E3" w:rsidRPr="002424A2">
        <w:rPr>
          <w:rFonts w:ascii="Palatino Linotype" w:hAnsi="Palatino Linotype" w:cs="Tahoma"/>
        </w:rPr>
        <w:t xml:space="preserve">Resolución </w:t>
      </w:r>
      <w:r w:rsidRPr="002424A2">
        <w:rPr>
          <w:rFonts w:ascii="Palatino Linotype" w:hAnsi="Palatino Linotype" w:cs="Tahoma"/>
        </w:rPr>
        <w:t xml:space="preserve">en comento, </w:t>
      </w:r>
      <w:r w:rsidR="00A31850" w:rsidRPr="002424A2">
        <w:rPr>
          <w:rFonts w:ascii="Palatino Linotype" w:hAnsi="Palatino Linotype" w:cs="Tahoma"/>
        </w:rPr>
        <w:t>el Particular</w:t>
      </w:r>
      <w:r w:rsidR="00AE4CC9" w:rsidRPr="002424A2">
        <w:rPr>
          <w:rFonts w:ascii="Palatino Linotype" w:hAnsi="Palatino Linotype" w:cs="Tahoma"/>
        </w:rPr>
        <w:t xml:space="preserve"> </w:t>
      </w:r>
      <w:r w:rsidR="004F7AC3" w:rsidRPr="002424A2">
        <w:rPr>
          <w:rFonts w:ascii="Palatino Linotype" w:hAnsi="Palatino Linotype" w:cs="Tahoma"/>
        </w:rPr>
        <w:t xml:space="preserve">solicitó </w:t>
      </w:r>
      <w:r w:rsidR="00474463" w:rsidRPr="002424A2">
        <w:rPr>
          <w:rFonts w:ascii="Palatino Linotype" w:hAnsi="Palatino Linotype" w:cs="Tahoma"/>
        </w:rPr>
        <w:t>todos los expedientes referentes a la instauración de procedimientos administrativos que hayan quedado resueltos y se haya determinado o no responsabilidad administrativa de los servidores públicos durante los años 2015, 2016, 2017 y 2018</w:t>
      </w:r>
      <w:r w:rsidR="00C76984" w:rsidRPr="002424A2">
        <w:rPr>
          <w:rFonts w:ascii="Palatino Linotype" w:hAnsi="Palatino Linotype" w:cs="Tahoma"/>
        </w:rPr>
        <w:t>; el Sujeto Obligado</w:t>
      </w:r>
      <w:r w:rsidR="00A50A03" w:rsidRPr="002424A2">
        <w:rPr>
          <w:rFonts w:ascii="Palatino Linotype" w:hAnsi="Palatino Linotype" w:cs="Tahoma"/>
        </w:rPr>
        <w:t xml:space="preserve"> respondió</w:t>
      </w:r>
      <w:r w:rsidR="00474463" w:rsidRPr="002424A2">
        <w:rPr>
          <w:rFonts w:ascii="Palatino Linotype" w:hAnsi="Palatino Linotype" w:cs="Tahoma"/>
        </w:rPr>
        <w:t xml:space="preserve"> por lo que hace a 2015, que no se encontró </w:t>
      </w:r>
      <w:r w:rsidR="002424A2" w:rsidRPr="002424A2">
        <w:rPr>
          <w:rFonts w:ascii="Palatino Linotype" w:hAnsi="Palatino Linotype" w:cs="Tahoma"/>
        </w:rPr>
        <w:t>información</w:t>
      </w:r>
      <w:r w:rsidR="00474463" w:rsidRPr="002424A2">
        <w:rPr>
          <w:rFonts w:ascii="Palatino Linotype" w:hAnsi="Palatino Linotype" w:cs="Tahoma"/>
        </w:rPr>
        <w:t>, de 2016</w:t>
      </w:r>
      <w:r w:rsidR="002424A2" w:rsidRPr="002424A2">
        <w:rPr>
          <w:rFonts w:ascii="Palatino Linotype" w:hAnsi="Palatino Linotype" w:cs="Tahoma"/>
        </w:rPr>
        <w:t xml:space="preserve">, </w:t>
      </w:r>
      <w:r w:rsidR="00474463" w:rsidRPr="002424A2">
        <w:rPr>
          <w:rFonts w:ascii="Palatino Linotype" w:hAnsi="Palatino Linotype" w:cs="Tahoma"/>
        </w:rPr>
        <w:t xml:space="preserve"> que se </w:t>
      </w:r>
      <w:r w:rsidR="002424A2" w:rsidRPr="002424A2">
        <w:rPr>
          <w:rFonts w:ascii="Palatino Linotype" w:hAnsi="Palatino Linotype" w:cs="Tahoma"/>
        </w:rPr>
        <w:t>adjuntó</w:t>
      </w:r>
      <w:r w:rsidR="00474463" w:rsidRPr="002424A2">
        <w:rPr>
          <w:rFonts w:ascii="Palatino Linotype" w:hAnsi="Palatino Linotype" w:cs="Tahoma"/>
        </w:rPr>
        <w:t xml:space="preserve"> información</w:t>
      </w:r>
      <w:r w:rsidR="002424A2" w:rsidRPr="002424A2">
        <w:rPr>
          <w:rFonts w:ascii="Palatino Linotype" w:hAnsi="Palatino Linotype" w:cs="Tahoma"/>
        </w:rPr>
        <w:t xml:space="preserve">, la cual no fue encontrada en el SAIMEX, de 2017 que la información se encuentra publicada en </w:t>
      </w:r>
      <w:hyperlink r:id="rId8" w:history="1">
        <w:r w:rsidR="002424A2" w:rsidRPr="002424A2">
          <w:rPr>
            <w:rStyle w:val="Hipervnculo"/>
            <w:rFonts w:ascii="Palatino Linotype" w:hAnsi="Palatino Linotype" w:cs="Tahoma"/>
          </w:rPr>
          <w:t>https://www.ipomex.org.mx/ipo/lgt/indice/metepec/sanciones.web</w:t>
        </w:r>
      </w:hyperlink>
      <w:r w:rsidR="002424A2" w:rsidRPr="002424A2">
        <w:rPr>
          <w:rFonts w:ascii="Palatino Linotype" w:hAnsi="Palatino Linotype" w:cs="Tahoma"/>
        </w:rPr>
        <w:t xml:space="preserve">., de 2018, que la información era localizable en la liga de acceso directo, que remite al IPOMEX, </w:t>
      </w:r>
      <w:hyperlink r:id="rId9" w:history="1">
        <w:r w:rsidR="002424A2" w:rsidRPr="002424A2">
          <w:rPr>
            <w:rStyle w:val="Hipervnculo"/>
            <w:rFonts w:ascii="Palatino Linotype" w:hAnsi="Palatino Linotype" w:cs="Tahoma"/>
          </w:rPr>
          <w:t>https://www.ipomex.org.mx/ipo3/lgt/indice/METEPEC/art_92_xxii/0.web</w:t>
        </w:r>
      </w:hyperlink>
      <w:r w:rsidR="002424A2" w:rsidRPr="002424A2">
        <w:rPr>
          <w:rFonts w:ascii="Palatino Linotype" w:hAnsi="Palatino Linotype" w:cs="Tahoma"/>
        </w:rPr>
        <w:t xml:space="preserve">. En respuesta no entregó ningún expediente, sino que únicamente remitió a información de naturaleza </w:t>
      </w:r>
      <w:r w:rsidR="00894CDD" w:rsidRPr="002424A2">
        <w:rPr>
          <w:rFonts w:ascii="Palatino Linotype" w:hAnsi="Palatino Linotype" w:cs="Tahoma"/>
        </w:rPr>
        <w:t>pública</w:t>
      </w:r>
      <w:r w:rsidR="002424A2" w:rsidRPr="002424A2">
        <w:rPr>
          <w:rFonts w:ascii="Palatino Linotype" w:hAnsi="Palatino Linotype" w:cs="Tahoma"/>
        </w:rPr>
        <w:t>, sin embargo, esto únicamente por lo que refiere al año 2018.</w:t>
      </w:r>
      <w:r w:rsidR="00CE7556">
        <w:rPr>
          <w:rFonts w:ascii="Palatino Linotype" w:hAnsi="Palatino Linotype" w:cs="Tahoma"/>
        </w:rPr>
        <w:t xml:space="preserve"> </w:t>
      </w:r>
      <w:r w:rsidR="002424A2" w:rsidRPr="002424A2">
        <w:rPr>
          <w:rFonts w:ascii="Palatino Linotype" w:hAnsi="Palatino Linotype" w:cs="Tahoma"/>
        </w:rPr>
        <w:t>El Particular se incon</w:t>
      </w:r>
      <w:r w:rsidR="002424A2">
        <w:rPr>
          <w:rFonts w:ascii="Palatino Linotype" w:hAnsi="Palatino Linotype" w:cs="Tahoma"/>
        </w:rPr>
        <w:t>formó en el sentido de que la respuesta emitida por el Particular se encuentra llena de deficiencias.</w:t>
      </w:r>
    </w:p>
    <w:p w14:paraId="2A939856" w14:textId="0027D9C7" w:rsidR="002424A2" w:rsidRDefault="002424A2" w:rsidP="00975F0D">
      <w:pPr>
        <w:spacing w:after="0" w:line="360" w:lineRule="auto"/>
        <w:jc w:val="both"/>
        <w:rPr>
          <w:rFonts w:ascii="Palatino Linotype" w:hAnsi="Palatino Linotype" w:cs="Tahoma"/>
        </w:rPr>
      </w:pPr>
    </w:p>
    <w:p w14:paraId="73E5B1C9" w14:textId="29457E2C" w:rsidR="003E5445" w:rsidRPr="003E5445" w:rsidRDefault="004F7AC3" w:rsidP="003E5445">
      <w:pPr>
        <w:spacing w:after="0" w:line="360" w:lineRule="auto"/>
        <w:jc w:val="both"/>
        <w:rPr>
          <w:rFonts w:ascii="Palatino Linotype" w:hAnsi="Palatino Linotype" w:cs="Tahoma"/>
        </w:rPr>
      </w:pPr>
      <w:r w:rsidRPr="000C73AC">
        <w:rPr>
          <w:rFonts w:ascii="Palatino Linotype" w:hAnsi="Palatino Linotype" w:cs="Tahoma"/>
        </w:rPr>
        <w:t xml:space="preserve">Al respecto, </w:t>
      </w:r>
      <w:r w:rsidR="009C03D0" w:rsidRPr="000C73AC">
        <w:rPr>
          <w:rFonts w:ascii="Palatino Linotype" w:hAnsi="Palatino Linotype" w:cs="Tahoma"/>
        </w:rPr>
        <w:t>coincido</w:t>
      </w:r>
      <w:r w:rsidR="00C64348">
        <w:rPr>
          <w:rFonts w:ascii="Palatino Linotype" w:hAnsi="Palatino Linotype" w:cs="Tahoma"/>
        </w:rPr>
        <w:t xml:space="preserve"> con el sentido de la R</w:t>
      </w:r>
      <w:r w:rsidRPr="000C73AC">
        <w:rPr>
          <w:rFonts w:ascii="Palatino Linotype" w:hAnsi="Palatino Linotype" w:cs="Tahoma"/>
        </w:rPr>
        <w:t>esolución</w:t>
      </w:r>
      <w:r w:rsidR="009C03D0" w:rsidRPr="000C73AC">
        <w:rPr>
          <w:rFonts w:ascii="Palatino Linotype" w:hAnsi="Palatino Linotype" w:cs="Tahoma"/>
        </w:rPr>
        <w:t>,</w:t>
      </w:r>
      <w:r w:rsidRPr="000C73AC">
        <w:rPr>
          <w:rFonts w:ascii="Palatino Linotype" w:hAnsi="Palatino Linotype" w:cs="Tahoma"/>
        </w:rPr>
        <w:t xml:space="preserve"> </w:t>
      </w:r>
      <w:r w:rsidR="003E5445">
        <w:rPr>
          <w:rFonts w:ascii="Palatino Linotype" w:hAnsi="Palatino Linotype" w:cs="Tahoma"/>
        </w:rPr>
        <w:t xml:space="preserve">de ordenar la entrega de los </w:t>
      </w:r>
      <w:r w:rsidR="003E5445" w:rsidRPr="003E5445">
        <w:rPr>
          <w:rFonts w:ascii="Palatino Linotype" w:hAnsi="Palatino Linotype" w:cs="Tahoma"/>
        </w:rPr>
        <w:t>expedientes de procedimientos administrativos en los que se hubiera determinado una sanción grave para los servidores públicos, que hubieran causado estado, correspondientes a los ejercicios fiscales de 2015 a 2018</w:t>
      </w:r>
      <w:r w:rsidR="003E5445">
        <w:rPr>
          <w:rFonts w:ascii="Palatino Linotype" w:hAnsi="Palatino Linotype" w:cs="Tahoma"/>
        </w:rPr>
        <w:t xml:space="preserve">, </w:t>
      </w:r>
      <w:r w:rsidR="004A4D14">
        <w:rPr>
          <w:rFonts w:ascii="Palatino Linotype" w:hAnsi="Palatino Linotype" w:cs="Tahoma"/>
        </w:rPr>
        <w:t>e hizo</w:t>
      </w:r>
      <w:r w:rsidR="002C3E6A">
        <w:rPr>
          <w:rFonts w:ascii="Palatino Linotype" w:hAnsi="Palatino Linotype" w:cs="Tahoma"/>
        </w:rPr>
        <w:t xml:space="preserve"> entrega de versión con nombre de los responsables en caso de faltas graves y la entrega en versión pública en faltas no grave eliminando la identificación de los responsables, sin embargo la resolución no abordó las resoluciones absolutorias, las cuales s</w:t>
      </w:r>
      <w:r w:rsidR="004A4D14">
        <w:rPr>
          <w:rFonts w:ascii="Palatino Linotype" w:hAnsi="Palatino Linotype" w:cs="Tahoma"/>
        </w:rPr>
        <w:t>í</w:t>
      </w:r>
      <w:r w:rsidR="002C3E6A">
        <w:rPr>
          <w:rFonts w:ascii="Palatino Linotype" w:hAnsi="Palatino Linotype" w:cs="Tahoma"/>
        </w:rPr>
        <w:t xml:space="preserve"> fueron solicitadas por el Particular y sobre las que no existe estudio por parte de este Organismo Garante.</w:t>
      </w:r>
    </w:p>
    <w:p w14:paraId="52FF471E" w14:textId="77777777" w:rsidR="000B0963" w:rsidRDefault="000B0963" w:rsidP="00975F0D">
      <w:pPr>
        <w:spacing w:after="0" w:line="360" w:lineRule="auto"/>
        <w:jc w:val="both"/>
        <w:rPr>
          <w:rFonts w:ascii="Palatino Linotype" w:hAnsi="Palatino Linotype" w:cs="Tahoma"/>
        </w:rPr>
      </w:pPr>
    </w:p>
    <w:p w14:paraId="7C7F8812" w14:textId="07DE5EE6" w:rsidR="00975F0D" w:rsidRDefault="000B0963" w:rsidP="00975F0D">
      <w:pPr>
        <w:spacing w:after="0" w:line="360" w:lineRule="auto"/>
        <w:jc w:val="both"/>
        <w:rPr>
          <w:rFonts w:ascii="Palatino Linotype" w:hAnsi="Palatino Linotype" w:cs="Tahoma"/>
        </w:rPr>
      </w:pPr>
      <w:r>
        <w:rPr>
          <w:rFonts w:ascii="Palatino Linotype" w:hAnsi="Palatino Linotype" w:cs="Tahoma"/>
        </w:rPr>
        <w:t>D</w:t>
      </w:r>
      <w:r w:rsidR="00975F0D" w:rsidRPr="000C73AC">
        <w:rPr>
          <w:rFonts w:ascii="Palatino Linotype" w:hAnsi="Palatino Linotype" w:cs="Tahoma"/>
        </w:rPr>
        <w:t xml:space="preserve">esde mi perspectiva, </w:t>
      </w:r>
      <w:r>
        <w:rPr>
          <w:rFonts w:ascii="Palatino Linotype" w:hAnsi="Palatino Linotype" w:cs="Tahoma"/>
        </w:rPr>
        <w:t>las resoluciones absolutorias</w:t>
      </w:r>
      <w:r w:rsidR="00975F0D" w:rsidRPr="000C73AC">
        <w:rPr>
          <w:rFonts w:ascii="Palatino Linotype" w:hAnsi="Palatino Linotype" w:cs="Tahoma"/>
        </w:rPr>
        <w:t>, toda vez que se trata de procedimientos concluidos por falta de elementos en donde la conducta investigada pudo no ser contraria a derecho o no haber sido cometida por el servidor público investigado</w:t>
      </w:r>
      <w:r>
        <w:rPr>
          <w:rFonts w:ascii="Palatino Linotype" w:hAnsi="Palatino Linotype" w:cs="Tahoma"/>
        </w:rPr>
        <w:t>, es información que debe ser entregada en beneficio de los servidores públicos absueltos.</w:t>
      </w:r>
      <w:r w:rsidR="006924EA">
        <w:rPr>
          <w:rFonts w:ascii="Palatino Linotype" w:hAnsi="Palatino Linotype" w:cs="Tahoma"/>
        </w:rPr>
        <w:t xml:space="preserve"> </w:t>
      </w:r>
      <w:r>
        <w:rPr>
          <w:rFonts w:ascii="Palatino Linotype" w:hAnsi="Palatino Linotype" w:cs="Tahoma"/>
        </w:rPr>
        <w:t>Es entonces, la resolución debió ordenar la entrega de las resoluciones absolutorias,</w:t>
      </w:r>
      <w:r w:rsidR="003F32A1">
        <w:rPr>
          <w:rFonts w:ascii="Palatino Linotype" w:hAnsi="Palatino Linotype" w:cs="Tahoma"/>
        </w:rPr>
        <w:t xml:space="preserve"> porque fueron solicitadas, adicional a ello, no debo dejar escapar </w:t>
      </w:r>
      <w:r w:rsidR="00DA1789">
        <w:rPr>
          <w:rFonts w:ascii="Palatino Linotype" w:hAnsi="Palatino Linotype" w:cs="Tahoma"/>
        </w:rPr>
        <w:t xml:space="preserve">que en criterio mayoritario del pleno, </w:t>
      </w:r>
      <w:r w:rsidR="003F32A1">
        <w:rPr>
          <w:rFonts w:ascii="Palatino Linotype" w:hAnsi="Palatino Linotype" w:cs="Tahoma"/>
        </w:rPr>
        <w:t>indica que estos documentos deben ser ordenado</w:t>
      </w:r>
      <w:r w:rsidR="00DA1789">
        <w:rPr>
          <w:rFonts w:ascii="Palatino Linotype" w:hAnsi="Palatino Linotype" w:cs="Tahoma"/>
        </w:rPr>
        <w:t>s clasificando el nombre de los servidores públicos, así como el cargo.</w:t>
      </w:r>
    </w:p>
    <w:p w14:paraId="63CA6D97" w14:textId="67DB22D4" w:rsidR="000B0963" w:rsidRDefault="000B0963" w:rsidP="00975F0D">
      <w:pPr>
        <w:spacing w:after="0" w:line="360" w:lineRule="auto"/>
        <w:jc w:val="both"/>
        <w:rPr>
          <w:rFonts w:ascii="Palatino Linotype" w:hAnsi="Palatino Linotype" w:cs="Tahoma"/>
        </w:rPr>
      </w:pPr>
    </w:p>
    <w:p w14:paraId="5CD40B36" w14:textId="0D11C7CB" w:rsidR="000B0963" w:rsidRDefault="00E15855" w:rsidP="00975F0D">
      <w:pPr>
        <w:spacing w:after="0" w:line="360" w:lineRule="auto"/>
        <w:jc w:val="both"/>
        <w:rPr>
          <w:rFonts w:ascii="Palatino Linotype" w:hAnsi="Palatino Linotype" w:cs="Tahoma"/>
        </w:rPr>
      </w:pPr>
      <w:r>
        <w:rPr>
          <w:rFonts w:ascii="Palatino Linotype" w:hAnsi="Palatino Linotype" w:cs="Tahoma"/>
        </w:rPr>
        <w:lastRenderedPageBreak/>
        <w:t>Asimismo, consideró oportuno señalar que todo acto administrativo debe seguir el principio de congruencia y exhaustividad, principio que no se actualiza en la resolución de mérito, pues esta deja de lado el realizar un estudio sobre las resoluciones absolutorias, para lo que es dable invocar el criterio 02/17, del Instituto Nacional de Transparencia, Acceso a la Información Pública y Protección de Datos Personales del Estado de México y Municipios, que lleva por rubro y texto los siguientes:</w:t>
      </w:r>
    </w:p>
    <w:p w14:paraId="67C0247E" w14:textId="5E1173D1" w:rsidR="00E15855" w:rsidRPr="00E15855" w:rsidRDefault="00E15855" w:rsidP="00E15855">
      <w:pPr>
        <w:spacing w:after="0" w:line="360" w:lineRule="auto"/>
        <w:ind w:left="567" w:right="616"/>
        <w:jc w:val="both"/>
        <w:rPr>
          <w:rFonts w:ascii="Palatino Linotype" w:hAnsi="Palatino Linotype" w:cs="Tahoma"/>
          <w:i/>
          <w:iCs/>
          <w:sz w:val="20"/>
          <w:szCs w:val="20"/>
        </w:rPr>
      </w:pPr>
    </w:p>
    <w:p w14:paraId="627578D8" w14:textId="77777777" w:rsidR="00E15855" w:rsidRPr="00E15855" w:rsidRDefault="00E15855" w:rsidP="00E15855">
      <w:pPr>
        <w:spacing w:after="0" w:line="360" w:lineRule="auto"/>
        <w:ind w:left="567" w:right="616"/>
        <w:jc w:val="both"/>
        <w:rPr>
          <w:rFonts w:ascii="Palatino Linotype" w:hAnsi="Palatino Linotype" w:cs="Tahoma"/>
          <w:i/>
          <w:iCs/>
          <w:sz w:val="20"/>
          <w:szCs w:val="20"/>
        </w:rPr>
      </w:pPr>
      <w:r w:rsidRPr="00E15855">
        <w:rPr>
          <w:rFonts w:ascii="Palatino Linotype" w:hAnsi="Palatino Linotype" w:cs="Tahoma"/>
          <w:b/>
          <w:bCs/>
          <w:i/>
          <w:iCs/>
          <w:sz w:val="20"/>
          <w:szCs w:val="20"/>
        </w:rPr>
        <w:t>Congruencia y exhaustividad. Sus alcances para garantizar el derecho de acceso a la información.</w:t>
      </w:r>
      <w:r w:rsidRPr="00E15855">
        <w:rPr>
          <w:rFonts w:ascii="Palatino Linotype" w:hAnsi="Palatino Linotype" w:cs="Tahoma"/>
          <w:i/>
          <w:iCs/>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D1086D5" w14:textId="041979A6" w:rsidR="00E15855" w:rsidRDefault="00E15855" w:rsidP="00975F0D">
      <w:pPr>
        <w:spacing w:after="0" w:line="360" w:lineRule="auto"/>
        <w:jc w:val="both"/>
        <w:rPr>
          <w:rFonts w:ascii="Palatino Linotype" w:hAnsi="Palatino Linotype"/>
          <w:sz w:val="20"/>
          <w:szCs w:val="20"/>
        </w:rPr>
      </w:pPr>
    </w:p>
    <w:p w14:paraId="605C8CE6" w14:textId="60BA7558" w:rsidR="00E15855" w:rsidRPr="000C73AC" w:rsidRDefault="004A2BAC" w:rsidP="00975F0D">
      <w:pPr>
        <w:spacing w:after="0" w:line="360" w:lineRule="auto"/>
        <w:jc w:val="both"/>
        <w:rPr>
          <w:rFonts w:ascii="Palatino Linotype" w:hAnsi="Palatino Linotype" w:cs="Tahoma"/>
        </w:rPr>
      </w:pPr>
      <w:r>
        <w:rPr>
          <w:rFonts w:ascii="Palatino Linotype" w:hAnsi="Palatino Linotype" w:cs="Tahoma"/>
        </w:rPr>
        <w:t xml:space="preserve">En este orden de ideas, si bien este criterio está enfocado a los Sujetos Obligados, más </w:t>
      </w:r>
      <w:r w:rsidR="00DA1789">
        <w:rPr>
          <w:rFonts w:ascii="Palatino Linotype" w:hAnsi="Palatino Linotype" w:cs="Tahoma"/>
        </w:rPr>
        <w:t>aún</w:t>
      </w:r>
      <w:r>
        <w:rPr>
          <w:rFonts w:ascii="Palatino Linotype" w:hAnsi="Palatino Linotype" w:cs="Tahoma"/>
        </w:rPr>
        <w:t xml:space="preserve"> son principios que deben ser atendidos por los Organismo Garantes de la Transparencia, por lo que considero que lo procedente es realizar un estudio de cada uno de los puntos de la solicitud, más </w:t>
      </w:r>
      <w:r w:rsidR="00DA1789">
        <w:rPr>
          <w:rFonts w:ascii="Palatino Linotype" w:hAnsi="Palatino Linotype" w:cs="Tahoma"/>
        </w:rPr>
        <w:t>aún</w:t>
      </w:r>
      <w:r>
        <w:rPr>
          <w:rFonts w:ascii="Palatino Linotype" w:hAnsi="Palatino Linotype" w:cs="Tahoma"/>
        </w:rPr>
        <w:t xml:space="preserve"> en los recursos de revisión y sobre todo, cuando la interposición del recurso de revisión, se queda de manera general sobre la respuesta y no de manera </w:t>
      </w:r>
      <w:r w:rsidR="00DA1789">
        <w:rPr>
          <w:rFonts w:ascii="Palatino Linotype" w:hAnsi="Palatino Linotype" w:cs="Tahoma"/>
        </w:rPr>
        <w:t>específica</w:t>
      </w:r>
      <w:r>
        <w:rPr>
          <w:rFonts w:ascii="Palatino Linotype" w:hAnsi="Palatino Linotype" w:cs="Tahoma"/>
        </w:rPr>
        <w:t xml:space="preserve"> sobre aspectos concretos de la respuesta.</w:t>
      </w:r>
    </w:p>
    <w:p w14:paraId="09B686C3" w14:textId="4BB83966" w:rsidR="004F7AC3" w:rsidRPr="000C73AC" w:rsidRDefault="004F7AC3" w:rsidP="00924BA1">
      <w:pPr>
        <w:spacing w:after="0" w:line="360" w:lineRule="auto"/>
        <w:jc w:val="both"/>
        <w:rPr>
          <w:rFonts w:ascii="Palatino Linotype" w:hAnsi="Palatino Linotype" w:cs="Tahoma"/>
        </w:rPr>
      </w:pPr>
    </w:p>
    <w:p w14:paraId="53D5CF95" w14:textId="651E46B4" w:rsidR="00542F85" w:rsidRPr="000C73AC" w:rsidRDefault="00542F85" w:rsidP="00542F85">
      <w:pPr>
        <w:spacing w:after="0" w:line="360" w:lineRule="auto"/>
        <w:jc w:val="both"/>
        <w:rPr>
          <w:rFonts w:ascii="Palatino Linotype" w:hAnsi="Palatino Linotype" w:cs="Tahoma"/>
        </w:rPr>
      </w:pPr>
      <w:r w:rsidRPr="000C73AC">
        <w:rPr>
          <w:rFonts w:ascii="Palatino Linotype" w:hAnsi="Palatino Linotype" w:cs="Tahoma"/>
        </w:rPr>
        <w:lastRenderedPageBreak/>
        <w:t>Por lo anterio</w:t>
      </w:r>
      <w:r w:rsidR="004A2BAC">
        <w:rPr>
          <w:rFonts w:ascii="Palatino Linotype" w:hAnsi="Palatino Linotype" w:cs="Tahoma"/>
        </w:rPr>
        <w:t>r, considero que la ponencia debió realizar un estudio exhaustivo de los expedientes de responsabilidades concluidos, en los que se determinó la no responsabilidad de los servidores públicos y en ese sentido, ordenar la entrega de estos.</w:t>
      </w:r>
    </w:p>
    <w:p w14:paraId="560BF462" w14:textId="77777777" w:rsidR="003D6342" w:rsidRPr="000C73AC" w:rsidRDefault="003D6342" w:rsidP="00885189">
      <w:pPr>
        <w:spacing w:after="0" w:line="360" w:lineRule="auto"/>
        <w:jc w:val="both"/>
        <w:rPr>
          <w:rFonts w:ascii="Palatino Linotype" w:hAnsi="Palatino Linotype" w:cs="Tahoma"/>
        </w:rPr>
      </w:pPr>
    </w:p>
    <w:p w14:paraId="560BF463" w14:textId="77777777" w:rsidR="009E0861" w:rsidRPr="000C73AC" w:rsidRDefault="009E0861" w:rsidP="00885189">
      <w:pPr>
        <w:spacing w:after="0" w:line="360" w:lineRule="auto"/>
        <w:jc w:val="both"/>
        <w:rPr>
          <w:rFonts w:ascii="Palatino Linotype" w:hAnsi="Palatino Linotype" w:cs="Tahoma"/>
        </w:rPr>
      </w:pPr>
      <w:r w:rsidRPr="000C73AC">
        <w:rPr>
          <w:rFonts w:ascii="Palatino Linotype" w:hAnsi="Palatino Linotype" w:cs="Tahoma"/>
        </w:rPr>
        <w:t xml:space="preserve">Así, con base en los razonamientos expuestos, se emite </w:t>
      </w:r>
      <w:r w:rsidR="00E855F9" w:rsidRPr="000C73AC">
        <w:rPr>
          <w:rFonts w:ascii="Palatino Linotype" w:hAnsi="Palatino Linotype" w:cs="Tahoma"/>
        </w:rPr>
        <w:t>el Presente Voto</w:t>
      </w:r>
      <w:r w:rsidRPr="000C73AC">
        <w:rPr>
          <w:rFonts w:ascii="Palatino Linotype" w:hAnsi="Palatino Linotype" w:cs="Tahoma"/>
        </w:rPr>
        <w:t xml:space="preserve"> Particular.</w:t>
      </w:r>
      <w:r w:rsidR="001514DB" w:rsidRPr="000C73AC">
        <w:rPr>
          <w:rFonts w:ascii="Palatino Linotype" w:eastAsia="Calibri" w:hAnsi="Palatino Linotype" w:cs="Times New Roman"/>
          <w:lang w:val="es-MX"/>
        </w:rPr>
        <w:t xml:space="preserve"> </w:t>
      </w:r>
      <w:r w:rsidR="001514DB" w:rsidRPr="000C73AC">
        <w:rPr>
          <w:rFonts w:ascii="Palatino Linotype" w:hAnsi="Palatino Linotype" w:cs="Tahoma"/>
          <w:lang w:val="es-MX"/>
        </w:rPr>
        <w:t>----------------------------------------------------------------------------------------------------------------------------------</w:t>
      </w:r>
    </w:p>
    <w:p w14:paraId="560BF464" w14:textId="77777777" w:rsidR="00CD3F3D" w:rsidRPr="000C73AC" w:rsidRDefault="00CD3F3D" w:rsidP="00885189">
      <w:pPr>
        <w:spacing w:after="0" w:line="360" w:lineRule="auto"/>
        <w:jc w:val="both"/>
        <w:rPr>
          <w:rFonts w:ascii="Palatino Linotype" w:hAnsi="Palatino Linotype" w:cs="Tahoma"/>
          <w:b/>
        </w:rPr>
      </w:pPr>
    </w:p>
    <w:p w14:paraId="560BF465" w14:textId="77777777" w:rsidR="003512C9" w:rsidRPr="000C73AC" w:rsidRDefault="003512C9" w:rsidP="00885189">
      <w:pPr>
        <w:spacing w:after="0" w:line="360" w:lineRule="auto"/>
        <w:jc w:val="both"/>
        <w:rPr>
          <w:rFonts w:ascii="Palatino Linotype" w:hAnsi="Palatino Linotype" w:cs="Tahoma"/>
        </w:rPr>
      </w:pPr>
    </w:p>
    <w:p w14:paraId="560BF466" w14:textId="77777777" w:rsidR="001514DB" w:rsidRPr="000C73AC" w:rsidRDefault="001514DB" w:rsidP="00885189">
      <w:pPr>
        <w:spacing w:after="0" w:line="360" w:lineRule="auto"/>
        <w:jc w:val="both"/>
        <w:rPr>
          <w:rFonts w:ascii="Palatino Linotype" w:hAnsi="Palatino Linotype" w:cs="Tahoma"/>
        </w:rPr>
      </w:pPr>
    </w:p>
    <w:p w14:paraId="560BF467" w14:textId="77777777" w:rsidR="001514DB" w:rsidRPr="000C73AC" w:rsidRDefault="001514DB" w:rsidP="00885189">
      <w:pPr>
        <w:spacing w:after="0" w:line="360" w:lineRule="auto"/>
        <w:jc w:val="both"/>
        <w:rPr>
          <w:rFonts w:ascii="Palatino Linotype" w:hAnsi="Palatino Linotype" w:cs="Tahoma"/>
        </w:rPr>
      </w:pPr>
    </w:p>
    <w:p w14:paraId="560BF468" w14:textId="77777777" w:rsidR="001514DB" w:rsidRPr="000C73AC" w:rsidRDefault="001514DB" w:rsidP="00885189">
      <w:pPr>
        <w:spacing w:after="0" w:line="360" w:lineRule="auto"/>
        <w:jc w:val="both"/>
        <w:rPr>
          <w:rFonts w:ascii="Palatino Linotype" w:hAnsi="Palatino Linotype" w:cs="Tahoma"/>
        </w:rPr>
      </w:pPr>
    </w:p>
    <w:p w14:paraId="560BF469" w14:textId="77777777" w:rsidR="001514DB" w:rsidRPr="000C73AC" w:rsidRDefault="001514DB" w:rsidP="00885189">
      <w:pPr>
        <w:spacing w:after="0" w:line="360" w:lineRule="auto"/>
        <w:jc w:val="both"/>
        <w:rPr>
          <w:rFonts w:ascii="Palatino Linotype" w:hAnsi="Palatino Linotype" w:cs="Tahoma"/>
        </w:rPr>
      </w:pPr>
    </w:p>
    <w:p w14:paraId="560BF46A" w14:textId="77777777" w:rsidR="001514DB" w:rsidRPr="000C73AC" w:rsidRDefault="001514DB" w:rsidP="00885189">
      <w:pPr>
        <w:spacing w:after="0" w:line="360" w:lineRule="auto"/>
        <w:jc w:val="both"/>
        <w:rPr>
          <w:rFonts w:ascii="Palatino Linotype" w:hAnsi="Palatino Linotype" w:cs="Tahoma"/>
        </w:rPr>
      </w:pPr>
    </w:p>
    <w:p w14:paraId="560BF46B" w14:textId="77777777" w:rsidR="001514DB" w:rsidRPr="000C73AC" w:rsidRDefault="001514DB" w:rsidP="00885189">
      <w:pPr>
        <w:spacing w:after="0" w:line="360" w:lineRule="auto"/>
        <w:jc w:val="both"/>
        <w:rPr>
          <w:rFonts w:ascii="Palatino Linotype" w:hAnsi="Palatino Linotype" w:cs="Tahoma"/>
        </w:rPr>
      </w:pPr>
    </w:p>
    <w:p w14:paraId="560BF46C" w14:textId="77777777" w:rsidR="001514DB" w:rsidRPr="000C73AC" w:rsidRDefault="001514DB" w:rsidP="00885189">
      <w:pPr>
        <w:spacing w:after="0" w:line="360" w:lineRule="auto"/>
        <w:jc w:val="both"/>
        <w:rPr>
          <w:rFonts w:ascii="Palatino Linotype" w:hAnsi="Palatino Linotype" w:cs="Tahoma"/>
        </w:rPr>
      </w:pPr>
    </w:p>
    <w:p w14:paraId="560BF46D" w14:textId="77777777" w:rsidR="001514DB" w:rsidRPr="000C73AC" w:rsidRDefault="001514DB" w:rsidP="00885189">
      <w:pPr>
        <w:spacing w:after="0" w:line="360" w:lineRule="auto"/>
        <w:jc w:val="both"/>
        <w:rPr>
          <w:rFonts w:ascii="Palatino Linotype" w:hAnsi="Palatino Linotype" w:cs="Tahoma"/>
        </w:rPr>
      </w:pPr>
    </w:p>
    <w:p w14:paraId="560BF46E" w14:textId="77777777" w:rsidR="001514DB" w:rsidRPr="000C73AC" w:rsidRDefault="001514DB" w:rsidP="00885189">
      <w:pPr>
        <w:spacing w:after="0" w:line="360" w:lineRule="auto"/>
        <w:jc w:val="both"/>
        <w:rPr>
          <w:rFonts w:ascii="Palatino Linotype" w:hAnsi="Palatino Linotype" w:cs="Tahoma"/>
        </w:rPr>
      </w:pPr>
    </w:p>
    <w:p w14:paraId="560BF46F" w14:textId="77777777" w:rsidR="001514DB" w:rsidRPr="000C73AC" w:rsidRDefault="001514DB" w:rsidP="00885189">
      <w:pPr>
        <w:spacing w:after="0" w:line="360" w:lineRule="auto"/>
        <w:jc w:val="both"/>
        <w:rPr>
          <w:rFonts w:ascii="Palatino Linotype" w:hAnsi="Palatino Linotype" w:cs="Tahoma"/>
        </w:rPr>
      </w:pPr>
    </w:p>
    <w:p w14:paraId="560BF470" w14:textId="77777777" w:rsidR="001514DB" w:rsidRPr="000C73AC" w:rsidRDefault="001514DB" w:rsidP="00885189">
      <w:pPr>
        <w:spacing w:after="0" w:line="360" w:lineRule="auto"/>
        <w:jc w:val="both"/>
        <w:rPr>
          <w:rFonts w:ascii="Palatino Linotype" w:hAnsi="Palatino Linotype" w:cs="Tahoma"/>
        </w:rPr>
      </w:pPr>
    </w:p>
    <w:p w14:paraId="560BF471" w14:textId="77777777" w:rsidR="001514DB" w:rsidRPr="000C73AC" w:rsidRDefault="001514DB" w:rsidP="00885189">
      <w:pPr>
        <w:spacing w:after="0" w:line="360" w:lineRule="auto"/>
        <w:jc w:val="both"/>
        <w:rPr>
          <w:rFonts w:ascii="Palatino Linotype" w:hAnsi="Palatino Linotype" w:cs="Tahoma"/>
        </w:rPr>
      </w:pPr>
    </w:p>
    <w:p w14:paraId="560BF472" w14:textId="77777777" w:rsidR="001514DB" w:rsidRPr="000C73AC" w:rsidRDefault="001514DB" w:rsidP="00885189">
      <w:pPr>
        <w:spacing w:after="0" w:line="360" w:lineRule="auto"/>
        <w:jc w:val="both"/>
        <w:rPr>
          <w:rFonts w:ascii="Palatino Linotype" w:hAnsi="Palatino Linotype" w:cs="Tahoma"/>
        </w:rPr>
      </w:pPr>
    </w:p>
    <w:p w14:paraId="560BF473" w14:textId="77777777" w:rsidR="001514DB" w:rsidRPr="000C73AC" w:rsidRDefault="001514DB" w:rsidP="00885189">
      <w:pPr>
        <w:spacing w:after="0" w:line="360" w:lineRule="auto"/>
        <w:jc w:val="both"/>
        <w:rPr>
          <w:rFonts w:ascii="Palatino Linotype" w:hAnsi="Palatino Linotype" w:cs="Tahoma"/>
        </w:rPr>
      </w:pPr>
    </w:p>
    <w:p w14:paraId="560BF474" w14:textId="77777777" w:rsidR="001514DB" w:rsidRPr="000C73AC" w:rsidRDefault="001514DB" w:rsidP="00885189">
      <w:pPr>
        <w:spacing w:after="0" w:line="360" w:lineRule="auto"/>
        <w:jc w:val="both"/>
        <w:rPr>
          <w:rFonts w:ascii="Palatino Linotype" w:hAnsi="Palatino Linotype" w:cs="Tahoma"/>
        </w:rPr>
      </w:pPr>
    </w:p>
    <w:p w14:paraId="560BF475" w14:textId="77777777" w:rsidR="001514DB" w:rsidRPr="000C73AC" w:rsidRDefault="001514DB" w:rsidP="00885189">
      <w:pPr>
        <w:spacing w:after="0" w:line="360" w:lineRule="auto"/>
        <w:jc w:val="both"/>
        <w:rPr>
          <w:rFonts w:ascii="Palatino Linotype" w:hAnsi="Palatino Linotype" w:cs="Tahoma"/>
        </w:rPr>
      </w:pPr>
    </w:p>
    <w:p w14:paraId="560BF476" w14:textId="77777777" w:rsidR="001514DB" w:rsidRPr="000C73AC" w:rsidRDefault="001514DB" w:rsidP="00885189">
      <w:pPr>
        <w:spacing w:after="0" w:line="360" w:lineRule="auto"/>
        <w:jc w:val="both"/>
        <w:rPr>
          <w:rFonts w:ascii="Palatino Linotype" w:hAnsi="Palatino Linotype" w:cs="Tahoma"/>
        </w:rPr>
      </w:pPr>
    </w:p>
    <w:p w14:paraId="560BF477" w14:textId="77777777" w:rsidR="001514DB" w:rsidRPr="000C73AC" w:rsidRDefault="001514DB" w:rsidP="00885189">
      <w:pPr>
        <w:spacing w:after="0" w:line="360" w:lineRule="auto"/>
        <w:jc w:val="both"/>
        <w:rPr>
          <w:rFonts w:ascii="Palatino Linotype" w:hAnsi="Palatino Linotype" w:cs="Tahoma"/>
        </w:rPr>
      </w:pPr>
    </w:p>
    <w:p w14:paraId="560BF47F" w14:textId="77777777" w:rsidR="001514DB" w:rsidRPr="000C73AC" w:rsidRDefault="001514DB" w:rsidP="00885189">
      <w:pPr>
        <w:spacing w:after="0" w:line="360" w:lineRule="auto"/>
        <w:jc w:val="both"/>
        <w:rPr>
          <w:rFonts w:ascii="Palatino Linotype" w:hAnsi="Palatino Linotype" w:cs="Tahoma"/>
        </w:rPr>
      </w:pPr>
    </w:p>
    <w:sectPr w:rsidR="001514DB" w:rsidRPr="000C73AC" w:rsidSect="009016E6">
      <w:headerReference w:type="default" r:id="rId10"/>
      <w:footerReference w:type="default" r:id="rId11"/>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38741" w14:textId="77777777" w:rsidR="00A17238" w:rsidRDefault="00A17238" w:rsidP="00EE29F6">
      <w:pPr>
        <w:spacing w:after="0" w:line="240" w:lineRule="auto"/>
      </w:pPr>
      <w:r>
        <w:separator/>
      </w:r>
    </w:p>
  </w:endnote>
  <w:endnote w:type="continuationSeparator" w:id="0">
    <w:p w14:paraId="407D1210" w14:textId="77777777" w:rsidR="00A17238" w:rsidRDefault="00A1723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F32A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F32A1">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7248" w14:textId="77777777" w:rsidR="00A17238" w:rsidRDefault="00A17238" w:rsidP="00EE29F6">
      <w:pPr>
        <w:spacing w:after="0" w:line="240" w:lineRule="auto"/>
      </w:pPr>
      <w:r>
        <w:separator/>
      </w:r>
    </w:p>
  </w:footnote>
  <w:footnote w:type="continuationSeparator" w:id="0">
    <w:p w14:paraId="19EFB5D1" w14:textId="77777777" w:rsidR="00A17238" w:rsidRDefault="00A1723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1EFF5223"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A50A03" w:rsidRPr="00A50A03">
            <w:rPr>
              <w:rFonts w:ascii="Palatino Linotype" w:hAnsi="Palatino Linotype" w:cs="Arial"/>
              <w:lang w:val="es-MX" w:eastAsia="es-MX"/>
            </w:rPr>
            <w:t>0</w:t>
          </w:r>
          <w:r w:rsidR="00557228">
            <w:rPr>
              <w:rFonts w:ascii="Palatino Linotype" w:hAnsi="Palatino Linotype" w:cs="Arial"/>
              <w:lang w:val="es-MX" w:eastAsia="es-MX"/>
            </w:rPr>
            <w:t>2202</w:t>
          </w:r>
          <w:r w:rsidR="00A50A03" w:rsidRPr="00A50A03">
            <w:rPr>
              <w:rFonts w:ascii="Palatino Linotype" w:hAnsi="Palatino Linotype" w:cs="Arial"/>
              <w:lang w:val="es-MX" w:eastAsia="es-MX"/>
            </w:rPr>
            <w:t>/INFOEM/IP/RR/2022</w:t>
          </w:r>
          <w:r w:rsidR="00557228">
            <w:rPr>
              <w:rFonts w:ascii="Palatino Linotype" w:hAnsi="Palatino Linotype" w:cs="Arial"/>
              <w:lang w:val="es-MX" w:eastAsia="es-MX"/>
            </w:rPr>
            <w:t xml:space="preserve"> y acumulados</w:t>
          </w:r>
        </w:p>
        <w:p w14:paraId="04583972" w14:textId="153CAD41" w:rsidR="00DA6903" w:rsidRPr="00A50A03" w:rsidRDefault="00DF2784" w:rsidP="00976B1D">
          <w:pPr>
            <w:pStyle w:val="Encabezado"/>
            <w:jc w:val="both"/>
            <w:rPr>
              <w:rFonts w:ascii="Palatino Linotype" w:hAnsi="Palatino Linotype" w:cs="Arial"/>
              <w:lang w:val="es-MX" w:eastAsia="es-MX"/>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A50A03" w:rsidRPr="00A50A03">
            <w:rPr>
              <w:rFonts w:ascii="Palatino Linotype" w:hAnsi="Palatino Linotype" w:cs="Arial"/>
              <w:lang w:val="es-MX" w:eastAsia="es-MX"/>
            </w:rPr>
            <w:t xml:space="preserve">Ayuntamiento de </w:t>
          </w:r>
          <w:r w:rsidR="00557228">
            <w:rPr>
              <w:rFonts w:ascii="Palatino Linotype" w:hAnsi="Palatino Linotype" w:cs="Arial"/>
              <w:lang w:val="es-MX" w:eastAsia="es-MX"/>
            </w:rPr>
            <w:t>Metepec</w:t>
          </w:r>
        </w:p>
        <w:p w14:paraId="7951A50B" w14:textId="20F0DD48" w:rsidR="009016E6" w:rsidRDefault="00363357" w:rsidP="00D132A9">
          <w:pPr>
            <w:pStyle w:val="Encabezado"/>
            <w:jc w:val="both"/>
            <w:rPr>
              <w:rFonts w:ascii="Palatino Linotype" w:eastAsia="Calibri" w:hAnsi="Palatino Linotype" w:cs="Tahoma"/>
            </w:rPr>
          </w:pPr>
          <w:r w:rsidRPr="00085241">
            <w:rPr>
              <w:rFonts w:ascii="Palatino Linotype" w:hAnsi="Palatino Linotype" w:cs="Tahoma"/>
              <w:b/>
            </w:rPr>
            <w:t>Comisionad</w:t>
          </w:r>
          <w:r w:rsidR="00AB0A4D">
            <w:rPr>
              <w:rFonts w:ascii="Palatino Linotype" w:hAnsi="Palatino Linotype" w:cs="Tahoma"/>
              <w:b/>
            </w:rPr>
            <w:t>a</w:t>
          </w:r>
          <w:r w:rsidRPr="00085241">
            <w:rPr>
              <w:rFonts w:ascii="Palatino Linotype" w:hAnsi="Palatino Linotype" w:cs="Tahoma"/>
              <w:b/>
            </w:rPr>
            <w:t xml:space="preserve"> Ponente: </w:t>
          </w:r>
          <w:r w:rsidR="00557228">
            <w:rPr>
              <w:rFonts w:ascii="Palatino Linotype" w:hAnsi="Palatino Linotype"/>
            </w:rPr>
            <w:t>Sharon Cristina Morales Martínez</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963"/>
    <w:rsid w:val="000B0EAF"/>
    <w:rsid w:val="000B235B"/>
    <w:rsid w:val="000B3301"/>
    <w:rsid w:val="000B7F6F"/>
    <w:rsid w:val="000C10B7"/>
    <w:rsid w:val="000C4D45"/>
    <w:rsid w:val="000C6052"/>
    <w:rsid w:val="000C68D6"/>
    <w:rsid w:val="000C73AC"/>
    <w:rsid w:val="000D0589"/>
    <w:rsid w:val="000D186F"/>
    <w:rsid w:val="000D55D7"/>
    <w:rsid w:val="000E01B5"/>
    <w:rsid w:val="000F1410"/>
    <w:rsid w:val="000F1CD2"/>
    <w:rsid w:val="000F2EB3"/>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D702F"/>
    <w:rsid w:val="001F1CE3"/>
    <w:rsid w:val="001F7811"/>
    <w:rsid w:val="0020052A"/>
    <w:rsid w:val="002261F2"/>
    <w:rsid w:val="00231B68"/>
    <w:rsid w:val="002424A2"/>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3E6A"/>
    <w:rsid w:val="002C7EBD"/>
    <w:rsid w:val="002E4A9A"/>
    <w:rsid w:val="002E5A1A"/>
    <w:rsid w:val="002F0C1B"/>
    <w:rsid w:val="002F5EBA"/>
    <w:rsid w:val="0030182B"/>
    <w:rsid w:val="0032009F"/>
    <w:rsid w:val="00320A7B"/>
    <w:rsid w:val="00333B7A"/>
    <w:rsid w:val="00344DD1"/>
    <w:rsid w:val="003512C9"/>
    <w:rsid w:val="00352F94"/>
    <w:rsid w:val="00363357"/>
    <w:rsid w:val="00387BA7"/>
    <w:rsid w:val="00390188"/>
    <w:rsid w:val="003973A2"/>
    <w:rsid w:val="003A48BA"/>
    <w:rsid w:val="003A6218"/>
    <w:rsid w:val="003B1229"/>
    <w:rsid w:val="003B56E9"/>
    <w:rsid w:val="003B5F3A"/>
    <w:rsid w:val="003B6547"/>
    <w:rsid w:val="003B7A5E"/>
    <w:rsid w:val="003C374F"/>
    <w:rsid w:val="003D6342"/>
    <w:rsid w:val="003E5445"/>
    <w:rsid w:val="003F2426"/>
    <w:rsid w:val="003F32A1"/>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74463"/>
    <w:rsid w:val="00485822"/>
    <w:rsid w:val="00490F50"/>
    <w:rsid w:val="00497F73"/>
    <w:rsid w:val="004A2BAC"/>
    <w:rsid w:val="004A4346"/>
    <w:rsid w:val="004A4555"/>
    <w:rsid w:val="004A4D14"/>
    <w:rsid w:val="004A555E"/>
    <w:rsid w:val="004B08C4"/>
    <w:rsid w:val="004B2941"/>
    <w:rsid w:val="004B541F"/>
    <w:rsid w:val="004B61E7"/>
    <w:rsid w:val="004B674B"/>
    <w:rsid w:val="004B7FD8"/>
    <w:rsid w:val="004C0D0B"/>
    <w:rsid w:val="004C4912"/>
    <w:rsid w:val="004C6E57"/>
    <w:rsid w:val="004D3E7F"/>
    <w:rsid w:val="004E4CA3"/>
    <w:rsid w:val="004E569C"/>
    <w:rsid w:val="004E7007"/>
    <w:rsid w:val="004F0B86"/>
    <w:rsid w:val="004F62F0"/>
    <w:rsid w:val="004F7AC3"/>
    <w:rsid w:val="00511E06"/>
    <w:rsid w:val="0052155F"/>
    <w:rsid w:val="0052260F"/>
    <w:rsid w:val="00524DA5"/>
    <w:rsid w:val="00526DBD"/>
    <w:rsid w:val="00542F85"/>
    <w:rsid w:val="00543DF4"/>
    <w:rsid w:val="00544812"/>
    <w:rsid w:val="00550AA5"/>
    <w:rsid w:val="00553ADE"/>
    <w:rsid w:val="00557228"/>
    <w:rsid w:val="0056120D"/>
    <w:rsid w:val="0056175F"/>
    <w:rsid w:val="00563C78"/>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924EA"/>
    <w:rsid w:val="0069333F"/>
    <w:rsid w:val="006A6335"/>
    <w:rsid w:val="006A7531"/>
    <w:rsid w:val="006B16FE"/>
    <w:rsid w:val="006B5D4B"/>
    <w:rsid w:val="006B6D1A"/>
    <w:rsid w:val="006C275C"/>
    <w:rsid w:val="006C4BE2"/>
    <w:rsid w:val="006D475A"/>
    <w:rsid w:val="006F5316"/>
    <w:rsid w:val="006F6610"/>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6600D"/>
    <w:rsid w:val="00874170"/>
    <w:rsid w:val="00884A10"/>
    <w:rsid w:val="00885189"/>
    <w:rsid w:val="00891412"/>
    <w:rsid w:val="008933AC"/>
    <w:rsid w:val="00893F62"/>
    <w:rsid w:val="0089469D"/>
    <w:rsid w:val="00894CDD"/>
    <w:rsid w:val="008A0447"/>
    <w:rsid w:val="008A1DE1"/>
    <w:rsid w:val="008A3DA9"/>
    <w:rsid w:val="008B08C9"/>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49BE"/>
    <w:rsid w:val="009D6D5B"/>
    <w:rsid w:val="009E0861"/>
    <w:rsid w:val="009E41F7"/>
    <w:rsid w:val="009F7B18"/>
    <w:rsid w:val="00A0224B"/>
    <w:rsid w:val="00A13E40"/>
    <w:rsid w:val="00A14343"/>
    <w:rsid w:val="00A14B13"/>
    <w:rsid w:val="00A17238"/>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0ED1"/>
    <w:rsid w:val="00AA261E"/>
    <w:rsid w:val="00AA38A5"/>
    <w:rsid w:val="00AA4F5B"/>
    <w:rsid w:val="00AB0A4D"/>
    <w:rsid w:val="00AC333A"/>
    <w:rsid w:val="00AD2220"/>
    <w:rsid w:val="00AD25D5"/>
    <w:rsid w:val="00AE4CC9"/>
    <w:rsid w:val="00AF3B6B"/>
    <w:rsid w:val="00B07FB8"/>
    <w:rsid w:val="00B15570"/>
    <w:rsid w:val="00B1783D"/>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B1DD6"/>
    <w:rsid w:val="00CC3592"/>
    <w:rsid w:val="00CC68E1"/>
    <w:rsid w:val="00CD3F3D"/>
    <w:rsid w:val="00CD4339"/>
    <w:rsid w:val="00CD6D0D"/>
    <w:rsid w:val="00CD7611"/>
    <w:rsid w:val="00CE3CDC"/>
    <w:rsid w:val="00CE46B3"/>
    <w:rsid w:val="00CE50F9"/>
    <w:rsid w:val="00CE7556"/>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1789"/>
    <w:rsid w:val="00DA6903"/>
    <w:rsid w:val="00DB3914"/>
    <w:rsid w:val="00DC5D85"/>
    <w:rsid w:val="00DE4452"/>
    <w:rsid w:val="00DF2784"/>
    <w:rsid w:val="00DF675F"/>
    <w:rsid w:val="00DF69D9"/>
    <w:rsid w:val="00DF6CA0"/>
    <w:rsid w:val="00E145E1"/>
    <w:rsid w:val="00E15855"/>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35789"/>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 w:type="character" w:customStyle="1" w:styleId="UnresolvedMention">
    <w:name w:val="Unresolved Mention"/>
    <w:basedOn w:val="Fuentedeprrafopredeter"/>
    <w:uiPriority w:val="99"/>
    <w:semiHidden/>
    <w:unhideWhenUsed/>
    <w:rsid w:val="002424A2"/>
    <w:rPr>
      <w:color w:val="605E5C"/>
      <w:shd w:val="clear" w:color="auto" w:fill="E1DFDD"/>
    </w:rPr>
  </w:style>
  <w:style w:type="paragraph" w:customStyle="1" w:styleId="paragraph">
    <w:name w:val="paragraph"/>
    <w:basedOn w:val="Normal"/>
    <w:rsid w:val="003E544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3E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8742">
      <w:bodyDiv w:val="1"/>
      <w:marLeft w:val="0"/>
      <w:marRight w:val="0"/>
      <w:marTop w:val="0"/>
      <w:marBottom w:val="0"/>
      <w:divBdr>
        <w:top w:val="none" w:sz="0" w:space="0" w:color="auto"/>
        <w:left w:val="none" w:sz="0" w:space="0" w:color="auto"/>
        <w:bottom w:val="none" w:sz="0" w:space="0" w:color="auto"/>
        <w:right w:val="none" w:sz="0" w:space="0" w:color="auto"/>
      </w:divBdr>
      <w:divsChild>
        <w:div w:id="2124420142">
          <w:marLeft w:val="0"/>
          <w:marRight w:val="0"/>
          <w:marTop w:val="0"/>
          <w:marBottom w:val="0"/>
          <w:divBdr>
            <w:top w:val="none" w:sz="0" w:space="0" w:color="auto"/>
            <w:left w:val="none" w:sz="0" w:space="0" w:color="auto"/>
            <w:bottom w:val="none" w:sz="0" w:space="0" w:color="auto"/>
            <w:right w:val="none" w:sz="0" w:space="0" w:color="auto"/>
          </w:divBdr>
        </w:div>
        <w:div w:id="961575064">
          <w:marLeft w:val="0"/>
          <w:marRight w:val="0"/>
          <w:marTop w:val="0"/>
          <w:marBottom w:val="0"/>
          <w:divBdr>
            <w:top w:val="none" w:sz="0" w:space="0" w:color="auto"/>
            <w:left w:val="none" w:sz="0" w:space="0" w:color="auto"/>
            <w:bottom w:val="none" w:sz="0" w:space="0" w:color="auto"/>
            <w:right w:val="none" w:sz="0" w:space="0" w:color="auto"/>
          </w:divBdr>
        </w:div>
      </w:divsChild>
    </w:div>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552575357">
      <w:bodyDiv w:val="1"/>
      <w:marLeft w:val="0"/>
      <w:marRight w:val="0"/>
      <w:marTop w:val="0"/>
      <w:marBottom w:val="0"/>
      <w:divBdr>
        <w:top w:val="none" w:sz="0" w:space="0" w:color="auto"/>
        <w:left w:val="none" w:sz="0" w:space="0" w:color="auto"/>
        <w:bottom w:val="none" w:sz="0" w:space="0" w:color="auto"/>
        <w:right w:val="none" w:sz="0" w:space="0" w:color="auto"/>
      </w:divBdr>
      <w:divsChild>
        <w:div w:id="1458333064">
          <w:marLeft w:val="0"/>
          <w:marRight w:val="0"/>
          <w:marTop w:val="0"/>
          <w:marBottom w:val="0"/>
          <w:divBdr>
            <w:top w:val="none" w:sz="0" w:space="0" w:color="auto"/>
            <w:left w:val="none" w:sz="0" w:space="0" w:color="auto"/>
            <w:bottom w:val="none" w:sz="0" w:space="0" w:color="auto"/>
            <w:right w:val="none" w:sz="0" w:space="0" w:color="auto"/>
          </w:divBdr>
        </w:div>
        <w:div w:id="894510779">
          <w:marLeft w:val="0"/>
          <w:marRight w:val="0"/>
          <w:marTop w:val="0"/>
          <w:marBottom w:val="0"/>
          <w:divBdr>
            <w:top w:val="none" w:sz="0" w:space="0" w:color="auto"/>
            <w:left w:val="none" w:sz="0" w:space="0" w:color="auto"/>
            <w:bottom w:val="none" w:sz="0" w:space="0" w:color="auto"/>
            <w:right w:val="none" w:sz="0" w:space="0" w:color="auto"/>
          </w:divBdr>
        </w:div>
      </w:divsChild>
    </w:div>
    <w:div w:id="1777602403">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metepec/sanciones.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METEPEC/art_92_xxii/0.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1AC0-31B2-4EB6-A254-FB6FE9E7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938</Words>
  <Characters>5165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8</cp:revision>
  <cp:lastPrinted>2022-05-02T18:31:00Z</cp:lastPrinted>
  <dcterms:created xsi:type="dcterms:W3CDTF">2022-05-16T18:56:00Z</dcterms:created>
  <dcterms:modified xsi:type="dcterms:W3CDTF">2022-05-16T19:15:00Z</dcterms:modified>
</cp:coreProperties>
</file>