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419A1" w14:textId="791E53D2" w:rsidR="003257F3" w:rsidRDefault="00D45CA3" w:rsidP="003257F3">
      <w:pPr>
        <w:spacing w:line="360" w:lineRule="auto"/>
        <w:ind w:left="567"/>
        <w:jc w:val="both"/>
        <w:rPr>
          <w:rFonts w:ascii="Palatino Linotype" w:hAnsi="Palatino Linotype" w:cs="Arial"/>
          <w:b/>
          <w:bCs/>
        </w:rPr>
      </w:pPr>
      <w:r w:rsidRPr="009565F9">
        <w:rPr>
          <w:rFonts w:ascii="Palatino Linotype" w:hAnsi="Palatino Linotype" w:cs="Arial"/>
          <w:b/>
        </w:rPr>
        <w:t xml:space="preserve">VOTO </w:t>
      </w:r>
      <w:r w:rsidR="00FA3F69" w:rsidRPr="009565F9">
        <w:rPr>
          <w:rFonts w:ascii="Palatino Linotype" w:hAnsi="Palatino Linotype" w:cs="Arial"/>
          <w:b/>
        </w:rPr>
        <w:t>PARTICULAR</w:t>
      </w:r>
      <w:r w:rsidRPr="009565F9">
        <w:rPr>
          <w:rFonts w:ascii="Palatino Linotype" w:hAnsi="Palatino Linotype" w:cs="Arial"/>
          <w:b/>
        </w:rPr>
        <w:t xml:space="preserve"> DE</w:t>
      </w:r>
      <w:r w:rsidR="005D2361" w:rsidRPr="009565F9">
        <w:rPr>
          <w:rFonts w:ascii="Palatino Linotype" w:hAnsi="Palatino Linotype" w:cs="Arial"/>
          <w:b/>
        </w:rPr>
        <w:t xml:space="preserve"> </w:t>
      </w:r>
      <w:r w:rsidRPr="009565F9">
        <w:rPr>
          <w:rFonts w:ascii="Palatino Linotype" w:hAnsi="Palatino Linotype" w:cs="Arial"/>
          <w:b/>
        </w:rPr>
        <w:t>L</w:t>
      </w:r>
      <w:r w:rsidR="005D2361" w:rsidRPr="009565F9">
        <w:rPr>
          <w:rFonts w:ascii="Palatino Linotype" w:hAnsi="Palatino Linotype" w:cs="Arial"/>
          <w:b/>
        </w:rPr>
        <w:t>A COMISIONADA</w:t>
      </w:r>
      <w:r w:rsidRPr="009565F9">
        <w:rPr>
          <w:rFonts w:ascii="Palatino Linotype" w:hAnsi="Palatino Linotype" w:cs="Arial"/>
          <w:b/>
        </w:rPr>
        <w:t xml:space="preserve"> </w:t>
      </w:r>
      <w:r w:rsidR="005D2361" w:rsidRPr="009565F9">
        <w:rPr>
          <w:rFonts w:ascii="Palatino Linotype" w:hAnsi="Palatino Linotype" w:cs="Arial"/>
          <w:b/>
        </w:rPr>
        <w:t>MARÍA DEL ROSARIO MEJÍA AYALA</w:t>
      </w:r>
      <w:r w:rsidRPr="009565F9">
        <w:rPr>
          <w:rFonts w:ascii="Palatino Linotype" w:hAnsi="Palatino Linotype" w:cs="Arial"/>
          <w:b/>
        </w:rPr>
        <w:t xml:space="preserve"> EN EL RECURSO DE REVISIÓN </w:t>
      </w:r>
      <w:r w:rsidR="00DF0CCA" w:rsidRPr="005F5C94">
        <w:rPr>
          <w:rFonts w:ascii="Palatino Linotype" w:hAnsi="Palatino Linotype" w:cs="Arial"/>
          <w:b/>
          <w:bCs/>
        </w:rPr>
        <w:t>05119/INFOEM/IP/RR/2021</w:t>
      </w:r>
      <w:r w:rsidR="00DF0CCA">
        <w:rPr>
          <w:rFonts w:ascii="Palatino Linotype" w:hAnsi="Palatino Linotype" w:cs="Arial"/>
          <w:b/>
          <w:bCs/>
        </w:rPr>
        <w:t>.</w:t>
      </w:r>
    </w:p>
    <w:p w14:paraId="508E2B42" w14:textId="77777777" w:rsidR="00DF0CCA" w:rsidRPr="009565F9" w:rsidRDefault="00DF0CCA" w:rsidP="003257F3">
      <w:pPr>
        <w:spacing w:line="360" w:lineRule="auto"/>
        <w:ind w:left="567"/>
        <w:jc w:val="both"/>
        <w:rPr>
          <w:rFonts w:ascii="Palatino Linotype" w:eastAsiaTheme="majorEastAsia" w:hAnsi="Palatino Linotype"/>
          <w:b/>
        </w:rPr>
      </w:pPr>
    </w:p>
    <w:p w14:paraId="1B1C76E1" w14:textId="195D2654" w:rsidR="002A6D0E" w:rsidRPr="00ED1CC8" w:rsidRDefault="0024476F" w:rsidP="002A6D0E">
      <w:pPr>
        <w:spacing w:line="360" w:lineRule="auto"/>
        <w:ind w:left="567"/>
        <w:jc w:val="both"/>
        <w:rPr>
          <w:rFonts w:ascii="Palatino Linotype" w:hAnsi="Palatino Linotype" w:cs="Arial"/>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sidR="00F77D6A">
        <w:rPr>
          <w:rFonts w:ascii="Palatino Linotype" w:hAnsi="Palatino Linotype" w:cs="Arial"/>
        </w:rPr>
        <w:t>,</w:t>
      </w:r>
      <w:r w:rsidRPr="0024476F">
        <w:rPr>
          <w:rFonts w:ascii="Palatino Linotype" w:hAnsi="Palatino Linotype" w:cs="Arial"/>
        </w:rPr>
        <w:t xml:space="preserve"> por no compartir en su totalidad las consideraciones</w:t>
      </w:r>
      <w:r w:rsidR="009C03BD">
        <w:rPr>
          <w:rFonts w:ascii="Palatino Linotype" w:hAnsi="Palatino Linotype" w:cs="Arial"/>
        </w:rPr>
        <w:t xml:space="preserve"> que sustentan la Resolución de</w:t>
      </w:r>
      <w:r w:rsidR="00676649">
        <w:rPr>
          <w:rFonts w:ascii="Palatino Linotype" w:hAnsi="Palatino Linotype" w:cs="Arial"/>
        </w:rPr>
        <w:t xml:space="preserve">l </w:t>
      </w:r>
      <w:r w:rsidRPr="0024476F">
        <w:rPr>
          <w:rFonts w:ascii="Palatino Linotype" w:hAnsi="Palatino Linotype" w:cs="Arial"/>
        </w:rPr>
        <w:t xml:space="preserve">Recurso de Revisión </w:t>
      </w:r>
      <w:bookmarkStart w:id="0" w:name="_Toc88136404"/>
      <w:r w:rsidR="00DF0CCA" w:rsidRPr="005F5C94">
        <w:rPr>
          <w:rFonts w:ascii="Palatino Linotype" w:hAnsi="Palatino Linotype" w:cs="Arial"/>
          <w:b/>
          <w:bCs/>
        </w:rPr>
        <w:t>05119/INFOEM/IP/RR/2021</w:t>
      </w:r>
      <w:r w:rsidR="002A6D0E">
        <w:rPr>
          <w:rFonts w:ascii="Palatino Linotype" w:hAnsi="Palatino Linotype" w:cs="Arial"/>
          <w:b/>
        </w:rPr>
        <w:t xml:space="preserve">, </w:t>
      </w:r>
      <w:r w:rsidRPr="0024476F">
        <w:rPr>
          <w:rFonts w:ascii="Palatino Linotype" w:hAnsi="Palatino Linotype" w:cs="Arial"/>
        </w:rPr>
        <w:t>promovido en contra de</w:t>
      </w:r>
      <w:r w:rsidR="003257F3">
        <w:rPr>
          <w:rFonts w:ascii="Palatino Linotype" w:hAnsi="Palatino Linotype" w:cs="Arial"/>
        </w:rPr>
        <w:t xml:space="preserve">l </w:t>
      </w:r>
      <w:r w:rsidR="00D83F3E">
        <w:rPr>
          <w:rFonts w:ascii="Palatino Linotype" w:hAnsi="Palatino Linotype" w:cs="Arial"/>
        </w:rPr>
        <w:t xml:space="preserve"> </w:t>
      </w:r>
      <w:r w:rsidR="00DF0CCA" w:rsidRPr="005F5C94">
        <w:rPr>
          <w:rFonts w:ascii="Palatino Linotype" w:hAnsi="Palatino Linotype"/>
          <w:b/>
          <w:bCs/>
        </w:rPr>
        <w:t>Ayuntamiento de Chiautla</w:t>
      </w:r>
      <w:r w:rsidRPr="0024476F">
        <w:rPr>
          <w:rFonts w:ascii="Palatino Linotype" w:hAnsi="Palatino Linotype" w:cs="Arial"/>
        </w:rPr>
        <w:t>, esto es</w:t>
      </w:r>
      <w:r w:rsidR="002A6D0E">
        <w:rPr>
          <w:rFonts w:ascii="Palatino Linotype" w:hAnsi="Palatino Linotype" w:cs="Arial"/>
        </w:rPr>
        <w:t xml:space="preserve"> al </w:t>
      </w:r>
      <w:r w:rsidR="002A6D0E" w:rsidRPr="00ED1CC8">
        <w:rPr>
          <w:rFonts w:ascii="Palatino Linotype" w:hAnsi="Palatino Linotype" w:cs="Arial"/>
        </w:rPr>
        <w:t>ordenar a entrega del soporte documental clasificando como confidencial el nombre y cargo de los procedimientos por faltas graves absolutorias y que hayan causado estado.</w:t>
      </w:r>
    </w:p>
    <w:p w14:paraId="42C4ECB6" w14:textId="4AD02E0A" w:rsidR="002A6D0E" w:rsidRDefault="002A6D0E" w:rsidP="002A6D0E">
      <w:pPr>
        <w:spacing w:before="240" w:after="240" w:line="360" w:lineRule="auto"/>
        <w:ind w:left="567" w:right="49"/>
        <w:jc w:val="both"/>
        <w:rPr>
          <w:rFonts w:ascii="Palatino Linotype" w:hAnsi="Palatino Linotype" w:cs="Arial"/>
        </w:rPr>
      </w:pPr>
      <w:r w:rsidRPr="002A6D0E">
        <w:rPr>
          <w:rFonts w:ascii="Palatino Linotype" w:hAnsi="Palatino Linotype" w:cs="Arial"/>
        </w:rPr>
        <w:t xml:space="preserve">El </w:t>
      </w:r>
      <w:r w:rsidR="00676649">
        <w:rPr>
          <w:rFonts w:ascii="Palatino Linotype" w:hAnsi="Palatino Linotype" w:cs="Arial"/>
        </w:rPr>
        <w:t>veintisiete de septiembre de dos mil veintiuno</w:t>
      </w:r>
      <w:r w:rsidRPr="002A6D0E">
        <w:rPr>
          <w:rFonts w:ascii="Palatino Linotype" w:hAnsi="Palatino Linotype" w:cs="Arial"/>
        </w:rPr>
        <w:t xml:space="preserve">, </w:t>
      </w:r>
      <w:r>
        <w:rPr>
          <w:rFonts w:ascii="Palatino Linotype" w:hAnsi="Palatino Linotype" w:cs="Arial"/>
        </w:rPr>
        <w:t xml:space="preserve">el solicitante presentó a través del Sistema de Acceso a la Información Mexiquense, </w:t>
      </w:r>
      <w:r w:rsidR="009C03BD">
        <w:rPr>
          <w:rFonts w:ascii="Palatino Linotype" w:hAnsi="Palatino Linotype" w:cs="Arial"/>
        </w:rPr>
        <w:t>(</w:t>
      </w:r>
      <w:r>
        <w:rPr>
          <w:rFonts w:ascii="Palatino Linotype" w:hAnsi="Palatino Linotype" w:cs="Arial"/>
          <w:b/>
        </w:rPr>
        <w:t>SAIMEX</w:t>
      </w:r>
      <w:r w:rsidR="009C03BD">
        <w:rPr>
          <w:rFonts w:ascii="Palatino Linotype" w:hAnsi="Palatino Linotype" w:cs="Arial"/>
          <w:b/>
        </w:rPr>
        <w:t xml:space="preserve">) </w:t>
      </w:r>
      <w:r>
        <w:rPr>
          <w:rFonts w:ascii="Palatino Linotype" w:hAnsi="Palatino Linotype" w:cs="Arial"/>
        </w:rPr>
        <w:t xml:space="preserve"> ante el </w:t>
      </w:r>
      <w:r>
        <w:rPr>
          <w:rFonts w:ascii="Palatino Linotype" w:hAnsi="Palatino Linotype" w:cs="Arial"/>
          <w:b/>
        </w:rPr>
        <w:t>Sujeto Obligado</w:t>
      </w:r>
      <w:r>
        <w:rPr>
          <w:rFonts w:ascii="Palatino Linotype" w:hAnsi="Palatino Linotype" w:cs="Arial"/>
        </w:rPr>
        <w:t>, la</w:t>
      </w:r>
      <w:r w:rsidR="00676649">
        <w:rPr>
          <w:rFonts w:ascii="Palatino Linotype" w:hAnsi="Palatino Linotype" w:cs="Arial"/>
        </w:rPr>
        <w:t xml:space="preserve"> solicitud</w:t>
      </w:r>
      <w:r>
        <w:rPr>
          <w:rFonts w:ascii="Palatino Linotype" w:hAnsi="Palatino Linotype" w:cs="Arial"/>
        </w:rPr>
        <w:t xml:space="preserve"> de acceso a la información pública, a la que se le asign</w:t>
      </w:r>
      <w:r w:rsidR="00676649">
        <w:rPr>
          <w:rFonts w:ascii="Palatino Linotype" w:hAnsi="Palatino Linotype" w:cs="Arial"/>
        </w:rPr>
        <w:t xml:space="preserve">ó el </w:t>
      </w:r>
      <w:r>
        <w:rPr>
          <w:rFonts w:ascii="Palatino Linotype" w:hAnsi="Palatino Linotype" w:cs="Arial"/>
        </w:rPr>
        <w:t xml:space="preserve"> número</w:t>
      </w:r>
      <w:r>
        <w:rPr>
          <w:rFonts w:ascii="Palatino Linotype" w:hAnsi="Palatino Linotype" w:cs="Arial"/>
          <w:b/>
          <w:bCs/>
        </w:rPr>
        <w:t xml:space="preserve"> de folio </w:t>
      </w:r>
      <w:r w:rsidR="00676649">
        <w:rPr>
          <w:rFonts w:ascii="Palatino Linotype" w:hAnsi="Palatino Linotype" w:cs="Arial"/>
          <w:b/>
          <w:bCs/>
        </w:rPr>
        <w:t>00127/CHIAUTLA/IP/2021</w:t>
      </w:r>
      <w:r>
        <w:rPr>
          <w:rFonts w:ascii="Palatino Linotype" w:hAnsi="Palatino Linotype"/>
          <w:b/>
          <w:bCs/>
        </w:rPr>
        <w:t>,</w:t>
      </w:r>
      <w:r>
        <w:rPr>
          <w:rFonts w:ascii="Palatino Linotype" w:hAnsi="Palatino Linotype" w:cs="Arial"/>
          <w:b/>
        </w:rPr>
        <w:t xml:space="preserve"> </w:t>
      </w:r>
      <w:r>
        <w:rPr>
          <w:rFonts w:ascii="Palatino Linotype" w:hAnsi="Palatino Linotype" w:cs="Arial"/>
        </w:rPr>
        <w:t xml:space="preserve">mediante la cual requirió la información siguiente: </w:t>
      </w:r>
    </w:p>
    <w:p w14:paraId="5BD78010" w14:textId="77777777" w:rsidR="00676649" w:rsidRPr="005F5C94" w:rsidRDefault="00676649" w:rsidP="00676649">
      <w:pPr>
        <w:ind w:left="851" w:right="851"/>
        <w:jc w:val="both"/>
        <w:rPr>
          <w:rFonts w:ascii="Palatino Linotype" w:hAnsi="Palatino Linotype"/>
          <w:i/>
          <w:sz w:val="22"/>
          <w:szCs w:val="22"/>
        </w:rPr>
      </w:pPr>
      <w:r w:rsidRPr="005F5C94">
        <w:rPr>
          <w:rFonts w:ascii="Palatino Linotype" w:eastAsia="Palatino Linotype" w:hAnsi="Palatino Linotype" w:cs="Palatino Linotype"/>
          <w:i/>
          <w:sz w:val="22"/>
          <w:szCs w:val="22"/>
        </w:rPr>
        <w:t xml:space="preserve">“solicito las </w:t>
      </w:r>
      <w:r w:rsidRPr="005F5C94">
        <w:rPr>
          <w:rFonts w:ascii="Palatino Linotype" w:eastAsia="Palatino Linotype" w:hAnsi="Palatino Linotype" w:cs="Palatino Linotype"/>
          <w:b/>
          <w:i/>
          <w:sz w:val="22"/>
          <w:szCs w:val="22"/>
          <w:u w:val="single"/>
        </w:rPr>
        <w:t>acciones que a realizado el órgano de control</w:t>
      </w:r>
      <w:r w:rsidRPr="005F5C94">
        <w:rPr>
          <w:rFonts w:ascii="Palatino Linotype" w:eastAsia="Palatino Linotype" w:hAnsi="Palatino Linotype" w:cs="Palatino Linotype"/>
          <w:i/>
          <w:sz w:val="22"/>
          <w:szCs w:val="22"/>
        </w:rPr>
        <w:t xml:space="preserve"> o similar </w:t>
      </w:r>
      <w:r w:rsidRPr="005F5C94">
        <w:rPr>
          <w:rFonts w:ascii="Palatino Linotype" w:eastAsia="Palatino Linotype" w:hAnsi="Palatino Linotype" w:cs="Palatino Linotype"/>
          <w:b/>
          <w:i/>
          <w:sz w:val="22"/>
          <w:szCs w:val="22"/>
          <w:u w:val="single"/>
        </w:rPr>
        <w:t xml:space="preserve">respecto de la falta de certificación </w:t>
      </w:r>
      <w:r w:rsidRPr="005F5C94">
        <w:rPr>
          <w:rFonts w:ascii="Palatino Linotype" w:eastAsia="Palatino Linotype" w:hAnsi="Palatino Linotype" w:cs="Palatino Linotype"/>
          <w:i/>
          <w:sz w:val="22"/>
          <w:szCs w:val="22"/>
        </w:rPr>
        <w:t xml:space="preserve">de competencia laboral </w:t>
      </w:r>
      <w:r w:rsidRPr="005F5C94">
        <w:rPr>
          <w:rFonts w:ascii="Palatino Linotype" w:eastAsia="Palatino Linotype" w:hAnsi="Palatino Linotype" w:cs="Palatino Linotype"/>
          <w:b/>
          <w:i/>
          <w:sz w:val="22"/>
          <w:szCs w:val="22"/>
          <w:u w:val="single"/>
        </w:rPr>
        <w:t>de los titulares de obras publicas, tesorería, secretaria del ayuntamiento, transparencia</w:t>
      </w:r>
      <w:r w:rsidRPr="005F5C94">
        <w:rPr>
          <w:rFonts w:ascii="Palatino Linotype" w:eastAsia="Palatino Linotype" w:hAnsi="Palatino Linotype" w:cs="Palatino Linotype"/>
          <w:i/>
          <w:sz w:val="22"/>
          <w:szCs w:val="22"/>
        </w:rPr>
        <w:t>.” (Sic</w:t>
      </w:r>
      <w:r w:rsidRPr="005F5C94">
        <w:rPr>
          <w:rFonts w:ascii="Palatino Linotype" w:hAnsi="Palatino Linotype"/>
          <w:i/>
          <w:sz w:val="22"/>
          <w:szCs w:val="22"/>
        </w:rPr>
        <w:t>)</w:t>
      </w:r>
    </w:p>
    <w:p w14:paraId="2F83244E" w14:textId="77777777" w:rsidR="00676649" w:rsidRDefault="00676649" w:rsidP="002A6D0E">
      <w:pPr>
        <w:spacing w:before="240" w:after="240" w:line="360" w:lineRule="auto"/>
        <w:ind w:left="567" w:right="49"/>
        <w:jc w:val="both"/>
        <w:rPr>
          <w:rFonts w:ascii="Palatino Linotype" w:hAnsi="Palatino Linotype"/>
          <w:szCs w:val="32"/>
        </w:rPr>
      </w:pPr>
    </w:p>
    <w:p w14:paraId="551482AD" w14:textId="77777777" w:rsidR="00676649" w:rsidRDefault="00676649" w:rsidP="002A6D0E">
      <w:pPr>
        <w:spacing w:before="240" w:after="240" w:line="360" w:lineRule="auto"/>
        <w:ind w:left="567" w:right="49"/>
        <w:jc w:val="both"/>
        <w:rPr>
          <w:rFonts w:ascii="Palatino Linotype" w:hAnsi="Palatino Linotype"/>
          <w:szCs w:val="32"/>
        </w:rPr>
      </w:pPr>
    </w:p>
    <w:p w14:paraId="1E243C68" w14:textId="77777777" w:rsidR="00676649" w:rsidRDefault="00676649" w:rsidP="00676649">
      <w:pPr>
        <w:spacing w:line="360" w:lineRule="auto"/>
        <w:ind w:left="567"/>
        <w:jc w:val="both"/>
        <w:rPr>
          <w:rFonts w:ascii="Palatino Linotype" w:hAnsi="Palatino Linotype"/>
          <w:lang w:val="es-MX"/>
        </w:rPr>
      </w:pPr>
      <w:r>
        <w:rPr>
          <w:rFonts w:ascii="Palatino Linotype" w:hAnsi="Palatino Linotype"/>
          <w:szCs w:val="32"/>
        </w:rPr>
        <w:lastRenderedPageBreak/>
        <w:t>E</w:t>
      </w:r>
      <w:r w:rsidR="002A6D0E">
        <w:rPr>
          <w:rFonts w:ascii="Palatino Linotype" w:hAnsi="Palatino Linotype"/>
          <w:szCs w:val="32"/>
        </w:rPr>
        <w:t xml:space="preserve">l Sujeto Obligado </w:t>
      </w:r>
      <w:r>
        <w:rPr>
          <w:rFonts w:ascii="Palatino Linotype" w:hAnsi="Palatino Linotype"/>
        </w:rPr>
        <w:t xml:space="preserve">emitió respuesta a la solicitud de acceso a la información a través del SAIMEX, sustancialmente en los términos siguientes: </w:t>
      </w:r>
    </w:p>
    <w:p w14:paraId="6F2E24EA" w14:textId="77777777" w:rsidR="00676649" w:rsidRDefault="00676649" w:rsidP="00676649">
      <w:pPr>
        <w:ind w:left="851" w:right="900"/>
        <w:jc w:val="both"/>
        <w:rPr>
          <w:rFonts w:ascii="Palatino Linotype" w:eastAsia="Palatino Linotype" w:hAnsi="Palatino Linotype" w:cs="Palatino Linotype"/>
          <w:b/>
          <w:bCs/>
          <w:i/>
          <w:sz w:val="22"/>
          <w:szCs w:val="22"/>
        </w:rPr>
      </w:pPr>
    </w:p>
    <w:p w14:paraId="584B1B9E" w14:textId="77777777" w:rsidR="00676649" w:rsidRDefault="00676649" w:rsidP="00676649">
      <w:pPr>
        <w:ind w:left="851" w:right="900"/>
        <w:jc w:val="both"/>
        <w:rPr>
          <w:rFonts w:ascii="Palatino Linotype" w:hAnsi="Palatino Linotype" w:cs="Arial"/>
          <w:i/>
          <w:sz w:val="22"/>
          <w:szCs w:val="22"/>
        </w:rPr>
      </w:pPr>
      <w:r>
        <w:rPr>
          <w:rFonts w:ascii="Palatino Linotype" w:hAnsi="Palatino Linotype" w:cs="Arial"/>
          <w:i/>
          <w:sz w:val="22"/>
          <w:szCs w:val="22"/>
        </w:rPr>
        <w:t xml:space="preserve"> “En respuesta a la solicitud recibida, nos permitimos hacer de su conocimiento que con fundamento en el artículo 53, Fracciones: II, V y VI de la Ley de Transparencia y Acceso a la Información Pública del Estado de México y Municipios, le contestamos que: Con fundamento en el artículo 53 fracción II de la Ley de Transparencia y Acceso a la Información Pública del Estado de México y Municipios, </w:t>
      </w:r>
      <w:r>
        <w:rPr>
          <w:rFonts w:ascii="Palatino Linotype" w:hAnsi="Palatino Linotype" w:cs="Arial"/>
          <w:b/>
          <w:i/>
          <w:sz w:val="22"/>
          <w:szCs w:val="22"/>
          <w:u w:val="single"/>
        </w:rPr>
        <w:t>se adjunta la respuesta a su solicitud de información pública</w:t>
      </w:r>
      <w:r>
        <w:rPr>
          <w:rFonts w:ascii="Palatino Linotype" w:hAnsi="Palatino Linotype" w:cs="Arial"/>
          <w:i/>
          <w:sz w:val="22"/>
          <w:szCs w:val="22"/>
        </w:rPr>
        <w:t xml:space="preserve">. ATENTAMENTE Lic. en D. Roberto García Juárez” (Sic) </w:t>
      </w:r>
    </w:p>
    <w:p w14:paraId="546F6AEB" w14:textId="77777777" w:rsidR="00676649" w:rsidRDefault="00676649" w:rsidP="00676649">
      <w:pPr>
        <w:ind w:left="851" w:right="900"/>
        <w:jc w:val="both"/>
        <w:rPr>
          <w:rFonts w:ascii="Palatino Linotype" w:hAnsi="Palatino Linotype" w:cs="Arial"/>
          <w:i/>
          <w:sz w:val="22"/>
          <w:szCs w:val="22"/>
        </w:rPr>
      </w:pPr>
    </w:p>
    <w:p w14:paraId="286463BD" w14:textId="5E57A4C9" w:rsidR="00FB6B77" w:rsidRPr="005F5C94" w:rsidRDefault="00FB6B77" w:rsidP="00FB6B77">
      <w:pPr>
        <w:spacing w:before="240" w:after="240" w:line="360" w:lineRule="auto"/>
        <w:ind w:left="567"/>
        <w:jc w:val="both"/>
        <w:rPr>
          <w:rFonts w:ascii="Palatino Linotype" w:hAnsi="Palatino Linotype" w:cs="Arial"/>
          <w:szCs w:val="28"/>
        </w:rPr>
      </w:pPr>
      <w:r>
        <w:rPr>
          <w:rFonts w:ascii="Palatino Linotype" w:hAnsi="Palatino Linotype" w:cs="Arial"/>
          <w:szCs w:val="28"/>
        </w:rPr>
        <w:t>E</w:t>
      </w:r>
      <w:r w:rsidRPr="005F5C94">
        <w:rPr>
          <w:rFonts w:ascii="Palatino Linotype" w:hAnsi="Palatino Linotype" w:cs="Arial"/>
          <w:szCs w:val="28"/>
        </w:rPr>
        <w:t>l Sujeto Obligado adjunto los archivos electrónicos cuyo contenido se detalla a continuación:</w:t>
      </w:r>
    </w:p>
    <w:p w14:paraId="2E5322C0" w14:textId="77777777" w:rsidR="00FB6B77" w:rsidRPr="005F5C94" w:rsidRDefault="00FB6B77" w:rsidP="00FB6B77">
      <w:pPr>
        <w:pStyle w:val="Prrafodelista"/>
        <w:numPr>
          <w:ilvl w:val="0"/>
          <w:numId w:val="22"/>
        </w:numPr>
        <w:spacing w:before="240" w:after="240" w:line="360" w:lineRule="auto"/>
        <w:ind w:left="1134"/>
        <w:jc w:val="both"/>
        <w:rPr>
          <w:rFonts w:ascii="Palatino Linotype" w:hAnsi="Palatino Linotype" w:cs="Arial"/>
          <w:b/>
        </w:rPr>
      </w:pPr>
      <w:r w:rsidRPr="005F5C94">
        <w:rPr>
          <w:rFonts w:ascii="Palatino Linotype" w:hAnsi="Palatino Linotype" w:cs="Arial"/>
        </w:rPr>
        <w:t>Archivo “</w:t>
      </w:r>
      <w:hyperlink r:id="rId8" w:tgtFrame="_blank" w:history="1">
        <w:r w:rsidRPr="005F5C94">
          <w:rPr>
            <w:rStyle w:val="Hipervnculo"/>
            <w:rFonts w:ascii="Palatino Linotype" w:hAnsi="Palatino Linotype" w:cs="Arial"/>
            <w:b/>
            <w:bCs/>
            <w:color w:val="67C19D"/>
          </w:rPr>
          <w:t>RESPUESTA_A_SOLICITUD_00127.pdf..pdf</w:t>
        </w:r>
      </w:hyperlink>
      <w:r w:rsidRPr="005F5C94">
        <w:rPr>
          <w:rFonts w:ascii="Palatino Linotype" w:hAnsi="Palatino Linotype" w:cs="Arial"/>
        </w:rPr>
        <w:t>”: contiene el oficio de UTAIP/15/10/2021/424 de fecha 15 de octubre de 2021 por medio del cual el Titular de la Unidad de Transparencia informa al solicitante que le remite los archivos electrónicos del servidor público habilitado (Contralor Interno), con los cuales da respuesta a la solicitud de información.</w:t>
      </w:r>
    </w:p>
    <w:p w14:paraId="4668F877" w14:textId="77777777" w:rsidR="00FB6B77" w:rsidRPr="00FB6B77" w:rsidRDefault="00FB6B77" w:rsidP="00FB6B77">
      <w:pPr>
        <w:pStyle w:val="Prrafodelista"/>
        <w:numPr>
          <w:ilvl w:val="0"/>
          <w:numId w:val="22"/>
        </w:numPr>
        <w:spacing w:before="240" w:after="240" w:line="360" w:lineRule="auto"/>
        <w:ind w:left="1134"/>
        <w:jc w:val="both"/>
        <w:rPr>
          <w:rFonts w:ascii="Palatino Linotype" w:hAnsi="Palatino Linotype" w:cs="Arial"/>
          <w:b/>
        </w:rPr>
      </w:pPr>
      <w:r w:rsidRPr="005F5C94">
        <w:rPr>
          <w:rFonts w:ascii="Palatino Linotype" w:hAnsi="Palatino Linotype" w:cs="Arial"/>
        </w:rPr>
        <w:t>Archivo “</w:t>
      </w:r>
      <w:hyperlink r:id="rId9" w:tgtFrame="_blank" w:history="1">
        <w:r w:rsidRPr="005F5C94">
          <w:rPr>
            <w:rStyle w:val="Hipervnculo"/>
            <w:rFonts w:ascii="Palatino Linotype" w:hAnsi="Palatino Linotype" w:cs="Arial"/>
            <w:b/>
            <w:bCs/>
            <w:color w:val="67C19D"/>
          </w:rPr>
          <w:t>RESPUESTA_CONTRALOR_MUNICIPAL_00127.pdf..pdf</w:t>
        </w:r>
      </w:hyperlink>
      <w:r w:rsidRPr="005F5C94">
        <w:rPr>
          <w:rFonts w:ascii="Palatino Linotype" w:hAnsi="Palatino Linotype" w:cs="Arial"/>
        </w:rPr>
        <w:t>”: contiene el oficio CIM/CHI/422/2021 de fecha 04 de octubre de 2021 a través del cual el Contralor Interno Municipal refiere que se han enviado diversos oficios al área competente, haciéndose las recomendaciones consistentes en que toda contratación debe ser en estricto apego a las leyes aplicables y al Código de Ética del servidor público contenido en la Gaceta Municipal número 12 de fecha 19 de septiembre de 2019.</w:t>
      </w:r>
    </w:p>
    <w:p w14:paraId="35E78AD6" w14:textId="77777777" w:rsidR="00FB6B77" w:rsidRPr="005F5C94" w:rsidRDefault="00FB6B77" w:rsidP="00FB6B77">
      <w:pPr>
        <w:pStyle w:val="Prrafodelista"/>
        <w:numPr>
          <w:ilvl w:val="0"/>
          <w:numId w:val="22"/>
        </w:numPr>
        <w:spacing w:before="240" w:after="240" w:line="360" w:lineRule="auto"/>
        <w:ind w:left="1134"/>
        <w:jc w:val="both"/>
        <w:rPr>
          <w:rFonts w:ascii="Palatino Linotype" w:hAnsi="Palatino Linotype" w:cs="Arial"/>
          <w:b/>
        </w:rPr>
      </w:pPr>
    </w:p>
    <w:p w14:paraId="4410C978" w14:textId="77777777" w:rsidR="00FB6B77" w:rsidRPr="005F5C94" w:rsidRDefault="00FB6B77" w:rsidP="00FB6B77">
      <w:pPr>
        <w:pStyle w:val="Prrafodelista"/>
        <w:spacing w:before="240" w:after="240" w:line="360" w:lineRule="auto"/>
        <w:ind w:left="1134"/>
        <w:jc w:val="both"/>
        <w:rPr>
          <w:rFonts w:ascii="Palatino Linotype" w:hAnsi="Palatino Linotype" w:cs="Arial"/>
          <w:b/>
        </w:rPr>
      </w:pPr>
      <w:r w:rsidRPr="005F5C94">
        <w:rPr>
          <w:rFonts w:ascii="Palatino Linotype" w:hAnsi="Palatino Linotype" w:cs="Arial"/>
        </w:rPr>
        <w:lastRenderedPageBreak/>
        <w:t xml:space="preserve">Agregando que se </w:t>
      </w:r>
      <w:r w:rsidRPr="00FB6B77">
        <w:rPr>
          <w:rFonts w:ascii="Palatino Linotype" w:hAnsi="Palatino Linotype" w:cs="Arial"/>
          <w:b/>
        </w:rPr>
        <w:t>han destituido a los servidores públicos que no cuentan con el perfil adecuado para ocupar algún cargo público</w:t>
      </w:r>
      <w:r w:rsidRPr="005F5C94">
        <w:rPr>
          <w:rFonts w:ascii="Palatino Linotype" w:hAnsi="Palatino Linotype" w:cs="Arial"/>
        </w:rPr>
        <w:t>.</w:t>
      </w:r>
    </w:p>
    <w:p w14:paraId="3530B389" w14:textId="77777777" w:rsidR="00FB6B77" w:rsidRDefault="00FB6B77" w:rsidP="00676649">
      <w:pPr>
        <w:spacing w:line="360" w:lineRule="auto"/>
        <w:ind w:left="567"/>
        <w:jc w:val="both"/>
        <w:rPr>
          <w:rFonts w:ascii="Palatino Linotype" w:hAnsi="Palatino Linotype"/>
          <w:szCs w:val="32"/>
        </w:rPr>
      </w:pPr>
    </w:p>
    <w:p w14:paraId="01E687BA" w14:textId="0644F39D" w:rsidR="00676649" w:rsidRDefault="00676649" w:rsidP="00676649">
      <w:pPr>
        <w:spacing w:line="360" w:lineRule="auto"/>
        <w:ind w:left="567"/>
        <w:jc w:val="both"/>
        <w:rPr>
          <w:rFonts w:ascii="Palatino Linotype" w:hAnsi="Palatino Linotype"/>
          <w:szCs w:val="32"/>
        </w:rPr>
      </w:pPr>
      <w:r w:rsidRPr="00676649">
        <w:rPr>
          <w:rFonts w:ascii="Palatino Linotype" w:hAnsi="Palatino Linotype"/>
          <w:szCs w:val="32"/>
        </w:rPr>
        <w:t>Inconforme el solicitante con la respuesta del Sujeto Obligado interpuso el recurso de revisión a través del SAIMEX el dieciocho de octubre de dos mil veintiuno,</w:t>
      </w:r>
      <w:r>
        <w:rPr>
          <w:rFonts w:ascii="Palatino Linotype" w:hAnsi="Palatino Linotype"/>
          <w:szCs w:val="32"/>
        </w:rPr>
        <w:t xml:space="preserve"> expresando como r</w:t>
      </w:r>
      <w:r w:rsidRPr="00676649">
        <w:rPr>
          <w:rFonts w:ascii="Palatino Linotype" w:hAnsi="Palatino Linotype"/>
          <w:szCs w:val="32"/>
        </w:rPr>
        <w:t xml:space="preserve">azones o </w:t>
      </w:r>
      <w:r>
        <w:rPr>
          <w:rFonts w:ascii="Palatino Linotype" w:hAnsi="Palatino Linotype"/>
          <w:szCs w:val="32"/>
        </w:rPr>
        <w:t>m</w:t>
      </w:r>
      <w:r w:rsidRPr="00676649">
        <w:rPr>
          <w:rFonts w:ascii="Palatino Linotype" w:hAnsi="Palatino Linotype"/>
          <w:szCs w:val="32"/>
        </w:rPr>
        <w:t>otivos de inconformidad que se han girado oficios, mismos que no se anexa</w:t>
      </w:r>
      <w:r w:rsidR="00FB6B77">
        <w:rPr>
          <w:rFonts w:ascii="Palatino Linotype" w:hAnsi="Palatino Linotype"/>
          <w:szCs w:val="32"/>
        </w:rPr>
        <w:t>ro</w:t>
      </w:r>
      <w:r w:rsidRPr="00676649">
        <w:rPr>
          <w:rFonts w:ascii="Palatino Linotype" w:hAnsi="Palatino Linotype"/>
          <w:szCs w:val="32"/>
        </w:rPr>
        <w:t>n</w:t>
      </w:r>
      <w:r>
        <w:rPr>
          <w:rFonts w:ascii="Palatino Linotype" w:hAnsi="Palatino Linotype"/>
          <w:szCs w:val="32"/>
        </w:rPr>
        <w:t>.</w:t>
      </w:r>
    </w:p>
    <w:p w14:paraId="5B625CED" w14:textId="77777777" w:rsidR="00676649" w:rsidRPr="00676649" w:rsidRDefault="00676649" w:rsidP="00676649">
      <w:pPr>
        <w:spacing w:line="360" w:lineRule="auto"/>
        <w:ind w:left="567"/>
        <w:jc w:val="both"/>
        <w:rPr>
          <w:rFonts w:ascii="Palatino Linotype" w:hAnsi="Palatino Linotype"/>
          <w:szCs w:val="32"/>
        </w:rPr>
      </w:pPr>
    </w:p>
    <w:p w14:paraId="132A3EA4" w14:textId="5769B4FE" w:rsidR="00387059" w:rsidRPr="009C03BD" w:rsidRDefault="0024476F" w:rsidP="009C03BD">
      <w:pPr>
        <w:pStyle w:val="Prrafodelista"/>
        <w:spacing w:before="240" w:after="240" w:line="360" w:lineRule="auto"/>
        <w:ind w:left="567" w:right="49"/>
        <w:jc w:val="both"/>
        <w:rPr>
          <w:rFonts w:ascii="Palatino Linotype" w:eastAsia="Times New Roman" w:hAnsi="Palatino Linotype" w:cs="Times New Roman"/>
          <w:sz w:val="24"/>
          <w:szCs w:val="32"/>
          <w:lang w:val="es-ES" w:eastAsia="es-ES"/>
        </w:rPr>
      </w:pPr>
      <w:r w:rsidRPr="009C03BD">
        <w:rPr>
          <w:rFonts w:ascii="Palatino Linotype" w:eastAsia="Times New Roman" w:hAnsi="Palatino Linotype" w:cs="Times New Roman"/>
          <w:sz w:val="24"/>
          <w:szCs w:val="32"/>
          <w:lang w:val="es-ES" w:eastAsia="es-ES"/>
        </w:rPr>
        <w:t>Por lo que previa sustanciación del recurso, se determinó ordenar la entrega, de lo siguiente:</w:t>
      </w:r>
    </w:p>
    <w:p w14:paraId="7C933516" w14:textId="77777777" w:rsidR="00387059" w:rsidRPr="009C03BD" w:rsidRDefault="00387059" w:rsidP="009C03BD">
      <w:pPr>
        <w:pStyle w:val="Prrafodelista"/>
        <w:spacing w:before="240" w:after="240" w:line="360" w:lineRule="auto"/>
        <w:ind w:left="567" w:right="49"/>
        <w:jc w:val="both"/>
        <w:rPr>
          <w:rFonts w:ascii="Palatino Linotype" w:eastAsia="Times New Roman" w:hAnsi="Palatino Linotype" w:cs="Times New Roman"/>
          <w:sz w:val="24"/>
          <w:szCs w:val="32"/>
          <w:lang w:val="es-ES" w:eastAsia="es-ES"/>
        </w:rPr>
      </w:pPr>
    </w:p>
    <w:p w14:paraId="248AAF7D" w14:textId="77777777" w:rsidR="00676649" w:rsidRPr="005F5C94" w:rsidRDefault="00676649" w:rsidP="00676649">
      <w:pPr>
        <w:spacing w:before="240" w:after="240" w:line="360" w:lineRule="auto"/>
        <w:ind w:left="567"/>
        <w:jc w:val="both"/>
        <w:rPr>
          <w:rFonts w:ascii="Palatino Linotype" w:hAnsi="Palatino Linotype"/>
          <w:sz w:val="23"/>
          <w:szCs w:val="23"/>
          <w:lang w:eastAsia="en-US"/>
        </w:rPr>
      </w:pPr>
      <w:r w:rsidRPr="005F5C94">
        <w:rPr>
          <w:rFonts w:ascii="Palatino Linotype" w:hAnsi="Palatino Linotype"/>
          <w:b/>
        </w:rPr>
        <w:t xml:space="preserve">ORDENA </w:t>
      </w:r>
      <w:r w:rsidRPr="005F5C94">
        <w:rPr>
          <w:rFonts w:ascii="Palatino Linotype" w:hAnsi="Palatino Linotype"/>
        </w:rPr>
        <w:t xml:space="preserve">al </w:t>
      </w:r>
      <w:r w:rsidRPr="005F5C94">
        <w:rPr>
          <w:rFonts w:ascii="Palatino Linotype" w:hAnsi="Palatino Linotype"/>
          <w:b/>
        </w:rPr>
        <w:t>Sujeto Obligado</w:t>
      </w:r>
      <w:r w:rsidRPr="005F5C94">
        <w:rPr>
          <w:rFonts w:ascii="Palatino Linotype" w:hAnsi="Palatino Linotype"/>
        </w:rPr>
        <w:t xml:space="preserve"> en términos de los Considerandos  Cuarto y Quinto, </w:t>
      </w:r>
      <w:r w:rsidRPr="005F5C94">
        <w:rPr>
          <w:rFonts w:ascii="Palatino Linotype" w:hAnsi="Palatino Linotype" w:cs="Arial"/>
        </w:rPr>
        <w:t>haga entrega en versión pública</w:t>
      </w:r>
      <w:r>
        <w:rPr>
          <w:rFonts w:ascii="Palatino Linotype" w:hAnsi="Palatino Linotype" w:cs="Arial"/>
        </w:rPr>
        <w:t xml:space="preserve"> de ser el caso</w:t>
      </w:r>
      <w:r w:rsidRPr="005F5C94">
        <w:rPr>
          <w:rFonts w:ascii="Palatino Linotype" w:hAnsi="Palatino Linotype" w:cs="Arial"/>
        </w:rPr>
        <w:t xml:space="preserve">, a través del SAIMEX, </w:t>
      </w:r>
      <w:r w:rsidRPr="005F5C94">
        <w:rPr>
          <w:rFonts w:ascii="Palatino Linotype" w:hAnsi="Palatino Linotype"/>
        </w:rPr>
        <w:t>de lo siguiente:</w:t>
      </w:r>
    </w:p>
    <w:p w14:paraId="777B22B4" w14:textId="1BB7D5D9" w:rsidR="00676649" w:rsidRPr="005F5C94" w:rsidRDefault="00676649" w:rsidP="00676649">
      <w:pPr>
        <w:spacing w:before="240" w:after="240" w:line="360" w:lineRule="auto"/>
        <w:ind w:left="1276"/>
        <w:jc w:val="both"/>
        <w:rPr>
          <w:rFonts w:ascii="Palatino Linotype" w:hAnsi="Palatino Linotype" w:cs="Arial"/>
          <w:bCs/>
          <w:sz w:val="22"/>
          <w:szCs w:val="22"/>
          <w:lang w:eastAsia="en-US"/>
        </w:rPr>
      </w:pPr>
      <w:r>
        <w:rPr>
          <w:rFonts w:ascii="Palatino Linotype" w:hAnsi="Palatino Linotype" w:cs="Arial"/>
          <w:iCs/>
          <w:sz w:val="23"/>
          <w:szCs w:val="23"/>
        </w:rPr>
        <w:t xml:space="preserve">1.- </w:t>
      </w:r>
      <w:r w:rsidRPr="005F5C94">
        <w:rPr>
          <w:rFonts w:ascii="Palatino Linotype" w:hAnsi="Palatino Linotype" w:cs="Arial"/>
          <w:iCs/>
          <w:sz w:val="23"/>
          <w:szCs w:val="23"/>
        </w:rPr>
        <w:t xml:space="preserve">Los </w:t>
      </w:r>
      <w:r>
        <w:rPr>
          <w:rFonts w:ascii="Palatino Linotype" w:hAnsi="Palatino Linotype" w:cs="Arial"/>
          <w:iCs/>
          <w:sz w:val="23"/>
          <w:szCs w:val="23"/>
        </w:rPr>
        <w:t xml:space="preserve">documentos donde consten </w:t>
      </w:r>
      <w:r w:rsidRPr="005C1FE9">
        <w:rPr>
          <w:rFonts w:ascii="Palatino Linotype" w:hAnsi="Palatino Linotype" w:cs="Arial"/>
          <w:iCs/>
        </w:rPr>
        <w:t>l</w:t>
      </w:r>
      <w:r w:rsidRPr="005C1FE9">
        <w:rPr>
          <w:rFonts w:ascii="Palatino Linotype" w:hAnsi="Palatino Linotype"/>
          <w:color w:val="000000"/>
        </w:rPr>
        <w:t xml:space="preserve">as acciones que </w:t>
      </w:r>
      <w:r>
        <w:rPr>
          <w:rFonts w:ascii="Palatino Linotype" w:hAnsi="Palatino Linotype"/>
          <w:color w:val="000000"/>
        </w:rPr>
        <w:t>r</w:t>
      </w:r>
      <w:r w:rsidRPr="005C1FE9">
        <w:rPr>
          <w:rFonts w:ascii="Palatino Linotype" w:hAnsi="Palatino Linotype"/>
          <w:color w:val="000000"/>
        </w:rPr>
        <w:t>ealiza</w:t>
      </w:r>
      <w:r>
        <w:rPr>
          <w:rFonts w:ascii="Palatino Linotype" w:hAnsi="Palatino Linotype"/>
          <w:color w:val="000000"/>
        </w:rPr>
        <w:t>s por</w:t>
      </w:r>
      <w:r w:rsidRPr="005C1FE9">
        <w:rPr>
          <w:rFonts w:ascii="Palatino Linotype" w:hAnsi="Palatino Linotype"/>
          <w:color w:val="000000"/>
        </w:rPr>
        <w:t xml:space="preserve"> el </w:t>
      </w:r>
      <w:r>
        <w:rPr>
          <w:rFonts w:ascii="Palatino Linotype" w:hAnsi="Palatino Linotype"/>
          <w:color w:val="000000"/>
        </w:rPr>
        <w:t>Ó</w:t>
      </w:r>
      <w:r w:rsidRPr="005C1FE9">
        <w:rPr>
          <w:rFonts w:ascii="Palatino Linotype" w:hAnsi="Palatino Linotype"/>
          <w:color w:val="000000"/>
        </w:rPr>
        <w:t xml:space="preserve">rgano de </w:t>
      </w:r>
      <w:r>
        <w:rPr>
          <w:rFonts w:ascii="Palatino Linotype" w:hAnsi="Palatino Linotype"/>
          <w:color w:val="000000"/>
        </w:rPr>
        <w:t>C</w:t>
      </w:r>
      <w:r w:rsidRPr="005C1FE9">
        <w:rPr>
          <w:rFonts w:ascii="Palatino Linotype" w:hAnsi="Palatino Linotype"/>
          <w:color w:val="000000"/>
        </w:rPr>
        <w:t>ontrol o similar</w:t>
      </w:r>
      <w:r>
        <w:rPr>
          <w:rFonts w:ascii="Palatino Linotype" w:hAnsi="Palatino Linotype"/>
          <w:color w:val="000000"/>
        </w:rPr>
        <w:t>,</w:t>
      </w:r>
      <w:r w:rsidRPr="005C1FE9">
        <w:rPr>
          <w:rFonts w:ascii="Palatino Linotype" w:hAnsi="Palatino Linotype"/>
          <w:color w:val="000000"/>
        </w:rPr>
        <w:t xml:space="preserve"> respecto de la falta de certificación de competencia laboral de los </w:t>
      </w:r>
      <w:r>
        <w:rPr>
          <w:rFonts w:ascii="Palatino Linotype" w:hAnsi="Palatino Linotype"/>
          <w:color w:val="000000"/>
        </w:rPr>
        <w:t>T</w:t>
      </w:r>
      <w:r w:rsidRPr="005C1FE9">
        <w:rPr>
          <w:rFonts w:ascii="Palatino Linotype" w:hAnsi="Palatino Linotype"/>
          <w:color w:val="000000"/>
        </w:rPr>
        <w:t xml:space="preserve">itulares </w:t>
      </w:r>
      <w:r>
        <w:rPr>
          <w:rFonts w:ascii="Palatino Linotype" w:hAnsi="Palatino Linotype"/>
          <w:color w:val="000000"/>
        </w:rPr>
        <w:t>de las Unidades Administrativas señalas en la solicitud, por el periodo comprendido del veintisiete de septiembre del dos mil veinte al veintisiete de septiembre de dos mil veintiuno.</w:t>
      </w:r>
    </w:p>
    <w:p w14:paraId="021F93B3" w14:textId="77777777" w:rsidR="009C03BD" w:rsidRPr="009C03BD" w:rsidRDefault="009C03BD" w:rsidP="00676649">
      <w:pPr>
        <w:spacing w:before="240" w:after="240" w:line="360" w:lineRule="auto"/>
        <w:ind w:left="1276" w:right="49"/>
        <w:contextualSpacing/>
        <w:jc w:val="both"/>
        <w:rPr>
          <w:rFonts w:ascii="Palatino Linotype" w:eastAsia="Palatino Linotype" w:hAnsi="Palatino Linotype" w:cs="Palatino Linotype"/>
          <w:b/>
        </w:rPr>
      </w:pPr>
    </w:p>
    <w:p w14:paraId="7A72B8C2" w14:textId="50E15E09" w:rsidR="0089124C" w:rsidRDefault="00ED1CC8" w:rsidP="00835FCE">
      <w:pPr>
        <w:spacing w:before="240" w:after="240" w:line="360" w:lineRule="auto"/>
        <w:ind w:left="567" w:right="49"/>
        <w:contextualSpacing/>
        <w:jc w:val="both"/>
        <w:rPr>
          <w:rFonts w:ascii="Palatino Linotype" w:eastAsia="Calibri" w:hAnsi="Palatino Linotype" w:cs="Tahoma"/>
          <w:iCs/>
          <w:lang w:eastAsia="es-ES_tradnl"/>
        </w:rPr>
      </w:pPr>
      <w:r>
        <w:rPr>
          <w:rFonts w:ascii="Palatino Linotype" w:eastAsiaTheme="minorEastAsia" w:hAnsi="Palatino Linotype"/>
          <w:lang w:val="es-MX" w:eastAsia="es-MX"/>
        </w:rPr>
        <w:lastRenderedPageBreak/>
        <w:t>En el considerando quinto, l</w:t>
      </w:r>
      <w:r w:rsidR="00C51A45" w:rsidRPr="00241BC4">
        <w:rPr>
          <w:rFonts w:ascii="Palatino Linotype" w:eastAsiaTheme="minorEastAsia" w:hAnsi="Palatino Linotype"/>
          <w:lang w:val="es-MX" w:eastAsia="es-MX"/>
        </w:rPr>
        <w:t>a resolución,</w:t>
      </w:r>
      <w:r w:rsidR="00241BC4">
        <w:rPr>
          <w:rFonts w:ascii="Palatino Linotype" w:eastAsiaTheme="minorEastAsia" w:hAnsi="Palatino Linotype"/>
          <w:lang w:val="es-MX" w:eastAsia="es-MX"/>
        </w:rPr>
        <w:t xml:space="preserve"> </w:t>
      </w:r>
      <w:r w:rsidR="00C51A45" w:rsidRPr="00241BC4">
        <w:rPr>
          <w:rFonts w:ascii="Palatino Linotype" w:eastAsiaTheme="minorEastAsia" w:hAnsi="Palatino Linotype"/>
          <w:lang w:val="es-MX" w:eastAsia="es-MX"/>
        </w:rPr>
        <w:t>a</w:t>
      </w:r>
      <w:r w:rsidR="003721F5" w:rsidRPr="00241BC4">
        <w:rPr>
          <w:rFonts w:ascii="Palatino Linotype" w:eastAsiaTheme="minorEastAsia" w:hAnsi="Palatino Linotype"/>
          <w:lang w:val="es-MX" w:eastAsia="es-MX"/>
        </w:rPr>
        <w:t xml:space="preserve">naliza </w:t>
      </w:r>
      <w:r w:rsidR="00241BC4" w:rsidRPr="00241BC4">
        <w:rPr>
          <w:rFonts w:ascii="Palatino Linotype" w:eastAsiaTheme="minorEastAsia" w:hAnsi="Palatino Linotype"/>
          <w:lang w:val="es-MX" w:eastAsia="es-MX"/>
        </w:rPr>
        <w:t xml:space="preserve">lo correspondiente al </w:t>
      </w:r>
      <w:r w:rsidR="00835FCE">
        <w:rPr>
          <w:rFonts w:ascii="Palatino Linotype" w:eastAsia="Palatino Linotype" w:hAnsi="Palatino Linotype" w:cs="Palatino Linotype"/>
          <w:b/>
        </w:rPr>
        <w:t>procedimientos</w:t>
      </w:r>
      <w:r w:rsidR="0089124C">
        <w:rPr>
          <w:rFonts w:ascii="Palatino Linotype" w:eastAsia="Palatino Linotype" w:hAnsi="Palatino Linotype" w:cs="Palatino Linotype"/>
          <w:b/>
        </w:rPr>
        <w:t xml:space="preserve"> de sanciones </w:t>
      </w:r>
      <w:r w:rsidR="009C03BD">
        <w:rPr>
          <w:rFonts w:ascii="Palatino Linotype" w:eastAsia="Palatino Linotype" w:hAnsi="Palatino Linotype" w:cs="Palatino Linotype"/>
          <w:b/>
        </w:rPr>
        <w:t xml:space="preserve">graves absolutorias concluidos, </w:t>
      </w:r>
      <w:r w:rsidR="009C03BD" w:rsidRPr="009C03BD">
        <w:rPr>
          <w:rFonts w:ascii="Palatino Linotype" w:eastAsia="Palatino Linotype" w:hAnsi="Palatino Linotype" w:cs="Palatino Linotype"/>
        </w:rPr>
        <w:t xml:space="preserve">refiriendo que </w:t>
      </w:r>
      <w:r w:rsidR="0089124C" w:rsidRPr="009C03BD">
        <w:rPr>
          <w:rFonts w:ascii="Palatino Linotype" w:hAnsi="Palatino Linotype"/>
        </w:rPr>
        <w:t>se procederá</w:t>
      </w:r>
      <w:r w:rsidR="0089124C">
        <w:rPr>
          <w:rFonts w:ascii="Palatino Linotype" w:hAnsi="Palatino Linotype"/>
        </w:rPr>
        <w:t xml:space="preserve"> a su acceso en versión pública, protegiendo el nombre, cargo y área de adscripción del Servidor Público absuelto y aquellos datos personales que hagan identificable a una persona, </w:t>
      </w:r>
      <w:r w:rsidR="0089124C">
        <w:rPr>
          <w:rFonts w:ascii="Palatino Linotype" w:hAnsi="Palatino Linotype"/>
          <w:bCs/>
        </w:rPr>
        <w:t xml:space="preserve">toda vez que la información solicitada, se relaciona con servidores públicos en específico, </w:t>
      </w:r>
      <w:r w:rsidR="00835FCE">
        <w:rPr>
          <w:rFonts w:ascii="Palatino Linotype" w:hAnsi="Palatino Linotype"/>
          <w:bCs/>
        </w:rPr>
        <w:t xml:space="preserve">ya que </w:t>
      </w:r>
      <w:r w:rsidR="0089124C">
        <w:rPr>
          <w:rFonts w:ascii="Palatino Linotype" w:eastAsia="Calibri" w:hAnsi="Palatino Linotype" w:cs="Tahoma"/>
          <w:iCs/>
          <w:lang w:eastAsia="es-ES_tradnl"/>
        </w:rPr>
        <w:t xml:space="preserve"> proporcionar </w:t>
      </w:r>
      <w:r w:rsidR="00835FCE">
        <w:rPr>
          <w:rFonts w:ascii="Palatino Linotype" w:eastAsia="Calibri" w:hAnsi="Palatino Linotype" w:cs="Tahoma"/>
          <w:iCs/>
          <w:lang w:eastAsia="es-ES_tradnl"/>
        </w:rPr>
        <w:t>dichos datos,</w:t>
      </w:r>
      <w:r w:rsidR="0089124C">
        <w:rPr>
          <w:rFonts w:ascii="Palatino Linotype" w:eastAsia="Calibri" w:hAnsi="Palatino Linotype" w:cs="Tahoma"/>
          <w:b/>
          <w:iCs/>
          <w:lang w:eastAsia="es-ES_tradnl"/>
        </w:rPr>
        <w:t xml:space="preserve"> </w:t>
      </w:r>
      <w:r w:rsidR="0089124C">
        <w:rPr>
          <w:rFonts w:ascii="Palatino Linotype" w:eastAsia="Calibri" w:hAnsi="Palatino Linotype" w:cs="Tahoma"/>
          <w:iCs/>
          <w:lang w:eastAsia="es-ES_tradnl"/>
        </w:rPr>
        <w:t xml:space="preserve"> podría afectar su honor, buen nombre y su imagen.</w:t>
      </w:r>
    </w:p>
    <w:p w14:paraId="0A2783B5" w14:textId="77777777" w:rsidR="00835FCE" w:rsidRDefault="00835FCE" w:rsidP="00835FCE">
      <w:pPr>
        <w:spacing w:before="240" w:after="240" w:line="360" w:lineRule="auto"/>
        <w:ind w:left="567" w:right="49"/>
        <w:contextualSpacing/>
        <w:jc w:val="both"/>
        <w:rPr>
          <w:rFonts w:ascii="Palatino Linotype" w:eastAsia="Calibri" w:hAnsi="Palatino Linotype" w:cs="Tahoma"/>
          <w:iCs/>
          <w:lang w:eastAsia="es-ES_tradnl"/>
        </w:rPr>
      </w:pPr>
    </w:p>
    <w:p w14:paraId="4679BD0F" w14:textId="53A63963" w:rsidR="00FE5F5E" w:rsidRDefault="009C03BD" w:rsidP="00835FCE">
      <w:pPr>
        <w:autoSpaceDE w:val="0"/>
        <w:autoSpaceDN w:val="0"/>
        <w:adjustRightInd w:val="0"/>
        <w:spacing w:line="360" w:lineRule="auto"/>
        <w:ind w:left="567"/>
        <w:jc w:val="both"/>
        <w:rPr>
          <w:rFonts w:ascii="Palatino Linotype" w:hAnsi="Palatino Linotype"/>
        </w:rPr>
      </w:pPr>
      <w:r>
        <w:rPr>
          <w:rFonts w:ascii="Palatino Linotype" w:hAnsi="Palatino Linotype"/>
        </w:rPr>
        <w:t>Sin embargo</w:t>
      </w:r>
      <w:r w:rsidR="003721F5">
        <w:rPr>
          <w:rFonts w:ascii="Palatino Linotype" w:hAnsi="Palatino Linotype"/>
        </w:rPr>
        <w:t xml:space="preserve">, </w:t>
      </w:r>
      <w:r w:rsidR="00FE5F5E" w:rsidRPr="00FE5F5E">
        <w:rPr>
          <w:rFonts w:ascii="Palatino Linotype" w:hAnsi="Palatino Linotype"/>
        </w:rPr>
        <w:t xml:space="preserve"> no se comparte </w:t>
      </w:r>
      <w:r w:rsidR="00D9475B">
        <w:rPr>
          <w:rFonts w:ascii="Palatino Linotype" w:hAnsi="Palatino Linotype"/>
        </w:rPr>
        <w:t>por esta P</w:t>
      </w:r>
      <w:r>
        <w:rPr>
          <w:rFonts w:ascii="Palatino Linotype" w:hAnsi="Palatino Linotype"/>
        </w:rPr>
        <w:t xml:space="preserve">onencia </w:t>
      </w:r>
      <w:r w:rsidR="00835FCE">
        <w:rPr>
          <w:rFonts w:ascii="Palatino Linotype" w:hAnsi="Palatino Linotype"/>
        </w:rPr>
        <w:t>tal criterio</w:t>
      </w:r>
      <w:r w:rsidR="00241BC4">
        <w:rPr>
          <w:rFonts w:ascii="Palatino Linotype" w:hAnsi="Palatino Linotype"/>
        </w:rPr>
        <w:t xml:space="preserve">, </w:t>
      </w:r>
      <w:r w:rsidR="00FE5F5E" w:rsidRPr="00FE5F5E">
        <w:rPr>
          <w:rFonts w:ascii="Palatino Linotype" w:hAnsi="Palatino Linotype"/>
        </w:rPr>
        <w:t xml:space="preserve">toda vez que </w:t>
      </w:r>
      <w:bookmarkEnd w:id="0"/>
      <w:r w:rsidR="00FE5F5E" w:rsidRPr="00FE5F5E">
        <w:rPr>
          <w:rFonts w:ascii="Palatino Linotype" w:hAnsi="Palatino Linotype"/>
        </w:rPr>
        <w:t>l</w:t>
      </w:r>
      <w:r w:rsidR="00912C77" w:rsidRPr="009565F9">
        <w:rPr>
          <w:rFonts w:ascii="Palatino Linotype" w:hAnsi="Palatino Linotype"/>
        </w:rPr>
        <w:t xml:space="preserve">as </w:t>
      </w:r>
      <w:r w:rsidR="00A02002" w:rsidRPr="009565F9">
        <w:rPr>
          <w:rFonts w:ascii="Palatino Linotype" w:hAnsi="Palatino Linotype"/>
        </w:rPr>
        <w:t xml:space="preserve">determinaciones en donde la conducta investigada no fue contraria en derecho; </w:t>
      </w:r>
      <w:r w:rsidR="00D9475B">
        <w:rPr>
          <w:rFonts w:ascii="Palatino Linotype" w:hAnsi="Palatino Linotype"/>
        </w:rPr>
        <w:t xml:space="preserve">en las que </w:t>
      </w:r>
      <w:r w:rsidR="00912C77" w:rsidRPr="009565F9">
        <w:rPr>
          <w:rFonts w:ascii="Palatino Linotype" w:hAnsi="Palatino Linotype"/>
        </w:rPr>
        <w:t xml:space="preserve">se </w:t>
      </w:r>
      <w:r w:rsidR="00A02002" w:rsidRPr="009565F9">
        <w:rPr>
          <w:rFonts w:ascii="Palatino Linotype" w:hAnsi="Palatino Linotype"/>
        </w:rPr>
        <w:t>logra apreciar los elementos y las circunstancias que llevaron a concluir que a l</w:t>
      </w:r>
      <w:r w:rsidR="00912C77" w:rsidRPr="009565F9">
        <w:rPr>
          <w:rFonts w:ascii="Palatino Linotype" w:hAnsi="Palatino Linotype"/>
        </w:rPr>
        <w:t>os servidores públicos</w:t>
      </w:r>
      <w:r w:rsidR="00A02002" w:rsidRPr="009565F9">
        <w:rPr>
          <w:rFonts w:ascii="Palatino Linotype" w:hAnsi="Palatino Linotype"/>
        </w:rPr>
        <w:t>, no le eran imputables las conductas</w:t>
      </w:r>
      <w:r w:rsidR="00912C77" w:rsidRPr="009565F9">
        <w:rPr>
          <w:rFonts w:ascii="Palatino Linotype" w:hAnsi="Palatino Linotype"/>
        </w:rPr>
        <w:t xml:space="preserve"> que se le atribuían, permite</w:t>
      </w:r>
      <w:r w:rsidR="00A02002" w:rsidRPr="009565F9">
        <w:rPr>
          <w:rFonts w:ascii="Palatino Linotype" w:hAnsi="Palatino Linotype"/>
        </w:rPr>
        <w:t xml:space="preserve"> la rendición de cuentas del servidor público, pues se podría observar, que dicho </w:t>
      </w:r>
      <w:r w:rsidR="003721F5">
        <w:rPr>
          <w:rFonts w:ascii="Palatino Linotype" w:hAnsi="Palatino Linotype"/>
        </w:rPr>
        <w:t>servidor público</w:t>
      </w:r>
      <w:r w:rsidR="00A02002" w:rsidRPr="009565F9">
        <w:rPr>
          <w:rFonts w:ascii="Palatino Linotype" w:hAnsi="Palatino Linotype"/>
        </w:rPr>
        <w:t xml:space="preserve">, </w:t>
      </w:r>
      <w:r w:rsidR="00912C77" w:rsidRPr="009565F9">
        <w:rPr>
          <w:rFonts w:ascii="Palatino Linotype" w:hAnsi="Palatino Linotype"/>
        </w:rPr>
        <w:t>ha cumplido con sus obligaciones y no</w:t>
      </w:r>
      <w:r w:rsidR="00A02002" w:rsidRPr="009565F9">
        <w:rPr>
          <w:rFonts w:ascii="Palatino Linotype" w:hAnsi="Palatino Linotype"/>
        </w:rPr>
        <w:t xml:space="preserve"> ha cometido actos irregulares y ha actuado conforme a las normatividad aplicable. </w:t>
      </w:r>
    </w:p>
    <w:p w14:paraId="3D258503" w14:textId="77777777" w:rsidR="00B15CF6" w:rsidRDefault="00B15CF6" w:rsidP="00835FCE">
      <w:pPr>
        <w:pStyle w:val="NormalWeb"/>
        <w:spacing w:before="0" w:beforeAutospacing="0" w:after="0" w:afterAutospacing="0" w:line="360" w:lineRule="auto"/>
        <w:ind w:left="567"/>
        <w:jc w:val="both"/>
        <w:rPr>
          <w:rFonts w:ascii="Palatino Linotype" w:hAnsi="Palatino Linotype"/>
        </w:rPr>
      </w:pPr>
    </w:p>
    <w:p w14:paraId="69F70AF4" w14:textId="2C7F849C" w:rsidR="00FE5F5E" w:rsidRDefault="00A02002" w:rsidP="00835FCE">
      <w:pPr>
        <w:pStyle w:val="NormalWeb"/>
        <w:spacing w:before="0" w:beforeAutospacing="0" w:after="0" w:afterAutospacing="0" w:line="360" w:lineRule="auto"/>
        <w:ind w:left="567"/>
        <w:jc w:val="both"/>
        <w:rPr>
          <w:rFonts w:ascii="Palatino Linotype" w:hAnsi="Palatino Linotype"/>
        </w:rPr>
      </w:pPr>
      <w:r w:rsidRPr="00FE5F5E">
        <w:rPr>
          <w:rFonts w:ascii="Palatino Linotype" w:hAnsi="Palatino Linotype"/>
        </w:rPr>
        <w:t xml:space="preserve">Además, proporcionar dicha información, </w:t>
      </w:r>
      <w:r w:rsidR="003721F5">
        <w:rPr>
          <w:rFonts w:ascii="Palatino Linotype" w:hAnsi="Palatino Linotype"/>
        </w:rPr>
        <w:t>no genera</w:t>
      </w:r>
      <w:r w:rsidRPr="00FE5F5E">
        <w:rPr>
          <w:rFonts w:ascii="Palatino Linotype" w:hAnsi="Palatino Linotype"/>
        </w:rPr>
        <w:t xml:space="preserve"> una afectación a su honor, intimidad o buena imagen, pues contrario a esto, a través de la resolución, es posible conocer que la actuación de</w:t>
      </w:r>
      <w:r w:rsidR="003721F5">
        <w:rPr>
          <w:rFonts w:ascii="Palatino Linotype" w:hAnsi="Palatino Linotype"/>
        </w:rPr>
        <w:t>l  servidor público</w:t>
      </w:r>
      <w:r w:rsidRPr="00FE5F5E">
        <w:rPr>
          <w:rFonts w:ascii="Palatino Linotype" w:hAnsi="Palatino Linotype"/>
        </w:rPr>
        <w:t xml:space="preserve">, fue apegada a la normatividad aplicable, esto es, que ha ejercido su cargo, de manera honesta, responsable y conforme a lo establecido en las diversas disposiciones. </w:t>
      </w:r>
    </w:p>
    <w:p w14:paraId="636CABCA" w14:textId="77777777" w:rsidR="00B15CF6" w:rsidRDefault="00B15CF6" w:rsidP="00835FCE">
      <w:pPr>
        <w:pStyle w:val="NormalWeb"/>
        <w:spacing w:before="0" w:beforeAutospacing="0" w:after="0" w:afterAutospacing="0" w:line="360" w:lineRule="auto"/>
        <w:ind w:left="567"/>
        <w:jc w:val="both"/>
        <w:rPr>
          <w:rFonts w:ascii="Palatino Linotype" w:hAnsi="Palatino Linotype"/>
        </w:rPr>
      </w:pPr>
    </w:p>
    <w:p w14:paraId="08AFDFCB" w14:textId="77777777" w:rsidR="00FE5F5E" w:rsidRDefault="00A02002" w:rsidP="00835FCE">
      <w:pPr>
        <w:pStyle w:val="NormalWeb"/>
        <w:spacing w:before="0" w:beforeAutospacing="0" w:after="0" w:afterAutospacing="0" w:line="360" w:lineRule="auto"/>
        <w:ind w:left="567"/>
        <w:jc w:val="both"/>
        <w:rPr>
          <w:rFonts w:ascii="Palatino Linotype" w:hAnsi="Palatino Linotype"/>
        </w:rPr>
      </w:pPr>
      <w:r w:rsidRPr="009565F9">
        <w:rPr>
          <w:rFonts w:ascii="Palatino Linotype" w:hAnsi="Palatino Linotype"/>
        </w:rPr>
        <w:lastRenderedPageBreak/>
        <w:t>En ese orden de ideas, dar a conocer la información relativa a las resoluciones absolutorias</w:t>
      </w:r>
      <w:r w:rsidR="00B754F1">
        <w:rPr>
          <w:rFonts w:ascii="Palatino Linotype" w:hAnsi="Palatino Linotype"/>
        </w:rPr>
        <w:t xml:space="preserve"> por responsabilidades administrativas graves</w:t>
      </w:r>
      <w:r w:rsidRPr="009565F9">
        <w:rPr>
          <w:rFonts w:ascii="Palatino Linotype" w:hAnsi="Palatino Linotype"/>
        </w:rPr>
        <w:t xml:space="preserve">, esto es, que no hayan decretado alguna responsabilidad o culpabilidad, en caso de su existencia, en relación con un servidor público no implica una vulneración a su honor o intimidad, ya que dichos procedimientos </w:t>
      </w:r>
      <w:r w:rsidR="0096112E">
        <w:rPr>
          <w:rFonts w:ascii="Palatino Linotype" w:hAnsi="Palatino Linotype"/>
        </w:rPr>
        <w:t>determinan</w:t>
      </w:r>
      <w:r w:rsidRPr="009565F9">
        <w:rPr>
          <w:rFonts w:ascii="Palatino Linotype" w:hAnsi="Palatino Linotype"/>
        </w:rPr>
        <w:t xml:space="preserve"> la falta de elementos para sancionarlo. </w:t>
      </w:r>
    </w:p>
    <w:p w14:paraId="5B074D35" w14:textId="77777777" w:rsidR="00B15CF6" w:rsidRDefault="00B15CF6" w:rsidP="00835FCE">
      <w:pPr>
        <w:pStyle w:val="NormalWeb"/>
        <w:spacing w:before="0" w:beforeAutospacing="0" w:after="0" w:afterAutospacing="0" w:line="360" w:lineRule="auto"/>
        <w:ind w:left="567"/>
        <w:jc w:val="both"/>
        <w:rPr>
          <w:rFonts w:ascii="Palatino Linotype" w:hAnsi="Palatino Linotype"/>
        </w:rPr>
      </w:pPr>
    </w:p>
    <w:p w14:paraId="44511757" w14:textId="379681DD" w:rsidR="00FE5F5E" w:rsidRDefault="003F0A6A" w:rsidP="00835FCE">
      <w:pPr>
        <w:pStyle w:val="NormalWeb"/>
        <w:spacing w:before="0" w:beforeAutospacing="0" w:after="0" w:afterAutospacing="0" w:line="360" w:lineRule="auto"/>
        <w:ind w:left="567"/>
        <w:jc w:val="both"/>
        <w:rPr>
          <w:rFonts w:ascii="Palatino Linotype" w:hAnsi="Palatino Linotype"/>
        </w:rPr>
      </w:pPr>
      <w:r>
        <w:rPr>
          <w:rFonts w:ascii="Palatino Linotype" w:hAnsi="Palatino Linotype"/>
        </w:rPr>
        <w:t xml:space="preserve">Lo anterior de conformidad con </w:t>
      </w:r>
      <w:r w:rsidR="00A02002" w:rsidRPr="009565F9">
        <w:rPr>
          <w:rFonts w:ascii="Palatino Linotype" w:hAnsi="Palatino Linotype"/>
        </w:rPr>
        <w:t xml:space="preserve">la jurisprudencia con el rubro </w:t>
      </w:r>
      <w:r w:rsidR="00A02002" w:rsidRPr="00E1757A">
        <w:rPr>
          <w:rFonts w:ascii="Palatino Linotype" w:hAnsi="Palatino Linotype"/>
          <w:b/>
        </w:rPr>
        <w:t>LIBERTAD DE EXPRESIÓN Y DERECHO AL HONOR. EXPRESIONES QUE SE ENCUENTRAN PROTEGIDAS CONSTITUCIONALMENTE</w:t>
      </w:r>
      <w:r w:rsidR="00A02002" w:rsidRPr="009565F9">
        <w:rPr>
          <w:rFonts w:ascii="Palatino Linotype" w:hAnsi="Palatino Linotype"/>
        </w:rPr>
        <w:t xml:space="preserve">,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ideas u opiniones cuando son de esa naturaleza. 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 </w:t>
      </w:r>
    </w:p>
    <w:p w14:paraId="4229C884" w14:textId="77777777" w:rsidR="00B15CF6" w:rsidRDefault="00B15CF6" w:rsidP="003721F5">
      <w:pPr>
        <w:pStyle w:val="NormalWeb"/>
        <w:spacing w:before="0" w:beforeAutospacing="0" w:after="0" w:afterAutospacing="0" w:line="360" w:lineRule="auto"/>
        <w:ind w:left="357"/>
        <w:jc w:val="both"/>
        <w:rPr>
          <w:rFonts w:ascii="Palatino Linotype" w:hAnsi="Palatino Linotype"/>
        </w:rPr>
      </w:pPr>
    </w:p>
    <w:p w14:paraId="5C69D18D" w14:textId="7F37E3FB" w:rsidR="00912C77" w:rsidRDefault="00A02002" w:rsidP="00835FCE">
      <w:pPr>
        <w:pStyle w:val="NormalWeb"/>
        <w:spacing w:before="0" w:beforeAutospacing="0" w:after="0" w:afterAutospacing="0" w:line="360" w:lineRule="auto"/>
        <w:ind w:left="567"/>
        <w:jc w:val="both"/>
        <w:rPr>
          <w:rFonts w:ascii="Palatino Linotype" w:hAnsi="Palatino Linotype"/>
        </w:rPr>
      </w:pPr>
      <w:r w:rsidRPr="009565F9">
        <w:rPr>
          <w:rFonts w:ascii="Palatino Linotype" w:hAnsi="Palatino Linotype"/>
        </w:rPr>
        <w:lastRenderedPageBreak/>
        <w:t xml:space="preserve">Por otro lado, en la tesis aislada con el rubro </w:t>
      </w:r>
      <w:r w:rsidRPr="00E1757A">
        <w:rPr>
          <w:rFonts w:ascii="Palatino Linotype" w:hAnsi="Palatino Linotype"/>
          <w:b/>
        </w:rPr>
        <w:t>DERECHO A SER INFORMADO Y DERECHO AL HONOR. ESTÁNDAR PARA DETERMINAR SU PREVALENCIA</w:t>
      </w:r>
      <w:r w:rsidRPr="009565F9">
        <w:rPr>
          <w:rFonts w:ascii="Palatino Linotype" w:hAnsi="Palatino Linotype"/>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 </w:t>
      </w:r>
    </w:p>
    <w:p w14:paraId="6B230447" w14:textId="77777777" w:rsidR="00ED1CC8" w:rsidRPr="009565F9" w:rsidRDefault="00ED1CC8" w:rsidP="00835FCE">
      <w:pPr>
        <w:pStyle w:val="NormalWeb"/>
        <w:spacing w:before="0" w:beforeAutospacing="0" w:after="0" w:afterAutospacing="0" w:line="360" w:lineRule="auto"/>
        <w:ind w:left="567"/>
        <w:jc w:val="both"/>
        <w:rPr>
          <w:rFonts w:ascii="Palatino Linotype" w:eastAsia="Calibri" w:hAnsi="Palatino Linotype" w:cs="Arial"/>
        </w:rPr>
      </w:pPr>
    </w:p>
    <w:p w14:paraId="02AF84AB" w14:textId="2D12CA7D" w:rsidR="00FE5F5E" w:rsidRPr="00FE5F5E" w:rsidRDefault="00A02002" w:rsidP="009C03BD">
      <w:pPr>
        <w:pStyle w:val="Prrafodelista"/>
        <w:spacing w:after="0" w:line="360" w:lineRule="auto"/>
        <w:ind w:left="567"/>
        <w:jc w:val="both"/>
        <w:rPr>
          <w:rFonts w:ascii="Palatino Linotype" w:eastAsia="Calibri" w:hAnsi="Palatino Linotype" w:cs="Arial"/>
          <w:sz w:val="24"/>
          <w:szCs w:val="24"/>
        </w:rPr>
      </w:pPr>
      <w:r w:rsidRPr="00FE5F5E">
        <w:rPr>
          <w:rFonts w:ascii="Palatino Linotype" w:hAnsi="Palatino Linotype"/>
          <w:sz w:val="24"/>
          <w:szCs w:val="24"/>
        </w:rPr>
        <w:t xml:space="preserve">Así, la información, trata sobre las actuaciones realizadas por un servidor público en ejercicio de sus funciones, las cuales no derivaron en alguna responsabilidad, además que transparenta la gestión pública y la rendición de cuentas de este, pues da a conocer que se ha conducido conforme a Derecho, es decir, de conformidad a sus objetivos, atribuciones y obligaciones. </w:t>
      </w:r>
    </w:p>
    <w:p w14:paraId="55C11D74" w14:textId="77777777" w:rsidR="00FE5F5E" w:rsidRPr="00FE5F5E" w:rsidRDefault="00FE5F5E" w:rsidP="009C03BD">
      <w:pPr>
        <w:pStyle w:val="Prrafodelista"/>
        <w:spacing w:after="0" w:line="360" w:lineRule="auto"/>
        <w:ind w:left="567"/>
        <w:jc w:val="both"/>
        <w:rPr>
          <w:rFonts w:ascii="Palatino Linotype" w:eastAsia="Calibri" w:hAnsi="Palatino Linotype" w:cs="Arial"/>
          <w:sz w:val="24"/>
          <w:szCs w:val="24"/>
        </w:rPr>
      </w:pPr>
    </w:p>
    <w:p w14:paraId="5222D709" w14:textId="60AC2A85" w:rsidR="00A02002" w:rsidRPr="00FE5F5E" w:rsidRDefault="00A02002" w:rsidP="009C03BD">
      <w:pPr>
        <w:pStyle w:val="Prrafodelista"/>
        <w:spacing w:after="0" w:line="360" w:lineRule="auto"/>
        <w:ind w:left="567"/>
        <w:jc w:val="both"/>
        <w:rPr>
          <w:rFonts w:ascii="Palatino Linotype" w:eastAsia="Calibri" w:hAnsi="Palatino Linotype" w:cs="Arial"/>
          <w:sz w:val="24"/>
          <w:szCs w:val="24"/>
        </w:rPr>
      </w:pPr>
      <w:r w:rsidRPr="00FE5F5E">
        <w:rPr>
          <w:rFonts w:ascii="Palatino Linotype" w:hAnsi="Palatino Linotype"/>
          <w:sz w:val="24"/>
          <w:szCs w:val="24"/>
        </w:rPr>
        <w:lastRenderedPageBreak/>
        <w:t xml:space="preserve">Por lo anterior, dar a conocer </w:t>
      </w:r>
      <w:r w:rsidR="00ED1CC8">
        <w:rPr>
          <w:rFonts w:ascii="Palatino Linotype" w:eastAsiaTheme="minorEastAsia" w:hAnsi="Palatino Linotype"/>
          <w:bCs/>
        </w:rPr>
        <w:t>el nombre y cargo del servidor público</w:t>
      </w:r>
      <w:r w:rsidR="00ED1CC8">
        <w:rPr>
          <w:rFonts w:ascii="Palatino Linotype" w:eastAsiaTheme="minorEastAsia" w:hAnsi="Palatino Linotype"/>
          <w:bCs/>
        </w:rPr>
        <w:t xml:space="preserve"> en </w:t>
      </w:r>
      <w:r w:rsidR="00ED1CC8" w:rsidRPr="00FE5F5E">
        <w:rPr>
          <w:rFonts w:ascii="Palatino Linotype" w:hAnsi="Palatino Linotype"/>
          <w:sz w:val="24"/>
          <w:szCs w:val="24"/>
        </w:rPr>
        <w:t xml:space="preserve"> </w:t>
      </w:r>
      <w:r w:rsidRPr="00FE5F5E">
        <w:rPr>
          <w:rFonts w:ascii="Palatino Linotype" w:hAnsi="Palatino Linotype"/>
          <w:sz w:val="24"/>
          <w:szCs w:val="24"/>
        </w:rPr>
        <w:t>las resoluciones absolutorias,  derivadas de procedimientos de responsabilidades administrativas</w:t>
      </w:r>
      <w:r w:rsidR="00B754F1" w:rsidRPr="00FE5F5E">
        <w:rPr>
          <w:rFonts w:ascii="Palatino Linotype" w:hAnsi="Palatino Linotype"/>
          <w:sz w:val="24"/>
          <w:szCs w:val="24"/>
        </w:rPr>
        <w:t xml:space="preserve"> graves</w:t>
      </w:r>
      <w:r w:rsidRPr="00FE5F5E">
        <w:rPr>
          <w:rFonts w:ascii="Palatino Linotype" w:hAnsi="Palatino Linotype"/>
          <w:sz w:val="24"/>
          <w:szCs w:val="24"/>
        </w:rPr>
        <w:t xml:space="preserve">, no actualiza la causal de clasificación prevista en el artículo 143, fracción I de la Ley de Transparencia y Acceso a la Información Pública del Estado de México y Municipios, pues como se precisó dicha información no afecta, su intimidad, honor y buen nombre. </w:t>
      </w:r>
    </w:p>
    <w:p w14:paraId="6F19CA97" w14:textId="77777777" w:rsidR="0096112E" w:rsidRPr="0096112E" w:rsidRDefault="0096112E" w:rsidP="007547D7">
      <w:pPr>
        <w:pStyle w:val="Prrafodelista"/>
        <w:spacing w:after="0" w:line="360" w:lineRule="auto"/>
        <w:ind w:left="426"/>
        <w:rPr>
          <w:rFonts w:ascii="Palatino Linotype" w:eastAsia="Calibri" w:hAnsi="Palatino Linotype" w:cs="Arial"/>
          <w:sz w:val="24"/>
          <w:szCs w:val="24"/>
        </w:rPr>
      </w:pPr>
    </w:p>
    <w:p w14:paraId="7A114E08" w14:textId="3399E1B7" w:rsidR="00E1757A" w:rsidRPr="00241BC4" w:rsidRDefault="00E1757A" w:rsidP="009C03BD">
      <w:pPr>
        <w:pStyle w:val="Ttulo1"/>
        <w:ind w:left="567"/>
        <w:rPr>
          <w:rFonts w:eastAsia="Calibri" w:cs="Arial"/>
          <w:szCs w:val="22"/>
        </w:rPr>
      </w:pPr>
      <w:bookmarkStart w:id="1" w:name="_Toc88136406"/>
      <w:r w:rsidRPr="00241BC4">
        <w:rPr>
          <w:rFonts w:eastAsia="Calibri" w:cs="Arial"/>
          <w:szCs w:val="22"/>
        </w:rPr>
        <w:t>CONCLUSIÓN</w:t>
      </w:r>
      <w:bookmarkEnd w:id="1"/>
    </w:p>
    <w:p w14:paraId="41D5C9C0" w14:textId="77777777" w:rsidR="00E1757A" w:rsidRPr="00E1757A" w:rsidRDefault="00E1757A" w:rsidP="009C03BD">
      <w:pPr>
        <w:pStyle w:val="Prrafodelista"/>
        <w:ind w:left="567"/>
        <w:rPr>
          <w:rFonts w:ascii="Palatino Linotype" w:eastAsia="Calibri" w:hAnsi="Palatino Linotype" w:cs="Arial"/>
          <w:sz w:val="24"/>
          <w:szCs w:val="24"/>
        </w:rPr>
      </w:pPr>
    </w:p>
    <w:p w14:paraId="04BBEC00" w14:textId="19A27F80" w:rsidR="009C03BD" w:rsidRDefault="00E1757A" w:rsidP="009C03BD">
      <w:pPr>
        <w:spacing w:line="360" w:lineRule="auto"/>
        <w:ind w:left="567"/>
        <w:jc w:val="both"/>
        <w:rPr>
          <w:rFonts w:ascii="Palatino Linotype" w:eastAsia="Calibri" w:hAnsi="Palatino Linotype" w:cs="Arial"/>
        </w:rPr>
      </w:pPr>
      <w:r w:rsidRPr="00E1757A">
        <w:rPr>
          <w:rFonts w:ascii="Palatino Linotype" w:eastAsia="Calibri" w:hAnsi="Palatino Linotype" w:cs="Arial"/>
        </w:rPr>
        <w:t xml:space="preserve">No se comparte el criterio de que se clasifique </w:t>
      </w:r>
      <w:r w:rsidR="009C03BD">
        <w:rPr>
          <w:rFonts w:ascii="Palatino Linotype" w:eastAsiaTheme="minorHAnsi" w:hAnsi="Palatino Linotype" w:cstheme="minorBidi"/>
          <w:lang w:val="es-MX" w:eastAsia="en-US"/>
        </w:rPr>
        <w:t xml:space="preserve">como confidencial el nombre y cargo de los servidores públicos, absueltos, en los procedimientos por faltas graves y que hayan causado estado, </w:t>
      </w:r>
      <w:r w:rsidRPr="00E1757A">
        <w:rPr>
          <w:rFonts w:ascii="Palatino Linotype" w:eastAsia="Calibri" w:hAnsi="Palatino Linotype" w:cs="Arial"/>
        </w:rPr>
        <w:t xml:space="preserve"> en razón de que, al no existir una sanción impuesta, no existe afectación alguna al honor </w:t>
      </w:r>
      <w:r>
        <w:rPr>
          <w:rFonts w:ascii="Palatino Linotype" w:eastAsia="Calibri" w:hAnsi="Palatino Linotype" w:cs="Arial"/>
        </w:rPr>
        <w:t xml:space="preserve">y buen nombre </w:t>
      </w:r>
      <w:r w:rsidR="00835FCE">
        <w:rPr>
          <w:rFonts w:ascii="Palatino Linotype" w:eastAsia="Calibri" w:hAnsi="Palatino Linotype" w:cs="Arial"/>
        </w:rPr>
        <w:t>de los</w:t>
      </w:r>
      <w:r w:rsidRPr="00E1757A">
        <w:rPr>
          <w:rFonts w:ascii="Palatino Linotype" w:eastAsia="Calibri" w:hAnsi="Palatino Linotype" w:cs="Arial"/>
        </w:rPr>
        <w:t xml:space="preserve"> servidor</w:t>
      </w:r>
      <w:r w:rsidR="00835FCE">
        <w:rPr>
          <w:rFonts w:ascii="Palatino Linotype" w:eastAsia="Calibri" w:hAnsi="Palatino Linotype" w:cs="Arial"/>
        </w:rPr>
        <w:t>es</w:t>
      </w:r>
      <w:r w:rsidR="00241BC4">
        <w:rPr>
          <w:rFonts w:ascii="Palatino Linotype" w:eastAsia="Calibri" w:hAnsi="Palatino Linotype" w:cs="Arial"/>
        </w:rPr>
        <w:t xml:space="preserve"> públic</w:t>
      </w:r>
      <w:r w:rsidR="00835FCE">
        <w:rPr>
          <w:rFonts w:ascii="Palatino Linotype" w:eastAsia="Calibri" w:hAnsi="Palatino Linotype" w:cs="Arial"/>
        </w:rPr>
        <w:t>os</w:t>
      </w:r>
      <w:r w:rsidR="00241BC4">
        <w:rPr>
          <w:rFonts w:ascii="Palatino Linotype" w:eastAsia="Calibri" w:hAnsi="Palatino Linotype" w:cs="Arial"/>
        </w:rPr>
        <w:t>.</w:t>
      </w:r>
    </w:p>
    <w:p w14:paraId="5B0AC200" w14:textId="77777777" w:rsidR="009C03BD" w:rsidRDefault="009C03BD" w:rsidP="009C03BD">
      <w:pPr>
        <w:spacing w:line="360" w:lineRule="auto"/>
        <w:ind w:left="567"/>
        <w:jc w:val="both"/>
        <w:rPr>
          <w:rFonts w:ascii="Palatino Linotype" w:eastAsia="Calibri" w:hAnsi="Palatino Linotype" w:cs="Arial"/>
        </w:rPr>
      </w:pPr>
    </w:p>
    <w:p w14:paraId="752B4D40" w14:textId="385975D8" w:rsidR="00E1757A" w:rsidRPr="00E1757A" w:rsidRDefault="00E1757A" w:rsidP="009C03BD">
      <w:pPr>
        <w:spacing w:line="360" w:lineRule="auto"/>
        <w:ind w:left="567"/>
        <w:jc w:val="both"/>
        <w:rPr>
          <w:rFonts w:ascii="Palatino Linotype" w:eastAsia="Calibri" w:hAnsi="Palatino Linotype" w:cs="Arial"/>
          <w:sz w:val="28"/>
        </w:rPr>
      </w:pPr>
      <w:r w:rsidRPr="00E1757A">
        <w:rPr>
          <w:rFonts w:ascii="Palatino Linotype" w:eastAsia="Calibri" w:hAnsi="Palatino Linotype" w:cs="Arial"/>
        </w:rPr>
        <w:t>La publicidad del nombre de los servidores públicos en resoluciones absolutorias de procedimientos administrativos refleja que no existió una falta administrativa, es decir, que las no encontraron elementos suficientes para determinar que el servidor público sujeto a procedimiento, ejerció actos o acciones contrarias a la ley y a sus facultades, atribuciones y competencias, estando libre de cualquier investigación. Dicha publicidad, lejos de causar un daño o afectación, contribuye a que la ciudadanía deposite con mayor fuerza su confianza en las autoridades que los gobierna, pues demuestra que están actuando con rectitud y honradez.</w:t>
      </w:r>
    </w:p>
    <w:p w14:paraId="3B80EEA6" w14:textId="2134B393" w:rsidR="009565F9" w:rsidRPr="00D65F5F" w:rsidRDefault="00241BC4" w:rsidP="009565F9">
      <w:pPr>
        <w:spacing w:line="360" w:lineRule="auto"/>
        <w:ind w:left="567"/>
        <w:contextualSpacing/>
        <w:jc w:val="both"/>
        <w:rPr>
          <w:rFonts w:ascii="Palatino Linotype" w:hAnsi="Palatino Linotype"/>
          <w:b/>
        </w:rPr>
      </w:pPr>
      <w:bookmarkStart w:id="2" w:name="_GoBack"/>
      <w:bookmarkEnd w:id="2"/>
      <w:r>
        <w:rPr>
          <w:rFonts w:ascii="Palatino Linotype" w:hAnsi="Palatino Linotype"/>
          <w:b/>
        </w:rPr>
        <w:t>MRMA</w:t>
      </w:r>
    </w:p>
    <w:p w14:paraId="28B8013E" w14:textId="77777777" w:rsidR="00FA3F69" w:rsidRDefault="00FA3F69" w:rsidP="009565F9">
      <w:pPr>
        <w:tabs>
          <w:tab w:val="left" w:pos="0"/>
          <w:tab w:val="left" w:pos="851"/>
        </w:tabs>
        <w:spacing w:line="360" w:lineRule="auto"/>
        <w:ind w:right="616"/>
        <w:jc w:val="both"/>
        <w:rPr>
          <w:rFonts w:ascii="Palatino Linotype" w:hAnsi="Palatino Linotype" w:cs="Arial"/>
          <w:b/>
        </w:rPr>
      </w:pPr>
    </w:p>
    <w:p w14:paraId="68672B30" w14:textId="77777777" w:rsidR="00E1757A" w:rsidRDefault="00E1757A" w:rsidP="009565F9">
      <w:pPr>
        <w:tabs>
          <w:tab w:val="left" w:pos="0"/>
          <w:tab w:val="left" w:pos="851"/>
        </w:tabs>
        <w:spacing w:line="360" w:lineRule="auto"/>
        <w:ind w:right="616"/>
        <w:jc w:val="both"/>
        <w:rPr>
          <w:rFonts w:ascii="Palatino Linotype" w:hAnsi="Palatino Linotype" w:cs="Arial"/>
          <w:b/>
        </w:rPr>
      </w:pPr>
    </w:p>
    <w:p w14:paraId="4E1539E0" w14:textId="77777777" w:rsidR="00E1757A" w:rsidRDefault="00E1757A" w:rsidP="009565F9">
      <w:pPr>
        <w:tabs>
          <w:tab w:val="left" w:pos="0"/>
          <w:tab w:val="left" w:pos="851"/>
        </w:tabs>
        <w:spacing w:line="360" w:lineRule="auto"/>
        <w:ind w:right="616"/>
        <w:jc w:val="both"/>
        <w:rPr>
          <w:rFonts w:ascii="Palatino Linotype" w:hAnsi="Palatino Linotype" w:cs="Arial"/>
          <w:b/>
        </w:rPr>
      </w:pPr>
    </w:p>
    <w:p w14:paraId="1F5A2430" w14:textId="77777777" w:rsidR="00E1757A" w:rsidRDefault="00E1757A" w:rsidP="009565F9">
      <w:pPr>
        <w:tabs>
          <w:tab w:val="left" w:pos="0"/>
          <w:tab w:val="left" w:pos="851"/>
        </w:tabs>
        <w:spacing w:line="360" w:lineRule="auto"/>
        <w:ind w:right="616"/>
        <w:jc w:val="both"/>
        <w:rPr>
          <w:rFonts w:ascii="Palatino Linotype" w:hAnsi="Palatino Linotype" w:cs="Arial"/>
          <w:b/>
        </w:rPr>
      </w:pPr>
    </w:p>
    <w:p w14:paraId="602B08CC" w14:textId="77777777" w:rsidR="00E1757A" w:rsidRDefault="00E1757A" w:rsidP="009565F9">
      <w:pPr>
        <w:tabs>
          <w:tab w:val="left" w:pos="0"/>
          <w:tab w:val="left" w:pos="851"/>
        </w:tabs>
        <w:spacing w:line="360" w:lineRule="auto"/>
        <w:ind w:right="616"/>
        <w:jc w:val="both"/>
        <w:rPr>
          <w:rFonts w:ascii="Palatino Linotype" w:hAnsi="Palatino Linotype" w:cs="Arial"/>
          <w:b/>
        </w:rPr>
      </w:pPr>
    </w:p>
    <w:p w14:paraId="6DFD5F43" w14:textId="77777777" w:rsidR="00E1757A" w:rsidRDefault="00E1757A" w:rsidP="009565F9">
      <w:pPr>
        <w:tabs>
          <w:tab w:val="left" w:pos="0"/>
          <w:tab w:val="left" w:pos="851"/>
        </w:tabs>
        <w:spacing w:line="360" w:lineRule="auto"/>
        <w:ind w:right="616"/>
        <w:jc w:val="both"/>
        <w:rPr>
          <w:rFonts w:ascii="Palatino Linotype" w:hAnsi="Palatino Linotype" w:cs="Arial"/>
          <w:b/>
        </w:rPr>
      </w:pPr>
    </w:p>
    <w:p w14:paraId="2C3C6F6C" w14:textId="77777777" w:rsidR="00E1757A" w:rsidRDefault="00E1757A" w:rsidP="009565F9">
      <w:pPr>
        <w:tabs>
          <w:tab w:val="left" w:pos="0"/>
          <w:tab w:val="left" w:pos="851"/>
        </w:tabs>
        <w:spacing w:line="360" w:lineRule="auto"/>
        <w:ind w:right="616"/>
        <w:jc w:val="both"/>
        <w:rPr>
          <w:rFonts w:ascii="Palatino Linotype" w:hAnsi="Palatino Linotype" w:cs="Arial"/>
          <w:b/>
        </w:rPr>
      </w:pPr>
    </w:p>
    <w:p w14:paraId="258B533C" w14:textId="77777777" w:rsidR="00E1757A" w:rsidRDefault="00E1757A" w:rsidP="009565F9">
      <w:pPr>
        <w:tabs>
          <w:tab w:val="left" w:pos="0"/>
          <w:tab w:val="left" w:pos="851"/>
        </w:tabs>
        <w:spacing w:line="360" w:lineRule="auto"/>
        <w:ind w:right="616"/>
        <w:jc w:val="both"/>
        <w:rPr>
          <w:rFonts w:ascii="Palatino Linotype" w:hAnsi="Palatino Linotype" w:cs="Arial"/>
          <w:b/>
        </w:rPr>
      </w:pPr>
    </w:p>
    <w:p w14:paraId="6D04E5D5" w14:textId="77777777" w:rsidR="00E1757A" w:rsidRPr="009565F9" w:rsidRDefault="00E1757A" w:rsidP="009565F9">
      <w:pPr>
        <w:tabs>
          <w:tab w:val="left" w:pos="0"/>
          <w:tab w:val="left" w:pos="851"/>
        </w:tabs>
        <w:spacing w:line="360" w:lineRule="auto"/>
        <w:ind w:right="616"/>
        <w:jc w:val="both"/>
        <w:rPr>
          <w:rFonts w:ascii="Palatino Linotype" w:hAnsi="Palatino Linotype" w:cs="Arial"/>
          <w:b/>
        </w:rPr>
      </w:pPr>
    </w:p>
    <w:p w14:paraId="4940FAA6" w14:textId="31AB0C5E" w:rsidR="00FA3F69" w:rsidRPr="009565F9" w:rsidRDefault="00FA3F69" w:rsidP="009565F9">
      <w:pPr>
        <w:tabs>
          <w:tab w:val="left" w:pos="0"/>
          <w:tab w:val="left" w:pos="851"/>
        </w:tabs>
        <w:spacing w:line="360" w:lineRule="auto"/>
        <w:ind w:right="616"/>
        <w:jc w:val="both"/>
        <w:rPr>
          <w:rFonts w:ascii="Palatino Linotype" w:hAnsi="Palatino Linotype" w:cs="Arial"/>
          <w:b/>
        </w:rPr>
      </w:pPr>
    </w:p>
    <w:p w14:paraId="0A062FD1" w14:textId="2A652B36" w:rsidR="00CA07CB" w:rsidRPr="009565F9" w:rsidRDefault="00CA07CB" w:rsidP="009565F9">
      <w:pPr>
        <w:tabs>
          <w:tab w:val="left" w:pos="0"/>
          <w:tab w:val="left" w:pos="851"/>
        </w:tabs>
        <w:spacing w:line="360" w:lineRule="auto"/>
        <w:ind w:right="616"/>
        <w:jc w:val="both"/>
        <w:rPr>
          <w:rFonts w:ascii="Palatino Linotype" w:hAnsi="Palatino Linotype" w:cs="Arial"/>
          <w:b/>
        </w:rPr>
      </w:pPr>
    </w:p>
    <w:p w14:paraId="063778A2" w14:textId="77777777" w:rsidR="00CA07CB" w:rsidRPr="009565F9" w:rsidRDefault="00CA07CB" w:rsidP="009565F9">
      <w:pPr>
        <w:tabs>
          <w:tab w:val="left" w:pos="0"/>
          <w:tab w:val="left" w:pos="851"/>
        </w:tabs>
        <w:spacing w:line="360" w:lineRule="auto"/>
        <w:ind w:right="616"/>
        <w:jc w:val="both"/>
        <w:rPr>
          <w:rFonts w:ascii="Palatino Linotype" w:hAnsi="Palatino Linotype" w:cs="Arial"/>
          <w:b/>
        </w:rPr>
      </w:pPr>
    </w:p>
    <w:p w14:paraId="164F1E37" w14:textId="7446F02E" w:rsidR="00FA3F69" w:rsidRPr="009565F9" w:rsidRDefault="00FA3F69" w:rsidP="009565F9">
      <w:pPr>
        <w:tabs>
          <w:tab w:val="left" w:pos="0"/>
          <w:tab w:val="left" w:pos="851"/>
        </w:tabs>
        <w:spacing w:line="360" w:lineRule="auto"/>
        <w:ind w:right="616"/>
        <w:jc w:val="both"/>
        <w:rPr>
          <w:rFonts w:ascii="Palatino Linotype" w:hAnsi="Palatino Linotype" w:cs="Arial"/>
          <w:b/>
        </w:rPr>
      </w:pPr>
    </w:p>
    <w:p w14:paraId="60790A7F" w14:textId="77777777" w:rsidR="00FA3F69" w:rsidRPr="009565F9" w:rsidRDefault="00FA3F69" w:rsidP="009565F9">
      <w:pPr>
        <w:tabs>
          <w:tab w:val="left" w:pos="0"/>
          <w:tab w:val="left" w:pos="851"/>
        </w:tabs>
        <w:spacing w:line="360" w:lineRule="auto"/>
        <w:ind w:right="616"/>
        <w:jc w:val="both"/>
        <w:rPr>
          <w:rFonts w:ascii="Palatino Linotype" w:hAnsi="Palatino Linotype"/>
        </w:rPr>
      </w:pPr>
    </w:p>
    <w:sectPr w:rsidR="00FA3F69" w:rsidRPr="009565F9" w:rsidSect="00B754F1">
      <w:headerReference w:type="even" r:id="rId10"/>
      <w:headerReference w:type="default" r:id="rId11"/>
      <w:footerReference w:type="default" r:id="rId12"/>
      <w:headerReference w:type="first" r:id="rId13"/>
      <w:pgSz w:w="12240" w:h="15840"/>
      <w:pgMar w:top="2410" w:right="1134" w:bottom="269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479AE" w14:textId="77777777" w:rsidR="00BE6285" w:rsidRDefault="00BE6285" w:rsidP="00C80F8C">
      <w:r>
        <w:separator/>
      </w:r>
    </w:p>
  </w:endnote>
  <w:endnote w:type="continuationSeparator" w:id="0">
    <w:p w14:paraId="3D056730" w14:textId="77777777" w:rsidR="00BE6285" w:rsidRDefault="00BE628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FED3F" w14:textId="77777777" w:rsidR="00CA07CB" w:rsidRDefault="00BE6285" w:rsidP="00CA07CB">
    <w:pPr>
      <w:pStyle w:val="Piedepgina"/>
      <w:jc w:val="right"/>
    </w:pPr>
    <w:sdt>
      <w:sdtPr>
        <w:rPr>
          <w:rFonts w:ascii="Palatino Linotype" w:hAnsi="Palatino Linotype"/>
        </w:rPr>
        <w:id w:val="-1769616900"/>
        <w:docPartObj>
          <w:docPartGallery w:val="Page Numbers (Top of Page)"/>
          <w:docPartUnique/>
        </w:docPartObj>
      </w:sdtPr>
      <w:sdtEndPr/>
      <w:sdtContent>
        <w:r w:rsidR="00CA07CB" w:rsidRPr="000A2541">
          <w:rPr>
            <w:rFonts w:ascii="Palatino Linotype" w:hAnsi="Palatino Linotype"/>
            <w:lang w:val="es-ES"/>
          </w:rPr>
          <w:t xml:space="preserve">Página </w:t>
        </w:r>
        <w:r w:rsidR="00CA07CB" w:rsidRPr="000A2541">
          <w:rPr>
            <w:rFonts w:ascii="Palatino Linotype" w:hAnsi="Palatino Linotype"/>
            <w:b/>
            <w:bCs/>
          </w:rPr>
          <w:fldChar w:fldCharType="begin"/>
        </w:r>
        <w:r w:rsidR="00CA07CB" w:rsidRPr="000A2541">
          <w:rPr>
            <w:rFonts w:ascii="Palatino Linotype" w:hAnsi="Palatino Linotype"/>
            <w:b/>
            <w:bCs/>
          </w:rPr>
          <w:instrText>PAGE</w:instrText>
        </w:r>
        <w:r w:rsidR="00CA07CB" w:rsidRPr="000A2541">
          <w:rPr>
            <w:rFonts w:ascii="Palatino Linotype" w:hAnsi="Palatino Linotype"/>
            <w:b/>
            <w:bCs/>
          </w:rPr>
          <w:fldChar w:fldCharType="separate"/>
        </w:r>
        <w:r w:rsidR="007443FC">
          <w:rPr>
            <w:rFonts w:ascii="Palatino Linotype" w:hAnsi="Palatino Linotype"/>
            <w:b/>
            <w:bCs/>
            <w:noProof/>
          </w:rPr>
          <w:t>4</w:t>
        </w:r>
        <w:r w:rsidR="00CA07CB" w:rsidRPr="000A2541">
          <w:rPr>
            <w:rFonts w:ascii="Palatino Linotype" w:hAnsi="Palatino Linotype"/>
            <w:b/>
            <w:bCs/>
          </w:rPr>
          <w:fldChar w:fldCharType="end"/>
        </w:r>
        <w:r w:rsidR="00CA07CB" w:rsidRPr="000A2541">
          <w:rPr>
            <w:rFonts w:ascii="Palatino Linotype" w:hAnsi="Palatino Linotype"/>
            <w:lang w:val="es-ES"/>
          </w:rPr>
          <w:t xml:space="preserve"> de </w:t>
        </w:r>
        <w:r w:rsidR="00CA07CB" w:rsidRPr="000A2541">
          <w:rPr>
            <w:rFonts w:ascii="Palatino Linotype" w:hAnsi="Palatino Linotype"/>
            <w:b/>
            <w:bCs/>
          </w:rPr>
          <w:fldChar w:fldCharType="begin"/>
        </w:r>
        <w:r w:rsidR="00CA07CB" w:rsidRPr="000A2541">
          <w:rPr>
            <w:rFonts w:ascii="Palatino Linotype" w:hAnsi="Palatino Linotype"/>
            <w:b/>
            <w:bCs/>
          </w:rPr>
          <w:instrText>NUMPAGES</w:instrText>
        </w:r>
        <w:r w:rsidR="00CA07CB" w:rsidRPr="000A2541">
          <w:rPr>
            <w:rFonts w:ascii="Palatino Linotype" w:hAnsi="Palatino Linotype"/>
            <w:b/>
            <w:bCs/>
          </w:rPr>
          <w:fldChar w:fldCharType="separate"/>
        </w:r>
        <w:r w:rsidR="007443FC">
          <w:rPr>
            <w:rFonts w:ascii="Palatino Linotype" w:hAnsi="Palatino Linotype"/>
            <w:b/>
            <w:bCs/>
            <w:noProof/>
          </w:rPr>
          <w:t>8</w:t>
        </w:r>
        <w:r w:rsidR="00CA07CB" w:rsidRPr="000A2541">
          <w:rPr>
            <w:rFonts w:ascii="Palatino Linotype" w:hAnsi="Palatino Linotype"/>
            <w:b/>
            <w:bCs/>
          </w:rPr>
          <w:fldChar w:fldCharType="end"/>
        </w:r>
      </w:sdtContent>
    </w:sdt>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D656F" w14:textId="77777777" w:rsidR="00BE6285" w:rsidRDefault="00BE6285" w:rsidP="00C80F8C">
      <w:r>
        <w:separator/>
      </w:r>
    </w:p>
  </w:footnote>
  <w:footnote w:type="continuationSeparator" w:id="0">
    <w:p w14:paraId="30E25B16" w14:textId="77777777" w:rsidR="00BE6285" w:rsidRDefault="00BE628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8D647" w14:textId="6D5F2363" w:rsidR="00EF62DD" w:rsidRDefault="00BE6285">
    <w:pPr>
      <w:pStyle w:val="Encabezado"/>
    </w:pPr>
    <w:r>
      <w:rPr>
        <w:noProof/>
      </w:rPr>
      <w:pict w14:anchorId="040C77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9797" o:spid="_x0000_s2050" type="#_x0000_t136" style="position:absolute;margin-left:0;margin-top:0;width:628.95pt;height:73.95pt;rotation:315;z-index:-251654144;mso-position-horizontal:center;mso-position-horizontal-relative:margin;mso-position-vertical:center;mso-position-vertical-relative:margin" o:allowincell="f" fillcolor="silver"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BC56B" w14:textId="7C5EACE9" w:rsidR="00634485" w:rsidRPr="00A81140" w:rsidRDefault="00BE6285" w:rsidP="00C80F8C">
    <w:pPr>
      <w:pStyle w:val="Encabezado"/>
      <w:tabs>
        <w:tab w:val="clear" w:pos="4252"/>
        <w:tab w:val="clear" w:pos="8504"/>
        <w:tab w:val="left" w:pos="2326"/>
      </w:tabs>
      <w:rPr>
        <w:rFonts w:ascii="Palatino Linotype" w:hAnsi="Palatino Linotype"/>
      </w:rPr>
    </w:pPr>
    <w:r>
      <w:rPr>
        <w:noProof/>
      </w:rPr>
      <w:pict w14:anchorId="574B3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9798" o:spid="_x0000_s2051" type="#_x0000_t136" style="position:absolute;margin-left:0;margin-top:0;width:628.95pt;height:73.95pt;rotation:315;z-index:-251652096;mso-position-horizontal:center;mso-position-horizontal-relative:margin;mso-position-vertical:center;mso-position-vertical-relative:margin" o:allowincell="f" fillcolor="silver" stroked="f">
          <v:fill opacity=".5"/>
          <v:textpath style="font-family:&quot;Arial&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0F9141D0" w14:textId="05149624" w:rsidR="00634485" w:rsidRDefault="006F30F8" w:rsidP="006F30F8">
    <w:pPr>
      <w:pStyle w:val="Encabezado"/>
      <w:tabs>
        <w:tab w:val="clear" w:pos="4252"/>
        <w:tab w:val="clear" w:pos="8504"/>
        <w:tab w:val="left" w:pos="2326"/>
      </w:tabs>
    </w:pPr>
    <w:r>
      <w:tab/>
    </w:r>
  </w:p>
  <w:p w14:paraId="01D08E3E" w14:textId="77777777" w:rsidR="006F30F8" w:rsidRDefault="006F30F8" w:rsidP="006F30F8">
    <w:pPr>
      <w:pStyle w:val="Encabezado"/>
      <w:tabs>
        <w:tab w:val="clear" w:pos="4252"/>
        <w:tab w:val="clear" w:pos="8504"/>
        <w:tab w:val="left" w:pos="2326"/>
      </w:tabs>
    </w:pPr>
  </w:p>
  <w:p w14:paraId="529674EB" w14:textId="77777777" w:rsidR="00634485" w:rsidRDefault="00634485" w:rsidP="00C80F8C">
    <w:pPr>
      <w:pStyle w:val="Encabezado"/>
      <w:tabs>
        <w:tab w:val="clear" w:pos="4252"/>
        <w:tab w:val="clear" w:pos="8504"/>
        <w:tab w:val="left" w:pos="2326"/>
      </w:tabs>
    </w:pPr>
  </w:p>
  <w:p w14:paraId="71104997" w14:textId="77777777" w:rsidR="00634485" w:rsidRDefault="00634485" w:rsidP="00C80F8C">
    <w:pPr>
      <w:pStyle w:val="Encabezado"/>
      <w:tabs>
        <w:tab w:val="clear" w:pos="4252"/>
        <w:tab w:val="clear" w:pos="8504"/>
        <w:tab w:val="left" w:pos="23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25CE6" w14:textId="7AAAE2E6" w:rsidR="00EF62DD" w:rsidRDefault="00BE6285">
    <w:pPr>
      <w:pStyle w:val="Encabezado"/>
    </w:pPr>
    <w:r>
      <w:rPr>
        <w:noProof/>
      </w:rPr>
      <w:pict w14:anchorId="23F7F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9796" o:spid="_x0000_s2049" type="#_x0000_t136" style="position:absolute;margin-left:0;margin-top:0;width:628.95pt;height:73.95pt;rotation:315;z-index:-251656192;mso-position-horizontal:center;mso-position-horizontal-relative:margin;mso-position-vertical:center;mso-position-vertical-relative:margin" o:allowincell="f" fillcolor="silver"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022DD"/>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6D54985"/>
    <w:multiLevelType w:val="hybridMultilevel"/>
    <w:tmpl w:val="40EAAF58"/>
    <w:lvl w:ilvl="0" w:tplc="5DF61380">
      <w:start w:val="1"/>
      <w:numFmt w:val="decimal"/>
      <w:lvlText w:val="%1."/>
      <w:lvlJc w:val="left"/>
      <w:pPr>
        <w:ind w:left="720" w:hanging="360"/>
      </w:pPr>
      <w:rPr>
        <w:b/>
        <w:bCs/>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1002466"/>
    <w:multiLevelType w:val="hybridMultilevel"/>
    <w:tmpl w:val="7068BCEC"/>
    <w:lvl w:ilvl="0" w:tplc="A96C0A9C">
      <w:start w:val="1"/>
      <w:numFmt w:val="upp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282843EE"/>
    <w:multiLevelType w:val="hybridMultilevel"/>
    <w:tmpl w:val="6F348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2B8E2722"/>
    <w:multiLevelType w:val="hybridMultilevel"/>
    <w:tmpl w:val="BEB844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71B5325"/>
    <w:multiLevelType w:val="hybridMultilevel"/>
    <w:tmpl w:val="D506075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403E5810"/>
    <w:multiLevelType w:val="hybridMultilevel"/>
    <w:tmpl w:val="99329EB8"/>
    <w:lvl w:ilvl="0" w:tplc="A754DEA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7280C84"/>
    <w:multiLevelType w:val="multilevel"/>
    <w:tmpl w:val="3B84863E"/>
    <w:lvl w:ilvl="0">
      <w:start w:val="1"/>
      <w:numFmt w:val="lowerLetter"/>
      <w:lvlText w:val="%1."/>
      <w:lvlJc w:val="left"/>
      <w:pPr>
        <w:ind w:left="9575" w:hanging="360"/>
      </w:pPr>
      <w:rPr>
        <w:b/>
        <w:bCs/>
      </w:rPr>
    </w:lvl>
    <w:lvl w:ilvl="1">
      <w:start w:val="1"/>
      <w:numFmt w:val="decimal"/>
      <w:isLgl/>
      <w:lvlText w:val="%1.%2."/>
      <w:lvlJc w:val="left"/>
      <w:pPr>
        <w:ind w:left="10010" w:hanging="435"/>
      </w:pPr>
      <w:rPr>
        <w:rFonts w:hint="default"/>
      </w:rPr>
    </w:lvl>
    <w:lvl w:ilvl="2">
      <w:start w:val="1"/>
      <w:numFmt w:val="decimal"/>
      <w:isLgl/>
      <w:lvlText w:val="%1.%2.%3."/>
      <w:lvlJc w:val="left"/>
      <w:pPr>
        <w:ind w:left="10655" w:hanging="720"/>
      </w:pPr>
      <w:rPr>
        <w:rFonts w:hint="default"/>
      </w:rPr>
    </w:lvl>
    <w:lvl w:ilvl="3">
      <w:start w:val="1"/>
      <w:numFmt w:val="decimal"/>
      <w:isLgl/>
      <w:lvlText w:val="%1.%2.%3.%4."/>
      <w:lvlJc w:val="left"/>
      <w:pPr>
        <w:ind w:left="11015" w:hanging="720"/>
      </w:pPr>
      <w:rPr>
        <w:rFonts w:hint="default"/>
      </w:rPr>
    </w:lvl>
    <w:lvl w:ilvl="4">
      <w:start w:val="1"/>
      <w:numFmt w:val="decimal"/>
      <w:isLgl/>
      <w:lvlText w:val="%1.%2.%3.%4.%5."/>
      <w:lvlJc w:val="left"/>
      <w:pPr>
        <w:ind w:left="11735" w:hanging="1080"/>
      </w:pPr>
      <w:rPr>
        <w:rFonts w:hint="default"/>
      </w:rPr>
    </w:lvl>
    <w:lvl w:ilvl="5">
      <w:start w:val="1"/>
      <w:numFmt w:val="decimal"/>
      <w:isLgl/>
      <w:lvlText w:val="%1.%2.%3.%4.%5.%6."/>
      <w:lvlJc w:val="left"/>
      <w:pPr>
        <w:ind w:left="12095" w:hanging="1080"/>
      </w:pPr>
      <w:rPr>
        <w:rFonts w:hint="default"/>
      </w:rPr>
    </w:lvl>
    <w:lvl w:ilvl="6">
      <w:start w:val="1"/>
      <w:numFmt w:val="decimal"/>
      <w:isLgl/>
      <w:lvlText w:val="%1.%2.%3.%4.%5.%6.%7."/>
      <w:lvlJc w:val="left"/>
      <w:pPr>
        <w:ind w:left="12815"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3895" w:hanging="1800"/>
      </w:pPr>
      <w:rPr>
        <w:rFonts w:hint="default"/>
      </w:rPr>
    </w:lvl>
  </w:abstractNum>
  <w:abstractNum w:abstractNumId="9">
    <w:nsid w:val="475F4CF6"/>
    <w:multiLevelType w:val="hybridMultilevel"/>
    <w:tmpl w:val="FC04ED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471ABE"/>
    <w:multiLevelType w:val="hybridMultilevel"/>
    <w:tmpl w:val="4326625E"/>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1">
    <w:nsid w:val="577202FA"/>
    <w:multiLevelType w:val="hybridMultilevel"/>
    <w:tmpl w:val="88A827B6"/>
    <w:lvl w:ilvl="0" w:tplc="D0469B5A">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EAA7948"/>
    <w:multiLevelType w:val="hybridMultilevel"/>
    <w:tmpl w:val="15189D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6A47B92"/>
    <w:multiLevelType w:val="hybridMultilevel"/>
    <w:tmpl w:val="8534B0A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nsid w:val="6F875C07"/>
    <w:multiLevelType w:val="hybridMultilevel"/>
    <w:tmpl w:val="6B5896DA"/>
    <w:lvl w:ilvl="0" w:tplc="D3EE106C">
      <w:start w:val="1"/>
      <w:numFmt w:val="decimal"/>
      <w:lvlText w:val="%1."/>
      <w:lvlJc w:val="left"/>
      <w:pPr>
        <w:ind w:left="786" w:hanging="360"/>
      </w:pPr>
      <w:rPr>
        <w:rFonts w:ascii="Palatino Linotype" w:hAnsi="Palatino Linotype" w:hint="default"/>
        <w:b/>
        <w:i w:val="0"/>
        <w:color w:val="000000" w:themeColor="text1"/>
        <w:sz w:val="24"/>
      </w:rPr>
    </w:lvl>
    <w:lvl w:ilvl="1" w:tplc="080A0013">
      <w:start w:val="1"/>
      <w:numFmt w:val="upperRoman"/>
      <w:lvlText w:val="%2."/>
      <w:lvlJc w:val="right"/>
      <w:pPr>
        <w:ind w:left="786" w:hanging="360"/>
      </w:pPr>
      <w:rPr>
        <w:rFonts w:hint="default"/>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nsid w:val="7ABC3EEA"/>
    <w:multiLevelType w:val="hybridMultilevel"/>
    <w:tmpl w:val="EC98387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7E9E5928"/>
    <w:multiLevelType w:val="hybridMultilevel"/>
    <w:tmpl w:val="508A5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7"/>
  </w:num>
  <w:num w:numId="3">
    <w:abstractNumId w:val="5"/>
  </w:num>
  <w:num w:numId="4">
    <w:abstractNumId w:val="13"/>
  </w:num>
  <w:num w:numId="5">
    <w:abstractNumId w:val="19"/>
  </w:num>
  <w:num w:numId="6">
    <w:abstractNumId w:val="1"/>
  </w:num>
  <w:num w:numId="7">
    <w:abstractNumId w:val="2"/>
  </w:num>
  <w:num w:numId="8">
    <w:abstractNumId w:val="18"/>
  </w:num>
  <w:num w:numId="9">
    <w:abstractNumId w:val="15"/>
  </w:num>
  <w:num w:numId="10">
    <w:abstractNumId w:val="3"/>
  </w:num>
  <w:num w:numId="11">
    <w:abstractNumId w:val="9"/>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4"/>
  </w:num>
  <w:num w:numId="15">
    <w:abstractNumId w:val="6"/>
  </w:num>
  <w:num w:numId="16">
    <w:abstractNumId w:val="16"/>
  </w:num>
  <w:num w:numId="17">
    <w:abstractNumId w:val="10"/>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4"/>
  </w:num>
  <w:num w:numId="21">
    <w:abstractNumId w:val="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55841"/>
    <w:rsid w:val="0008542A"/>
    <w:rsid w:val="00090985"/>
    <w:rsid w:val="000A6E4B"/>
    <w:rsid w:val="000B3FFD"/>
    <w:rsid w:val="000C4453"/>
    <w:rsid w:val="00111AE8"/>
    <w:rsid w:val="00116DE7"/>
    <w:rsid w:val="00132AC5"/>
    <w:rsid w:val="00166447"/>
    <w:rsid w:val="00186E33"/>
    <w:rsid w:val="001C57DE"/>
    <w:rsid w:val="001E70EE"/>
    <w:rsid w:val="00241BC4"/>
    <w:rsid w:val="0024476F"/>
    <w:rsid w:val="00263858"/>
    <w:rsid w:val="002874D1"/>
    <w:rsid w:val="00290929"/>
    <w:rsid w:val="002A6D0E"/>
    <w:rsid w:val="003257F3"/>
    <w:rsid w:val="00343410"/>
    <w:rsid w:val="00360C08"/>
    <w:rsid w:val="003721F5"/>
    <w:rsid w:val="00387059"/>
    <w:rsid w:val="003907F3"/>
    <w:rsid w:val="003B3BFB"/>
    <w:rsid w:val="003E7406"/>
    <w:rsid w:val="003F0A6A"/>
    <w:rsid w:val="004112A3"/>
    <w:rsid w:val="00426E22"/>
    <w:rsid w:val="00430DD5"/>
    <w:rsid w:val="004360B3"/>
    <w:rsid w:val="00463477"/>
    <w:rsid w:val="00473AB7"/>
    <w:rsid w:val="004D0A26"/>
    <w:rsid w:val="004E383A"/>
    <w:rsid w:val="005373E8"/>
    <w:rsid w:val="00542EE3"/>
    <w:rsid w:val="00575235"/>
    <w:rsid w:val="00591350"/>
    <w:rsid w:val="005B20F9"/>
    <w:rsid w:val="005C64CC"/>
    <w:rsid w:val="005D1946"/>
    <w:rsid w:val="005D2361"/>
    <w:rsid w:val="00634485"/>
    <w:rsid w:val="006622F4"/>
    <w:rsid w:val="00672E7C"/>
    <w:rsid w:val="00676649"/>
    <w:rsid w:val="006A04B1"/>
    <w:rsid w:val="006B5505"/>
    <w:rsid w:val="006E6389"/>
    <w:rsid w:val="006F30F8"/>
    <w:rsid w:val="0071093C"/>
    <w:rsid w:val="007238B0"/>
    <w:rsid w:val="00736C06"/>
    <w:rsid w:val="007443FC"/>
    <w:rsid w:val="00746AEF"/>
    <w:rsid w:val="007547D7"/>
    <w:rsid w:val="00762C20"/>
    <w:rsid w:val="00762FD6"/>
    <w:rsid w:val="007F3B57"/>
    <w:rsid w:val="00835FCE"/>
    <w:rsid w:val="0089124C"/>
    <w:rsid w:val="00892AFC"/>
    <w:rsid w:val="008C4B6B"/>
    <w:rsid w:val="008D1526"/>
    <w:rsid w:val="009046BF"/>
    <w:rsid w:val="00912C77"/>
    <w:rsid w:val="009565F9"/>
    <w:rsid w:val="0096112E"/>
    <w:rsid w:val="00970D11"/>
    <w:rsid w:val="00975EB9"/>
    <w:rsid w:val="009C03BD"/>
    <w:rsid w:val="009E0F9C"/>
    <w:rsid w:val="00A02002"/>
    <w:rsid w:val="00A44C01"/>
    <w:rsid w:val="00A47DA4"/>
    <w:rsid w:val="00A81140"/>
    <w:rsid w:val="00A84529"/>
    <w:rsid w:val="00B15CF6"/>
    <w:rsid w:val="00B17515"/>
    <w:rsid w:val="00B4428F"/>
    <w:rsid w:val="00B53290"/>
    <w:rsid w:val="00B73667"/>
    <w:rsid w:val="00B754F1"/>
    <w:rsid w:val="00B76282"/>
    <w:rsid w:val="00BA6C4E"/>
    <w:rsid w:val="00BD7483"/>
    <w:rsid w:val="00BE6285"/>
    <w:rsid w:val="00C51A45"/>
    <w:rsid w:val="00C666C8"/>
    <w:rsid w:val="00C80F8C"/>
    <w:rsid w:val="00CA07CB"/>
    <w:rsid w:val="00CB50F4"/>
    <w:rsid w:val="00D45CA3"/>
    <w:rsid w:val="00D65F5F"/>
    <w:rsid w:val="00D728E2"/>
    <w:rsid w:val="00D76106"/>
    <w:rsid w:val="00D83F3E"/>
    <w:rsid w:val="00D9475B"/>
    <w:rsid w:val="00DF0CCA"/>
    <w:rsid w:val="00E1757A"/>
    <w:rsid w:val="00E30D07"/>
    <w:rsid w:val="00E9134A"/>
    <w:rsid w:val="00EB35BD"/>
    <w:rsid w:val="00EB780C"/>
    <w:rsid w:val="00ED1CC8"/>
    <w:rsid w:val="00EE7341"/>
    <w:rsid w:val="00EF5B95"/>
    <w:rsid w:val="00EF62DD"/>
    <w:rsid w:val="00F1720D"/>
    <w:rsid w:val="00F77D6A"/>
    <w:rsid w:val="00FA3F69"/>
    <w:rsid w:val="00FB48D6"/>
    <w:rsid w:val="00FB6B77"/>
    <w:rsid w:val="00FE5F5E"/>
    <w:rsid w:val="00FE74C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5:docId w15:val="{010E1544-B770-4297-A49D-3A97B394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426E22"/>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FE74C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Ttulo1Car">
    <w:name w:val="Título 1 Car"/>
    <w:basedOn w:val="Fuentedeprrafopredeter"/>
    <w:link w:val="Ttulo1"/>
    <w:uiPriority w:val="9"/>
    <w:rsid w:val="00426E22"/>
    <w:rPr>
      <w:rFonts w:ascii="Palatino Linotype" w:eastAsiaTheme="majorEastAsia" w:hAnsi="Palatino Linotype" w:cstheme="majorBidi"/>
      <w:b/>
      <w:szCs w:val="32"/>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426E22"/>
    <w:pPr>
      <w:pBdr>
        <w:top w:val="nil"/>
        <w:left w:val="nil"/>
        <w:bottom w:val="nil"/>
        <w:right w:val="nil"/>
        <w:between w:val="nil"/>
        <w:bar w:val="nil"/>
      </w:pBdr>
    </w:pPr>
    <w:rPr>
      <w:rFonts w:eastAsia="Arial Unicode MS"/>
      <w:sz w:val="20"/>
      <w:szCs w:val="20"/>
      <w:bdr w:val="nil"/>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426E22"/>
    <w:rPr>
      <w:rFonts w:ascii="Times New Roman" w:eastAsia="Arial Unicode MS" w:hAnsi="Times New Roman" w:cs="Times New Roman"/>
      <w:sz w:val="20"/>
      <w:szCs w:val="20"/>
      <w:bdr w:val="nil"/>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426E22"/>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26E22"/>
    <w:pPr>
      <w:spacing w:after="160" w:line="259" w:lineRule="auto"/>
      <w:ind w:left="720"/>
      <w:contextualSpacing/>
    </w:pPr>
    <w:rPr>
      <w:rFonts w:asciiTheme="minorHAnsi" w:eastAsiaTheme="minorHAnsi" w:hAnsiTheme="minorHAnsi" w:cstheme="minorBidi"/>
      <w:sz w:val="22"/>
      <w:szCs w:val="22"/>
      <w:lang w:val="es-MX" w:eastAsia="en-U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6E22"/>
    <w:rPr>
      <w:rFonts w:eastAsiaTheme="minorHAnsi"/>
      <w:sz w:val="22"/>
      <w:szCs w:val="22"/>
      <w:lang w:val="es-MX" w:eastAsia="en-US"/>
    </w:rPr>
  </w:style>
  <w:style w:type="paragraph" w:styleId="TtulodeTDC">
    <w:name w:val="TOC Heading"/>
    <w:basedOn w:val="Ttulo1"/>
    <w:next w:val="Normal"/>
    <w:uiPriority w:val="39"/>
    <w:unhideWhenUsed/>
    <w:qFormat/>
    <w:rsid w:val="00426E22"/>
    <w:pPr>
      <w:outlineLvl w:val="9"/>
    </w:pPr>
    <w:rPr>
      <w:lang w:eastAsia="es-MX"/>
    </w:rPr>
  </w:style>
  <w:style w:type="paragraph" w:styleId="TDC1">
    <w:name w:val="toc 1"/>
    <w:basedOn w:val="Normal"/>
    <w:next w:val="Normal"/>
    <w:autoRedefine/>
    <w:uiPriority w:val="39"/>
    <w:unhideWhenUsed/>
    <w:rsid w:val="00426E22"/>
    <w:pPr>
      <w:tabs>
        <w:tab w:val="left" w:pos="660"/>
        <w:tab w:val="right" w:leader="dot" w:pos="8828"/>
      </w:tabs>
      <w:spacing w:after="100"/>
    </w:pPr>
    <w:rPr>
      <w:rFonts w:asciiTheme="minorHAnsi" w:eastAsiaTheme="minorHAnsi" w:hAnsiTheme="minorHAnsi" w:cstheme="minorBidi"/>
      <w:sz w:val="22"/>
      <w:szCs w:val="22"/>
      <w:lang w:val="es-MX" w:eastAsia="en-US"/>
    </w:rPr>
  </w:style>
  <w:style w:type="character" w:styleId="Hipervnculo">
    <w:name w:val="Hyperlink"/>
    <w:aliases w:val="Hipervínculo1,Hipervínculo11,Hipervínculo12,Hipervínculo13,Hipervínculo14,Hipervínculo15"/>
    <w:basedOn w:val="Fuentedeprrafopredeter"/>
    <w:uiPriority w:val="99"/>
    <w:unhideWhenUsed/>
    <w:rsid w:val="00426E22"/>
    <w:rPr>
      <w:color w:val="0000FF" w:themeColor="hyperlink"/>
      <w:u w:val="single"/>
    </w:rPr>
  </w:style>
  <w:style w:type="paragraph" w:styleId="Sinespaciado">
    <w:name w:val="No Spacing"/>
    <w:aliases w:val="Francesa"/>
    <w:link w:val="SinespaciadoCar"/>
    <w:uiPriority w:val="1"/>
    <w:qFormat/>
    <w:rsid w:val="00426E22"/>
    <w:rPr>
      <w:rFonts w:eastAsiaTheme="minorHAnsi"/>
      <w:sz w:val="22"/>
      <w:szCs w:val="22"/>
      <w:lang w:val="es-MX" w:eastAsia="en-US"/>
    </w:rPr>
  </w:style>
  <w:style w:type="character" w:customStyle="1" w:styleId="SinespaciadoCar">
    <w:name w:val="Sin espaciado Car"/>
    <w:aliases w:val="Francesa Car"/>
    <w:link w:val="Sinespaciado"/>
    <w:uiPriority w:val="1"/>
    <w:locked/>
    <w:rsid w:val="00426E22"/>
    <w:rPr>
      <w:rFonts w:eastAsiaTheme="minorHAnsi"/>
      <w:sz w:val="22"/>
      <w:szCs w:val="22"/>
      <w:lang w:val="es-MX" w:eastAsia="en-US"/>
    </w:rPr>
  </w:style>
  <w:style w:type="paragraph" w:customStyle="1" w:styleId="m5907675151158779931gmail-msolistparagraph">
    <w:name w:val="m_5907675151158779931gmail-msolistparagraph"/>
    <w:basedOn w:val="Normal"/>
    <w:rsid w:val="00186E33"/>
    <w:pPr>
      <w:spacing w:before="100" w:beforeAutospacing="1" w:after="100" w:afterAutospacing="1"/>
    </w:pPr>
    <w:rPr>
      <w:lang w:val="es-MX" w:eastAsia="es-MX"/>
    </w:rPr>
  </w:style>
  <w:style w:type="paragraph" w:styleId="TDC2">
    <w:name w:val="toc 2"/>
    <w:basedOn w:val="Normal"/>
    <w:next w:val="Normal"/>
    <w:autoRedefine/>
    <w:uiPriority w:val="39"/>
    <w:unhideWhenUsed/>
    <w:rsid w:val="007F3B57"/>
    <w:pPr>
      <w:spacing w:after="100"/>
      <w:ind w:left="240"/>
    </w:pPr>
  </w:style>
  <w:style w:type="paragraph" w:styleId="NormalWeb">
    <w:name w:val="Normal (Web)"/>
    <w:basedOn w:val="Normal"/>
    <w:uiPriority w:val="99"/>
    <w:unhideWhenUsed/>
    <w:rsid w:val="007F3B57"/>
    <w:pPr>
      <w:spacing w:before="100" w:beforeAutospacing="1" w:after="100" w:afterAutospacing="1"/>
    </w:pPr>
    <w:rPr>
      <w:rFonts w:eastAsiaTheme="minorEastAsia"/>
      <w:lang w:val="es-MX" w:eastAsia="es-MX"/>
    </w:rPr>
  </w:style>
  <w:style w:type="paragraph" w:customStyle="1" w:styleId="j">
    <w:name w:val="j"/>
    <w:basedOn w:val="Normal"/>
    <w:rsid w:val="007F3B57"/>
    <w:pPr>
      <w:spacing w:before="100" w:beforeAutospacing="1" w:after="100" w:afterAutospacing="1"/>
    </w:pPr>
    <w:rPr>
      <w:rFonts w:eastAsiaTheme="minorHAnsi"/>
      <w:lang w:val="es-ES_tradnl" w:eastAsia="es-ES_tradnl"/>
    </w:rPr>
  </w:style>
  <w:style w:type="table" w:styleId="Tablanormal1">
    <w:name w:val="Plain Table 1"/>
    <w:basedOn w:val="Tablanormal"/>
    <w:uiPriority w:val="41"/>
    <w:rsid w:val="007F3B57"/>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2Car">
    <w:name w:val="Título 2 Car"/>
    <w:basedOn w:val="Fuentedeprrafopredeter"/>
    <w:link w:val="Ttulo2"/>
    <w:uiPriority w:val="9"/>
    <w:rsid w:val="00FE74C4"/>
    <w:rPr>
      <w:rFonts w:asciiTheme="majorHAnsi" w:eastAsiaTheme="majorEastAsia" w:hAnsiTheme="majorHAnsi" w:cstheme="majorBidi"/>
      <w:color w:val="365F91" w:themeColor="accent1" w:themeShade="BF"/>
      <w:sz w:val="26"/>
      <w:szCs w:val="2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42826">
      <w:bodyDiv w:val="1"/>
      <w:marLeft w:val="0"/>
      <w:marRight w:val="0"/>
      <w:marTop w:val="0"/>
      <w:marBottom w:val="0"/>
      <w:divBdr>
        <w:top w:val="none" w:sz="0" w:space="0" w:color="auto"/>
        <w:left w:val="none" w:sz="0" w:space="0" w:color="auto"/>
        <w:bottom w:val="none" w:sz="0" w:space="0" w:color="auto"/>
        <w:right w:val="none" w:sz="0" w:space="0" w:color="auto"/>
      </w:divBdr>
    </w:div>
    <w:div w:id="265239759">
      <w:bodyDiv w:val="1"/>
      <w:marLeft w:val="0"/>
      <w:marRight w:val="0"/>
      <w:marTop w:val="0"/>
      <w:marBottom w:val="0"/>
      <w:divBdr>
        <w:top w:val="none" w:sz="0" w:space="0" w:color="auto"/>
        <w:left w:val="none" w:sz="0" w:space="0" w:color="auto"/>
        <w:bottom w:val="none" w:sz="0" w:space="0" w:color="auto"/>
        <w:right w:val="none" w:sz="0" w:space="0" w:color="auto"/>
      </w:divBdr>
    </w:div>
    <w:div w:id="499663873">
      <w:bodyDiv w:val="1"/>
      <w:marLeft w:val="0"/>
      <w:marRight w:val="0"/>
      <w:marTop w:val="0"/>
      <w:marBottom w:val="0"/>
      <w:divBdr>
        <w:top w:val="none" w:sz="0" w:space="0" w:color="auto"/>
        <w:left w:val="none" w:sz="0" w:space="0" w:color="auto"/>
        <w:bottom w:val="none" w:sz="0" w:space="0" w:color="auto"/>
        <w:right w:val="none" w:sz="0" w:space="0" w:color="auto"/>
      </w:divBdr>
    </w:div>
    <w:div w:id="517160610">
      <w:bodyDiv w:val="1"/>
      <w:marLeft w:val="0"/>
      <w:marRight w:val="0"/>
      <w:marTop w:val="0"/>
      <w:marBottom w:val="0"/>
      <w:divBdr>
        <w:top w:val="none" w:sz="0" w:space="0" w:color="auto"/>
        <w:left w:val="none" w:sz="0" w:space="0" w:color="auto"/>
        <w:bottom w:val="none" w:sz="0" w:space="0" w:color="auto"/>
        <w:right w:val="none" w:sz="0" w:space="0" w:color="auto"/>
      </w:divBdr>
    </w:div>
    <w:div w:id="563637337">
      <w:bodyDiv w:val="1"/>
      <w:marLeft w:val="0"/>
      <w:marRight w:val="0"/>
      <w:marTop w:val="0"/>
      <w:marBottom w:val="0"/>
      <w:divBdr>
        <w:top w:val="none" w:sz="0" w:space="0" w:color="auto"/>
        <w:left w:val="none" w:sz="0" w:space="0" w:color="auto"/>
        <w:bottom w:val="none" w:sz="0" w:space="0" w:color="auto"/>
        <w:right w:val="none" w:sz="0" w:space="0" w:color="auto"/>
      </w:divBdr>
    </w:div>
    <w:div w:id="579488023">
      <w:bodyDiv w:val="1"/>
      <w:marLeft w:val="0"/>
      <w:marRight w:val="0"/>
      <w:marTop w:val="0"/>
      <w:marBottom w:val="0"/>
      <w:divBdr>
        <w:top w:val="none" w:sz="0" w:space="0" w:color="auto"/>
        <w:left w:val="none" w:sz="0" w:space="0" w:color="auto"/>
        <w:bottom w:val="none" w:sz="0" w:space="0" w:color="auto"/>
        <w:right w:val="none" w:sz="0" w:space="0" w:color="auto"/>
      </w:divBdr>
    </w:div>
    <w:div w:id="581451874">
      <w:bodyDiv w:val="1"/>
      <w:marLeft w:val="0"/>
      <w:marRight w:val="0"/>
      <w:marTop w:val="0"/>
      <w:marBottom w:val="0"/>
      <w:divBdr>
        <w:top w:val="none" w:sz="0" w:space="0" w:color="auto"/>
        <w:left w:val="none" w:sz="0" w:space="0" w:color="auto"/>
        <w:bottom w:val="none" w:sz="0" w:space="0" w:color="auto"/>
        <w:right w:val="none" w:sz="0" w:space="0" w:color="auto"/>
      </w:divBdr>
    </w:div>
    <w:div w:id="619410257">
      <w:bodyDiv w:val="1"/>
      <w:marLeft w:val="0"/>
      <w:marRight w:val="0"/>
      <w:marTop w:val="0"/>
      <w:marBottom w:val="0"/>
      <w:divBdr>
        <w:top w:val="none" w:sz="0" w:space="0" w:color="auto"/>
        <w:left w:val="none" w:sz="0" w:space="0" w:color="auto"/>
        <w:bottom w:val="none" w:sz="0" w:space="0" w:color="auto"/>
        <w:right w:val="none" w:sz="0" w:space="0" w:color="auto"/>
      </w:divBdr>
    </w:div>
    <w:div w:id="656616942">
      <w:bodyDiv w:val="1"/>
      <w:marLeft w:val="0"/>
      <w:marRight w:val="0"/>
      <w:marTop w:val="0"/>
      <w:marBottom w:val="0"/>
      <w:divBdr>
        <w:top w:val="none" w:sz="0" w:space="0" w:color="auto"/>
        <w:left w:val="none" w:sz="0" w:space="0" w:color="auto"/>
        <w:bottom w:val="none" w:sz="0" w:space="0" w:color="auto"/>
        <w:right w:val="none" w:sz="0" w:space="0" w:color="auto"/>
      </w:divBdr>
    </w:div>
    <w:div w:id="867446032">
      <w:bodyDiv w:val="1"/>
      <w:marLeft w:val="0"/>
      <w:marRight w:val="0"/>
      <w:marTop w:val="0"/>
      <w:marBottom w:val="0"/>
      <w:divBdr>
        <w:top w:val="none" w:sz="0" w:space="0" w:color="auto"/>
        <w:left w:val="none" w:sz="0" w:space="0" w:color="auto"/>
        <w:bottom w:val="none" w:sz="0" w:space="0" w:color="auto"/>
        <w:right w:val="none" w:sz="0" w:space="0" w:color="auto"/>
      </w:divBdr>
    </w:div>
    <w:div w:id="951085851">
      <w:bodyDiv w:val="1"/>
      <w:marLeft w:val="0"/>
      <w:marRight w:val="0"/>
      <w:marTop w:val="0"/>
      <w:marBottom w:val="0"/>
      <w:divBdr>
        <w:top w:val="none" w:sz="0" w:space="0" w:color="auto"/>
        <w:left w:val="none" w:sz="0" w:space="0" w:color="auto"/>
        <w:bottom w:val="none" w:sz="0" w:space="0" w:color="auto"/>
        <w:right w:val="none" w:sz="0" w:space="0" w:color="auto"/>
      </w:divBdr>
    </w:div>
    <w:div w:id="1027874717">
      <w:bodyDiv w:val="1"/>
      <w:marLeft w:val="0"/>
      <w:marRight w:val="0"/>
      <w:marTop w:val="0"/>
      <w:marBottom w:val="0"/>
      <w:divBdr>
        <w:top w:val="none" w:sz="0" w:space="0" w:color="auto"/>
        <w:left w:val="none" w:sz="0" w:space="0" w:color="auto"/>
        <w:bottom w:val="none" w:sz="0" w:space="0" w:color="auto"/>
        <w:right w:val="none" w:sz="0" w:space="0" w:color="auto"/>
      </w:divBdr>
    </w:div>
    <w:div w:id="1039623364">
      <w:bodyDiv w:val="1"/>
      <w:marLeft w:val="0"/>
      <w:marRight w:val="0"/>
      <w:marTop w:val="0"/>
      <w:marBottom w:val="0"/>
      <w:divBdr>
        <w:top w:val="none" w:sz="0" w:space="0" w:color="auto"/>
        <w:left w:val="none" w:sz="0" w:space="0" w:color="auto"/>
        <w:bottom w:val="none" w:sz="0" w:space="0" w:color="auto"/>
        <w:right w:val="none" w:sz="0" w:space="0" w:color="auto"/>
      </w:divBdr>
    </w:div>
    <w:div w:id="1129863877">
      <w:bodyDiv w:val="1"/>
      <w:marLeft w:val="0"/>
      <w:marRight w:val="0"/>
      <w:marTop w:val="0"/>
      <w:marBottom w:val="0"/>
      <w:divBdr>
        <w:top w:val="none" w:sz="0" w:space="0" w:color="auto"/>
        <w:left w:val="none" w:sz="0" w:space="0" w:color="auto"/>
        <w:bottom w:val="none" w:sz="0" w:space="0" w:color="auto"/>
        <w:right w:val="none" w:sz="0" w:space="0" w:color="auto"/>
      </w:divBdr>
    </w:div>
    <w:div w:id="1140999047">
      <w:bodyDiv w:val="1"/>
      <w:marLeft w:val="0"/>
      <w:marRight w:val="0"/>
      <w:marTop w:val="0"/>
      <w:marBottom w:val="0"/>
      <w:divBdr>
        <w:top w:val="none" w:sz="0" w:space="0" w:color="auto"/>
        <w:left w:val="none" w:sz="0" w:space="0" w:color="auto"/>
        <w:bottom w:val="none" w:sz="0" w:space="0" w:color="auto"/>
        <w:right w:val="none" w:sz="0" w:space="0" w:color="auto"/>
      </w:divBdr>
    </w:div>
    <w:div w:id="1258248888">
      <w:bodyDiv w:val="1"/>
      <w:marLeft w:val="0"/>
      <w:marRight w:val="0"/>
      <w:marTop w:val="0"/>
      <w:marBottom w:val="0"/>
      <w:divBdr>
        <w:top w:val="none" w:sz="0" w:space="0" w:color="auto"/>
        <w:left w:val="none" w:sz="0" w:space="0" w:color="auto"/>
        <w:bottom w:val="none" w:sz="0" w:space="0" w:color="auto"/>
        <w:right w:val="none" w:sz="0" w:space="0" w:color="auto"/>
      </w:divBdr>
    </w:div>
    <w:div w:id="1329332564">
      <w:bodyDiv w:val="1"/>
      <w:marLeft w:val="0"/>
      <w:marRight w:val="0"/>
      <w:marTop w:val="0"/>
      <w:marBottom w:val="0"/>
      <w:divBdr>
        <w:top w:val="none" w:sz="0" w:space="0" w:color="auto"/>
        <w:left w:val="none" w:sz="0" w:space="0" w:color="auto"/>
        <w:bottom w:val="none" w:sz="0" w:space="0" w:color="auto"/>
        <w:right w:val="none" w:sz="0" w:space="0" w:color="auto"/>
      </w:divBdr>
    </w:div>
    <w:div w:id="1538619235">
      <w:bodyDiv w:val="1"/>
      <w:marLeft w:val="0"/>
      <w:marRight w:val="0"/>
      <w:marTop w:val="0"/>
      <w:marBottom w:val="0"/>
      <w:divBdr>
        <w:top w:val="none" w:sz="0" w:space="0" w:color="auto"/>
        <w:left w:val="none" w:sz="0" w:space="0" w:color="auto"/>
        <w:bottom w:val="none" w:sz="0" w:space="0" w:color="auto"/>
        <w:right w:val="none" w:sz="0" w:space="0" w:color="auto"/>
      </w:divBdr>
    </w:div>
    <w:div w:id="1618638286">
      <w:bodyDiv w:val="1"/>
      <w:marLeft w:val="0"/>
      <w:marRight w:val="0"/>
      <w:marTop w:val="0"/>
      <w:marBottom w:val="0"/>
      <w:divBdr>
        <w:top w:val="none" w:sz="0" w:space="0" w:color="auto"/>
        <w:left w:val="none" w:sz="0" w:space="0" w:color="auto"/>
        <w:bottom w:val="none" w:sz="0" w:space="0" w:color="auto"/>
        <w:right w:val="none" w:sz="0" w:space="0" w:color="auto"/>
      </w:divBdr>
    </w:div>
    <w:div w:id="1622541178">
      <w:bodyDiv w:val="1"/>
      <w:marLeft w:val="0"/>
      <w:marRight w:val="0"/>
      <w:marTop w:val="0"/>
      <w:marBottom w:val="0"/>
      <w:divBdr>
        <w:top w:val="none" w:sz="0" w:space="0" w:color="auto"/>
        <w:left w:val="none" w:sz="0" w:space="0" w:color="auto"/>
        <w:bottom w:val="none" w:sz="0" w:space="0" w:color="auto"/>
        <w:right w:val="none" w:sz="0" w:space="0" w:color="auto"/>
      </w:divBdr>
    </w:div>
    <w:div w:id="1679649389">
      <w:bodyDiv w:val="1"/>
      <w:marLeft w:val="0"/>
      <w:marRight w:val="0"/>
      <w:marTop w:val="0"/>
      <w:marBottom w:val="0"/>
      <w:divBdr>
        <w:top w:val="none" w:sz="0" w:space="0" w:color="auto"/>
        <w:left w:val="none" w:sz="0" w:space="0" w:color="auto"/>
        <w:bottom w:val="none" w:sz="0" w:space="0" w:color="auto"/>
        <w:right w:val="none" w:sz="0" w:space="0" w:color="auto"/>
      </w:divBdr>
    </w:div>
    <w:div w:id="1806240296">
      <w:bodyDiv w:val="1"/>
      <w:marLeft w:val="0"/>
      <w:marRight w:val="0"/>
      <w:marTop w:val="0"/>
      <w:marBottom w:val="0"/>
      <w:divBdr>
        <w:top w:val="none" w:sz="0" w:space="0" w:color="auto"/>
        <w:left w:val="none" w:sz="0" w:space="0" w:color="auto"/>
        <w:bottom w:val="none" w:sz="0" w:space="0" w:color="auto"/>
        <w:right w:val="none" w:sz="0" w:space="0" w:color="auto"/>
      </w:divBdr>
    </w:div>
    <w:div w:id="1887599509">
      <w:bodyDiv w:val="1"/>
      <w:marLeft w:val="0"/>
      <w:marRight w:val="0"/>
      <w:marTop w:val="0"/>
      <w:marBottom w:val="0"/>
      <w:divBdr>
        <w:top w:val="none" w:sz="0" w:space="0" w:color="auto"/>
        <w:left w:val="none" w:sz="0" w:space="0" w:color="auto"/>
        <w:bottom w:val="none" w:sz="0" w:space="0" w:color="auto"/>
        <w:right w:val="none" w:sz="0" w:space="0" w:color="auto"/>
      </w:divBdr>
    </w:div>
    <w:div w:id="1936818009">
      <w:bodyDiv w:val="1"/>
      <w:marLeft w:val="0"/>
      <w:marRight w:val="0"/>
      <w:marTop w:val="0"/>
      <w:marBottom w:val="0"/>
      <w:divBdr>
        <w:top w:val="none" w:sz="0" w:space="0" w:color="auto"/>
        <w:left w:val="none" w:sz="0" w:space="0" w:color="auto"/>
        <w:bottom w:val="none" w:sz="0" w:space="0" w:color="auto"/>
        <w:right w:val="none" w:sz="0" w:space="0" w:color="auto"/>
      </w:divBdr>
    </w:div>
    <w:div w:id="1966308002">
      <w:bodyDiv w:val="1"/>
      <w:marLeft w:val="0"/>
      <w:marRight w:val="0"/>
      <w:marTop w:val="0"/>
      <w:marBottom w:val="0"/>
      <w:divBdr>
        <w:top w:val="none" w:sz="0" w:space="0" w:color="auto"/>
        <w:left w:val="none" w:sz="0" w:space="0" w:color="auto"/>
        <w:bottom w:val="none" w:sz="0" w:space="0" w:color="auto"/>
        <w:right w:val="none" w:sz="0" w:space="0" w:color="auto"/>
      </w:divBdr>
    </w:div>
    <w:div w:id="2022967259">
      <w:bodyDiv w:val="1"/>
      <w:marLeft w:val="0"/>
      <w:marRight w:val="0"/>
      <w:marTop w:val="0"/>
      <w:marBottom w:val="0"/>
      <w:divBdr>
        <w:top w:val="none" w:sz="0" w:space="0" w:color="auto"/>
        <w:left w:val="none" w:sz="0" w:space="0" w:color="auto"/>
        <w:bottom w:val="none" w:sz="0" w:space="0" w:color="auto"/>
        <w:right w:val="none" w:sz="0" w:space="0" w:color="auto"/>
      </w:divBdr>
    </w:div>
    <w:div w:id="2045254674">
      <w:bodyDiv w:val="1"/>
      <w:marLeft w:val="0"/>
      <w:marRight w:val="0"/>
      <w:marTop w:val="0"/>
      <w:marBottom w:val="0"/>
      <w:divBdr>
        <w:top w:val="none" w:sz="0" w:space="0" w:color="auto"/>
        <w:left w:val="none" w:sz="0" w:space="0" w:color="auto"/>
        <w:bottom w:val="none" w:sz="0" w:space="0" w:color="auto"/>
        <w:right w:val="none" w:sz="0" w:space="0" w:color="auto"/>
      </w:divBdr>
    </w:div>
    <w:div w:id="2092072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36339.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1236340.pag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BB45E-2CA3-4FEF-8076-0CAE07BD1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1558</Words>
  <Characters>8570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INFORMATICA</cp:lastModifiedBy>
  <cp:revision>4</cp:revision>
  <cp:lastPrinted>2022-01-24T18:55:00Z</cp:lastPrinted>
  <dcterms:created xsi:type="dcterms:W3CDTF">2022-01-24T18:55:00Z</dcterms:created>
  <dcterms:modified xsi:type="dcterms:W3CDTF">2022-01-24T19:00:00Z</dcterms:modified>
</cp:coreProperties>
</file>