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28A4E" w14:textId="2832B253" w:rsidR="00DA1101" w:rsidRDefault="00DA1101" w:rsidP="001F2FE0">
      <w:pPr>
        <w:pStyle w:val="Encabezado"/>
        <w:spacing w:line="360" w:lineRule="auto"/>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1F2FE0" w:rsidRPr="001F2FE0">
        <w:rPr>
          <w:rFonts w:ascii="Palatino Linotype" w:eastAsia="MS Mincho" w:hAnsi="Palatino Linotype"/>
          <w:b/>
          <w:bCs/>
        </w:rPr>
        <w:t>08697/INFOEM/IP/RR/2022</w:t>
      </w:r>
      <w:r w:rsidRPr="006A7606">
        <w:rPr>
          <w:rFonts w:ascii="Palatino Linotype" w:hAnsi="Palatino Linotype" w:cs="Tahoma"/>
          <w:b/>
        </w:rPr>
        <w:t xml:space="preserve">, PROMOVIDO EN CONTRA </w:t>
      </w:r>
      <w:r w:rsidR="001F2FE0" w:rsidRPr="006A7606">
        <w:rPr>
          <w:rFonts w:ascii="Palatino Linotype" w:hAnsi="Palatino Linotype" w:cs="Tahoma"/>
          <w:b/>
        </w:rPr>
        <w:t>DE</w:t>
      </w:r>
      <w:r w:rsidR="001F2FE0">
        <w:rPr>
          <w:rFonts w:ascii="Palatino Linotype" w:hAnsi="Palatino Linotype" w:cs="Tahoma"/>
          <w:b/>
        </w:rPr>
        <w:t xml:space="preserve">L </w:t>
      </w:r>
      <w:r w:rsidR="001F2FE0" w:rsidRPr="001F2FE0">
        <w:rPr>
          <w:rFonts w:ascii="Palatino Linotype" w:hAnsi="Palatino Linotype" w:cs="Tahoma"/>
          <w:b/>
        </w:rPr>
        <w:t>AYUNTAMIENTO DE EL ORO</w:t>
      </w:r>
      <w:r w:rsidR="001F2FE0">
        <w:rPr>
          <w:rFonts w:ascii="Palatino Linotype" w:hAnsi="Palatino Linotype" w:cs="Tahoma"/>
          <w:b/>
        </w:rPr>
        <w:t>.</w:t>
      </w:r>
    </w:p>
    <w:p w14:paraId="6EECA1C1" w14:textId="77777777" w:rsidR="001F2FE0" w:rsidRPr="006A7606" w:rsidRDefault="001F2FE0" w:rsidP="001F2FE0">
      <w:pPr>
        <w:pStyle w:val="Encabezado"/>
        <w:spacing w:line="360" w:lineRule="auto"/>
        <w:jc w:val="both"/>
        <w:rPr>
          <w:rFonts w:ascii="Palatino Linotype" w:hAnsi="Palatino Linotype" w:cs="Tahoma"/>
        </w:rPr>
      </w:pPr>
    </w:p>
    <w:p w14:paraId="2B90BEC2" w14:textId="15A10F88" w:rsidR="00DA1101" w:rsidRPr="00885189" w:rsidRDefault="00DA1101" w:rsidP="00DA1101">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Pr>
          <w:rFonts w:ascii="Palatino Linotype" w:hAnsi="Palatino Linotype" w:cs="Tahoma"/>
          <w:b/>
        </w:rPr>
        <w:t>Voto Particular</w:t>
      </w:r>
      <w:r>
        <w:rPr>
          <w:rFonts w:ascii="Palatino Linotype" w:hAnsi="Palatino Linotype" w:cs="Tahoma"/>
        </w:rPr>
        <w:t xml:space="preserve"> por no compartir en su totalidad las consideraciones que sustentan la Resolución del Recurso de Revisión </w:t>
      </w:r>
      <w:r w:rsidR="001F2FE0" w:rsidRPr="001F2FE0">
        <w:rPr>
          <w:rFonts w:ascii="Palatino Linotype" w:eastAsia="MS Mincho" w:hAnsi="Palatino Linotype"/>
          <w:b/>
          <w:bCs/>
        </w:rPr>
        <w:t>08697/INFOEM/IP/RR/2022</w:t>
      </w:r>
      <w:r w:rsidRPr="00976B1D">
        <w:rPr>
          <w:rFonts w:ascii="Palatino Linotype" w:hAnsi="Palatino Linotype"/>
          <w:b/>
          <w:lang w:val="es-MX"/>
        </w:rPr>
        <w:t>.</w:t>
      </w:r>
    </w:p>
    <w:p w14:paraId="6AF2EBF2" w14:textId="77777777" w:rsidR="00DA1101" w:rsidRPr="00885189" w:rsidRDefault="00DA1101" w:rsidP="00DA1101">
      <w:pPr>
        <w:spacing w:after="0" w:line="360" w:lineRule="auto"/>
        <w:jc w:val="both"/>
        <w:rPr>
          <w:rFonts w:ascii="Palatino Linotype" w:hAnsi="Palatino Linotype" w:cs="Tahoma"/>
        </w:rPr>
      </w:pPr>
    </w:p>
    <w:p w14:paraId="04528A18" w14:textId="2429ECFF" w:rsidR="00DA1101" w:rsidRPr="007D741D" w:rsidRDefault="00DA1101" w:rsidP="00C6451B">
      <w:pPr>
        <w:spacing w:after="0" w:line="360" w:lineRule="auto"/>
        <w:jc w:val="both"/>
        <w:rPr>
          <w:rFonts w:ascii="Palatino Linotype" w:hAnsi="Palatino Linotype" w:cs="Tahoma"/>
        </w:rPr>
      </w:pPr>
      <w:r w:rsidRPr="007D741D">
        <w:rPr>
          <w:rFonts w:ascii="Palatino Linotype" w:hAnsi="Palatino Linotype" w:cs="Tahoma"/>
        </w:rPr>
        <w:t xml:space="preserve">Como se desprende de la Resolución en comento, el Particular </w:t>
      </w:r>
      <w:r w:rsidR="00C6451B" w:rsidRPr="00C6451B">
        <w:rPr>
          <w:rFonts w:ascii="Palatino Linotype" w:hAnsi="Palatino Linotype" w:cs="Tahoma"/>
        </w:rPr>
        <w:t>solicitó diversa</w:t>
      </w:r>
      <w:r w:rsidR="00C6451B">
        <w:rPr>
          <w:rFonts w:ascii="Palatino Linotype" w:hAnsi="Palatino Linotype" w:cs="Tahoma"/>
        </w:rPr>
        <w:t xml:space="preserve"> </w:t>
      </w:r>
      <w:r w:rsidR="00C6451B" w:rsidRPr="00C6451B">
        <w:rPr>
          <w:rFonts w:ascii="Palatino Linotype" w:hAnsi="Palatino Linotype" w:cs="Tahoma"/>
        </w:rPr>
        <w:t>información respecto de la cual,</w:t>
      </w:r>
      <w:r w:rsidR="00C6451B">
        <w:rPr>
          <w:rFonts w:ascii="Palatino Linotype" w:hAnsi="Palatino Linotype" w:cs="Tahoma"/>
        </w:rPr>
        <w:t xml:space="preserve"> </w:t>
      </w:r>
      <w:r w:rsidRPr="007D741D">
        <w:rPr>
          <w:rFonts w:ascii="Palatino Linotype" w:hAnsi="Palatino Linotype" w:cs="Tahoma"/>
        </w:rPr>
        <w:t xml:space="preserve">los documentos que satisfacen parte de su derecho de acceso a la información, contienen el </w:t>
      </w:r>
      <w:r w:rsidRPr="007D741D">
        <w:rPr>
          <w:rFonts w:ascii="Palatino Linotype" w:hAnsi="Palatino Linotype" w:cs="Tahoma"/>
          <w:b/>
          <w:bCs/>
        </w:rPr>
        <w:t>nombre de los elementos operativos del área de seguridad pública del Sujeto Obligado;</w:t>
      </w:r>
      <w:r w:rsidRPr="007D741D">
        <w:rPr>
          <w:rFonts w:ascii="Palatino Linotype" w:hAnsi="Palatino Linotype" w:cs="Tahoma"/>
        </w:rPr>
        <w:t xml:space="preserve"> por ello, la Ponencia Resolutora determinó que estos debían ser clasificados como reservados con fundamento en el artículo 140, fracción IV, de la Ley de Transparencia y Acceso a la Información Pública del Estado de México y Municipios y, ordenó la entrega de la información solicitada, así como el acuerdo de clasificación emitido por el Comité de Transparencia.</w:t>
      </w:r>
    </w:p>
    <w:p w14:paraId="6D8872D6" w14:textId="77777777" w:rsidR="00DA1101" w:rsidRDefault="00DA1101" w:rsidP="00DA1101">
      <w:pPr>
        <w:spacing w:after="0" w:line="360" w:lineRule="auto"/>
        <w:jc w:val="both"/>
        <w:rPr>
          <w:rFonts w:ascii="Palatino Linotype" w:hAnsi="Palatino Linotype" w:cs="Tahoma"/>
        </w:rPr>
      </w:pPr>
    </w:p>
    <w:p w14:paraId="26AA7DD2" w14:textId="77777777" w:rsidR="00DA1101" w:rsidRDefault="00DA1101" w:rsidP="00DA1101">
      <w:pPr>
        <w:spacing w:after="0" w:line="360" w:lineRule="auto"/>
        <w:jc w:val="both"/>
        <w:rPr>
          <w:rFonts w:ascii="Palatino Linotype" w:hAnsi="Palatino Linotype" w:cs="Tahoma"/>
        </w:rPr>
      </w:pPr>
      <w:r>
        <w:rPr>
          <w:rFonts w:ascii="Palatino Linotype" w:hAnsi="Palatino Linotype" w:cs="Tahoma"/>
        </w:rPr>
        <w:t xml:space="preserve">En este sentido, el presente voto particular, radica sobre la reserva del nombre de aquellos servidores públicos que realizan funciones de seguridad pública y que con motivo de ello pueden poner en riesgo su vida, salud o seguridad, por ello voté a favor de la misma; sin </w:t>
      </w:r>
      <w:r>
        <w:rPr>
          <w:rFonts w:ascii="Palatino Linotype" w:hAnsi="Palatino Linotype" w:cs="Tahoma"/>
        </w:rPr>
        <w:lastRenderedPageBreak/>
        <w:t xml:space="preserve">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75A9A15A" w14:textId="77777777" w:rsidR="00DA1101" w:rsidRDefault="00DA1101" w:rsidP="00DA1101">
      <w:pPr>
        <w:spacing w:after="0" w:line="360" w:lineRule="auto"/>
        <w:jc w:val="both"/>
        <w:rPr>
          <w:rFonts w:ascii="Palatino Linotype" w:hAnsi="Palatino Linotype" w:cs="Tahoma"/>
        </w:rPr>
      </w:pPr>
    </w:p>
    <w:p w14:paraId="079FDF27" w14:textId="77777777" w:rsidR="00DA1101" w:rsidRDefault="00DA1101" w:rsidP="00DA1101">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1B408C8C" w14:textId="77777777" w:rsidR="00DA1101" w:rsidRDefault="00DA1101" w:rsidP="00DA1101">
      <w:pPr>
        <w:spacing w:after="0" w:line="360" w:lineRule="auto"/>
        <w:jc w:val="both"/>
        <w:rPr>
          <w:rFonts w:ascii="Palatino Linotype" w:hAnsi="Palatino Linotype" w:cs="Tahoma"/>
        </w:rPr>
      </w:pPr>
    </w:p>
    <w:p w14:paraId="59C64C1C" w14:textId="47ACFBD3" w:rsidR="008A6AAC" w:rsidRPr="00FB0274" w:rsidRDefault="00DA1101" w:rsidP="00DA1101">
      <w:pPr>
        <w:spacing w:after="0" w:line="360" w:lineRule="auto"/>
        <w:jc w:val="both"/>
        <w:rPr>
          <w:rFonts w:ascii="Palatino Linotype" w:hAnsi="Palatino Linotype"/>
        </w:rPr>
      </w:pPr>
      <w:r w:rsidRPr="00FB0274">
        <w:rPr>
          <w:rFonts w:ascii="Palatino Linotype" w:hAnsi="Palatino Linotype"/>
        </w:rPr>
        <w:t>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7B3BC87C" w14:textId="77777777" w:rsidR="00DA1101" w:rsidRPr="00FB0274" w:rsidRDefault="00DA1101" w:rsidP="00DA1101">
      <w:pPr>
        <w:spacing w:after="0" w:line="360" w:lineRule="auto"/>
        <w:jc w:val="both"/>
        <w:rPr>
          <w:rFonts w:ascii="Palatino Linotype" w:hAnsi="Palatino Linotype"/>
        </w:rPr>
      </w:pPr>
      <w:r w:rsidRPr="00FB0274">
        <w:rPr>
          <w:rFonts w:ascii="Palatino Linotype" w:hAnsi="Palatino Linotype"/>
        </w:rPr>
        <w:lastRenderedPageBreak/>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3F872725" w14:textId="77777777" w:rsidR="00DA1101" w:rsidRPr="00FB0274" w:rsidRDefault="00DA1101" w:rsidP="00DA1101">
      <w:pPr>
        <w:spacing w:after="0" w:line="360" w:lineRule="auto"/>
        <w:jc w:val="both"/>
        <w:rPr>
          <w:rFonts w:ascii="Palatino Linotype" w:hAnsi="Palatino Linotype"/>
        </w:rPr>
      </w:pPr>
    </w:p>
    <w:p w14:paraId="3EF59813" w14:textId="77777777" w:rsidR="00DA1101" w:rsidRPr="00FB0274" w:rsidRDefault="00DA1101" w:rsidP="001F2FE0">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6ED7DE60" w14:textId="77777777" w:rsidR="00DA1101" w:rsidRPr="006A7606" w:rsidRDefault="00DA1101" w:rsidP="001F2FE0">
      <w:pPr>
        <w:spacing w:after="0" w:line="240" w:lineRule="auto"/>
        <w:jc w:val="both"/>
        <w:rPr>
          <w:rFonts w:ascii="Palatino Linotype" w:eastAsia="MS Mincho" w:hAnsi="Palatino Linotype" w:cs="Arial"/>
        </w:rPr>
      </w:pPr>
    </w:p>
    <w:p w14:paraId="6A7B0208" w14:textId="77777777" w:rsidR="00DA1101" w:rsidRPr="006E2C84" w:rsidRDefault="00DA1101" w:rsidP="001F2FE0">
      <w:pPr>
        <w:spacing w:after="0" w:line="360" w:lineRule="auto"/>
        <w:ind w:left="567" w:right="567"/>
        <w:jc w:val="both"/>
        <w:rPr>
          <w:rFonts w:ascii="Palatino Linotype" w:eastAsia="MS Mincho" w:hAnsi="Palatino Linotype" w:cs="Arial"/>
          <w:i/>
          <w:sz w:val="20"/>
          <w:szCs w:val="20"/>
        </w:rPr>
      </w:pPr>
      <w:r w:rsidRPr="0023510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C09E22C" w14:textId="77777777" w:rsidR="00DA1101" w:rsidRPr="006E2C84" w:rsidRDefault="00DA1101" w:rsidP="001F2FE0">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72366FB9" w14:textId="77777777" w:rsidR="00DA1101" w:rsidRPr="006E2C84" w:rsidRDefault="00DA1101" w:rsidP="001F2FE0">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2D68FFD3" w14:textId="77777777" w:rsidR="00DA1101" w:rsidRPr="006E2C84" w:rsidRDefault="00DA1101" w:rsidP="001F2FE0">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302AFF9F" w14:textId="77777777" w:rsidR="00DA1101" w:rsidRDefault="00DA1101" w:rsidP="001F2FE0">
      <w:pPr>
        <w:spacing w:after="0" w:line="240" w:lineRule="auto"/>
        <w:jc w:val="both"/>
        <w:rPr>
          <w:rFonts w:ascii="Palatino Linotype" w:eastAsia="MS Mincho" w:hAnsi="Palatino Linotype" w:cs="Arial"/>
        </w:rPr>
      </w:pPr>
    </w:p>
    <w:p w14:paraId="3E171314" w14:textId="085C87B5" w:rsidR="001F2FE0" w:rsidRPr="008A6AAC" w:rsidRDefault="00DA1101" w:rsidP="001F2FE0">
      <w:pPr>
        <w:spacing w:after="0" w:line="360" w:lineRule="auto"/>
        <w:jc w:val="both"/>
        <w:rPr>
          <w:rFonts w:ascii="Palatino Linotype" w:eastAsia="Calibri" w:hAnsi="Palatino Linotype" w:cs="Tahoma"/>
          <w:bCs/>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3A74A9B5" w14:textId="77777777" w:rsidR="00DA1101" w:rsidRPr="006A7606" w:rsidRDefault="00DA1101" w:rsidP="00DA1101">
      <w:pPr>
        <w:spacing w:after="0" w:line="360" w:lineRule="auto"/>
        <w:jc w:val="both"/>
        <w:rPr>
          <w:rFonts w:ascii="Palatino Linotype" w:eastAsia="MS Mincho" w:hAnsi="Palatino Linotype" w:cs="Arial"/>
          <w:lang w:val="es-ES_tradnl"/>
        </w:rPr>
      </w:pPr>
      <w:r>
        <w:rPr>
          <w:rFonts w:ascii="Palatino Linotype" w:eastAsia="MS Mincho" w:hAnsi="Palatino Linotype" w:cs="Arial"/>
        </w:rPr>
        <w:lastRenderedPageBreak/>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289F5D2C" w14:textId="77777777" w:rsidR="00DA1101" w:rsidRPr="006A7606" w:rsidRDefault="00DA1101" w:rsidP="00DA1101">
      <w:pPr>
        <w:spacing w:after="0" w:line="360" w:lineRule="auto"/>
        <w:jc w:val="both"/>
        <w:rPr>
          <w:rFonts w:ascii="Palatino Linotype" w:eastAsia="MS Mincho" w:hAnsi="Palatino Linotype" w:cs="Arial"/>
          <w:lang w:val="es-ES_tradnl"/>
        </w:rPr>
      </w:pPr>
    </w:p>
    <w:p w14:paraId="04C6215A" w14:textId="77777777" w:rsidR="00DA1101" w:rsidRPr="006A7606" w:rsidRDefault="00DA1101" w:rsidP="00DA1101">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3FFA2E4C" w14:textId="77777777" w:rsidR="00DA1101" w:rsidRPr="006A7606" w:rsidRDefault="00DA1101" w:rsidP="00DA1101">
      <w:pPr>
        <w:spacing w:after="0" w:line="360" w:lineRule="auto"/>
        <w:ind w:left="851" w:right="851"/>
        <w:jc w:val="both"/>
        <w:rPr>
          <w:rFonts w:ascii="Palatino Linotype" w:eastAsia="MS Mincho" w:hAnsi="Palatino Linotype" w:cs="Arial"/>
          <w:i/>
          <w:lang w:val="es-ES_tradnl"/>
        </w:rPr>
      </w:pPr>
    </w:p>
    <w:p w14:paraId="7BCEE0B7" w14:textId="77777777" w:rsidR="00DA1101" w:rsidRPr="006E2C84" w:rsidRDefault="00DA1101" w:rsidP="00DA110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 xml:space="preserve">No </w:t>
      </w:r>
      <w:proofErr w:type="gramStart"/>
      <w:r w:rsidRPr="006E2C84">
        <w:rPr>
          <w:rFonts w:ascii="Palatino Linotype" w:eastAsia="MS Mincho" w:hAnsi="Palatino Linotype" w:cs="Arial"/>
          <w:b/>
          <w:i/>
          <w:sz w:val="20"/>
          <w:szCs w:val="20"/>
          <w:u w:val="single"/>
          <w:lang w:val="es-ES_tradnl"/>
        </w:rPr>
        <w:t>obstante</w:t>
      </w:r>
      <w:proofErr w:type="gramEnd"/>
      <w:r w:rsidRPr="006E2C84">
        <w:rPr>
          <w:rFonts w:ascii="Palatino Linotype" w:eastAsia="MS Mincho" w:hAnsi="Palatino Linotype" w:cs="Arial"/>
          <w:b/>
          <w:i/>
          <w:sz w:val="20"/>
          <w:szCs w:val="20"/>
          <w:u w:val="single"/>
          <w:lang w:val="es-ES_tradnl"/>
        </w:rPr>
        <w:t xml:space="preserv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4A8FB4C8" w14:textId="77777777" w:rsidR="00DA1101" w:rsidRPr="006E2C84" w:rsidRDefault="00DA1101" w:rsidP="00DA110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06173081" w14:textId="77777777" w:rsidR="00DA1101" w:rsidRPr="006E2C84" w:rsidRDefault="00DA1101" w:rsidP="00DA110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42AC8228" w14:textId="77777777" w:rsidR="00DA1101" w:rsidRPr="006A7606" w:rsidRDefault="00DA1101" w:rsidP="00DA1101">
      <w:pPr>
        <w:spacing w:after="0" w:line="360" w:lineRule="auto"/>
        <w:ind w:right="851"/>
        <w:jc w:val="both"/>
        <w:rPr>
          <w:rFonts w:ascii="Palatino Linotype" w:eastAsia="MS Mincho" w:hAnsi="Palatino Linotype" w:cs="Arial"/>
          <w:i/>
          <w:lang w:val="es-ES_tradnl"/>
        </w:rPr>
      </w:pPr>
    </w:p>
    <w:p w14:paraId="6E0873DB" w14:textId="263A72DE" w:rsidR="00DA1101" w:rsidRPr="006A7606" w:rsidRDefault="00DA1101" w:rsidP="00DA1101">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7FC1FBE1" w14:textId="77777777" w:rsidR="008A6AAC" w:rsidRDefault="008A6AAC" w:rsidP="00DA1101">
      <w:pPr>
        <w:autoSpaceDE w:val="0"/>
        <w:autoSpaceDN w:val="0"/>
        <w:adjustRightInd w:val="0"/>
        <w:spacing w:after="0" w:line="360" w:lineRule="auto"/>
        <w:ind w:left="567" w:right="567"/>
        <w:jc w:val="both"/>
        <w:rPr>
          <w:rFonts w:ascii="Palatino Linotype" w:hAnsi="Palatino Linotype" w:cs="Arial"/>
          <w:b/>
          <w:bCs/>
          <w:i/>
          <w:sz w:val="20"/>
          <w:szCs w:val="20"/>
          <w:lang w:eastAsia="es-MX"/>
        </w:rPr>
      </w:pPr>
    </w:p>
    <w:p w14:paraId="555197DC" w14:textId="2FEF05E5" w:rsidR="00DA1101" w:rsidRPr="006E2C84" w:rsidRDefault="00DA1101" w:rsidP="00DA1101">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lastRenderedPageBreak/>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 xml:space="preserve">el nombre de los servidores públicos es información de naturaleza pública. No </w:t>
      </w:r>
      <w:proofErr w:type="gramStart"/>
      <w:r w:rsidRPr="006E2C84">
        <w:rPr>
          <w:rFonts w:ascii="Palatino Linotype" w:hAnsi="Palatino Linotype" w:cs="Arial"/>
          <w:b/>
          <w:bCs/>
          <w:i/>
          <w:sz w:val="20"/>
          <w:szCs w:val="20"/>
          <w:u w:val="single"/>
          <w:lang w:eastAsia="es-MX"/>
        </w:rPr>
        <w:t>obstante</w:t>
      </w:r>
      <w:proofErr w:type="gramEnd"/>
      <w:r w:rsidRPr="006E2C84">
        <w:rPr>
          <w:rFonts w:ascii="Palatino Linotype" w:hAnsi="Palatino Linotype" w:cs="Arial"/>
          <w:b/>
          <w:bCs/>
          <w:i/>
          <w:sz w:val="20"/>
          <w:szCs w:val="20"/>
          <w:u w:val="single"/>
          <w:lang w:eastAsia="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363BC424" w14:textId="77777777" w:rsidR="00DA1101" w:rsidRDefault="00DA1101" w:rsidP="00DA1101">
      <w:pPr>
        <w:spacing w:after="0" w:line="360" w:lineRule="auto"/>
        <w:jc w:val="both"/>
        <w:rPr>
          <w:rFonts w:ascii="Palatino Linotype" w:hAnsi="Palatino Linotype"/>
        </w:rPr>
      </w:pPr>
    </w:p>
    <w:p w14:paraId="4235E613" w14:textId="60CED6CF" w:rsidR="001F2FE0" w:rsidRPr="008A6AAC" w:rsidRDefault="00DA1101" w:rsidP="00DA1101">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20AB2AD" w14:textId="77777777" w:rsidR="00DA1101" w:rsidRPr="006A7606" w:rsidRDefault="00DA1101" w:rsidP="00DA1101">
      <w:pPr>
        <w:spacing w:after="0" w:line="360" w:lineRule="auto"/>
        <w:jc w:val="both"/>
        <w:rPr>
          <w:rFonts w:ascii="Palatino Linotype" w:hAnsi="Palatino Linotype" w:cs="Segoe UI"/>
        </w:rPr>
      </w:pPr>
      <w:r>
        <w:rPr>
          <w:rFonts w:ascii="Palatino Linotype" w:hAnsi="Palatino Linotype"/>
        </w:rPr>
        <w:lastRenderedPageBreak/>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3F754A06" w14:textId="77777777" w:rsidR="00DA1101" w:rsidRPr="006A7606" w:rsidRDefault="00DA1101" w:rsidP="00DA1101">
      <w:pPr>
        <w:spacing w:after="0" w:line="360" w:lineRule="auto"/>
        <w:jc w:val="both"/>
        <w:rPr>
          <w:rFonts w:ascii="Palatino Linotype" w:hAnsi="Palatino Linotype" w:cs="Segoe UI"/>
        </w:rPr>
      </w:pPr>
    </w:p>
    <w:p w14:paraId="11A5A458" w14:textId="3F155B07" w:rsidR="00DA1101" w:rsidRDefault="00DA1101" w:rsidP="00DA1101">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3151F349" w14:textId="77777777" w:rsidR="008A6AAC" w:rsidRPr="006E2C84" w:rsidRDefault="008A6AAC" w:rsidP="00DA1101">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4EC04669" w14:textId="3CC5BC6C" w:rsidR="00DA1101" w:rsidRDefault="00DA1101" w:rsidP="008A6AAC">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xml:space="preserve"> El Tribunal en Pleno de la Suprema Corte de Justicia de la Nación en la tesis P. LX/2000 de rubro: </w:t>
      </w:r>
      <w:r w:rsidRPr="006E2C84">
        <w:rPr>
          <w:rFonts w:ascii="Palatino Linotype" w:hAnsi="Palatino Linotype"/>
          <w:i/>
          <w:iCs/>
          <w:sz w:val="20"/>
          <w:szCs w:val="20"/>
          <w:lang w:eastAsia="es-MX"/>
        </w:rPr>
        <w:lastRenderedPageBreak/>
        <w:t>"DERECHO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08DA4544" w14:textId="77777777" w:rsidR="008A6AAC" w:rsidRPr="008A6AAC" w:rsidRDefault="008A6AAC" w:rsidP="008A6AAC">
      <w:pPr>
        <w:shd w:val="clear" w:color="auto" w:fill="FFFFFF"/>
        <w:spacing w:after="0" w:line="360" w:lineRule="auto"/>
        <w:ind w:left="567" w:right="567"/>
        <w:jc w:val="both"/>
        <w:rPr>
          <w:rFonts w:ascii="Palatino Linotype" w:hAnsi="Palatino Linotype"/>
          <w:i/>
          <w:iCs/>
          <w:sz w:val="20"/>
          <w:szCs w:val="20"/>
          <w:lang w:eastAsia="es-MX"/>
        </w:rPr>
      </w:pPr>
    </w:p>
    <w:p w14:paraId="415A03FC" w14:textId="77777777" w:rsidR="00DA1101" w:rsidRDefault="00DA1101" w:rsidP="00DA1101">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3557AC38" w14:textId="77777777" w:rsidR="00DA1101" w:rsidRDefault="00DA1101" w:rsidP="00DA1101">
      <w:pPr>
        <w:spacing w:after="0" w:line="360" w:lineRule="auto"/>
        <w:jc w:val="both"/>
        <w:rPr>
          <w:rFonts w:ascii="Palatino Linotype" w:hAnsi="Palatino Linotype" w:cs="Arial"/>
        </w:rPr>
      </w:pPr>
    </w:p>
    <w:p w14:paraId="7F76B9BB" w14:textId="77777777" w:rsidR="00DA1101" w:rsidRPr="00885189" w:rsidRDefault="00DA1101" w:rsidP="00DA1101">
      <w:pPr>
        <w:spacing w:after="0" w:line="360" w:lineRule="auto"/>
        <w:jc w:val="both"/>
        <w:rPr>
          <w:rFonts w:ascii="Palatino Linotype" w:hAnsi="Palatino Linotype" w:cs="Tahoma"/>
        </w:rPr>
      </w:pPr>
      <w:r>
        <w:rPr>
          <w:rFonts w:ascii="Palatino Linotype" w:hAnsi="Palatino Linotype" w:cs="Arial"/>
        </w:rPr>
        <w:lastRenderedPageBreak/>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08C02F87" w14:textId="77777777" w:rsidR="00DA1101" w:rsidRPr="00885189" w:rsidRDefault="00DA1101" w:rsidP="00DA1101">
      <w:pPr>
        <w:spacing w:after="0" w:line="360" w:lineRule="auto"/>
        <w:jc w:val="both"/>
        <w:rPr>
          <w:rFonts w:ascii="Palatino Linotype" w:hAnsi="Palatino Linotype" w:cs="Tahoma"/>
        </w:rPr>
      </w:pPr>
    </w:p>
    <w:p w14:paraId="4FEBF36E" w14:textId="77777777" w:rsidR="00DA1101" w:rsidRPr="00885189" w:rsidRDefault="00DA1101" w:rsidP="00DA1101">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29E6B54E" w14:textId="77777777" w:rsidR="00DA1101" w:rsidRPr="00885189" w:rsidRDefault="00DA1101" w:rsidP="00DA1101">
      <w:pPr>
        <w:spacing w:after="0" w:line="360" w:lineRule="auto"/>
        <w:jc w:val="both"/>
        <w:rPr>
          <w:rFonts w:ascii="Palatino Linotype" w:hAnsi="Palatino Linotype" w:cs="Tahoma"/>
        </w:rPr>
      </w:pPr>
    </w:p>
    <w:p w14:paraId="12C62BDC" w14:textId="77777777" w:rsidR="00DA1101" w:rsidRDefault="00DA1101" w:rsidP="00DA1101">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w:t>
      </w:r>
      <w:r w:rsidRPr="00885189">
        <w:rPr>
          <w:rFonts w:ascii="Palatino Linotype" w:hAnsi="Palatino Linotype" w:cs="Tahoma"/>
        </w:rPr>
        <w:lastRenderedPageBreak/>
        <w:t>clasificación y desclasificación de la información, así como para la elaboración de versiones públicas.</w:t>
      </w:r>
    </w:p>
    <w:p w14:paraId="578D4514" w14:textId="77777777" w:rsidR="00DA1101" w:rsidRPr="00885189" w:rsidRDefault="00DA1101" w:rsidP="00DA1101">
      <w:pPr>
        <w:spacing w:after="0" w:line="360" w:lineRule="auto"/>
        <w:jc w:val="both"/>
        <w:rPr>
          <w:rFonts w:ascii="Palatino Linotype" w:hAnsi="Palatino Linotype" w:cs="Tahoma"/>
        </w:rPr>
      </w:pPr>
    </w:p>
    <w:p w14:paraId="619FE5E8" w14:textId="77777777" w:rsidR="00DA1101" w:rsidRPr="00885189" w:rsidRDefault="00DA1101" w:rsidP="00DA1101">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4E43E6B9" w14:textId="77777777" w:rsidR="00DA1101" w:rsidRPr="00885189" w:rsidRDefault="00DA1101" w:rsidP="00DA1101">
      <w:pPr>
        <w:spacing w:after="0" w:line="360" w:lineRule="auto"/>
        <w:jc w:val="both"/>
        <w:rPr>
          <w:rFonts w:ascii="Palatino Linotype" w:hAnsi="Palatino Linotype" w:cs="Tahoma"/>
        </w:rPr>
      </w:pPr>
    </w:p>
    <w:p w14:paraId="1DF72133" w14:textId="77777777" w:rsidR="00DA1101" w:rsidRPr="00885189" w:rsidRDefault="00DA1101" w:rsidP="00DA1101">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2CC15AC6" w14:textId="77777777" w:rsidR="00DA1101" w:rsidRDefault="00DA1101" w:rsidP="00DA1101">
      <w:pPr>
        <w:spacing w:after="0" w:line="360" w:lineRule="auto"/>
        <w:jc w:val="both"/>
        <w:rPr>
          <w:rFonts w:ascii="Palatino Linotype" w:hAnsi="Palatino Linotype" w:cs="Tahoma"/>
        </w:rPr>
      </w:pPr>
    </w:p>
    <w:p w14:paraId="514EE13D" w14:textId="7A13BBE8" w:rsidR="00DA1101" w:rsidRDefault="00DA1101" w:rsidP="00DA1101">
      <w:pPr>
        <w:spacing w:after="0" w:line="360" w:lineRule="auto"/>
        <w:jc w:val="both"/>
        <w:rPr>
          <w:rFonts w:ascii="Palatino Linotype" w:hAnsi="Palatino Linotype" w:cs="Tahoma"/>
        </w:rPr>
      </w:pPr>
      <w:r>
        <w:rPr>
          <w:rFonts w:ascii="Palatino Linotype" w:hAnsi="Palatino Linotype" w:cs="Tahoma"/>
        </w:rPr>
        <w:t xml:space="preserve">En consecuencia, es necesario que en el análisis de las resoluciones que dicta este Pleno, se </w:t>
      </w:r>
      <w:r w:rsidRPr="00257C76">
        <w:rPr>
          <w:rFonts w:ascii="Palatino Linotype" w:hAnsi="Palatino Linotype" w:cs="Tahoma"/>
        </w:rPr>
        <w:t>proporcione un estudio exhaustivo y ofrecer al Particular las herramientas para conocer las razones por las que procede o no la reserva de la información.</w:t>
      </w:r>
    </w:p>
    <w:p w14:paraId="621CA505" w14:textId="77777777" w:rsidR="001F2FE0" w:rsidRPr="00DF675F" w:rsidRDefault="001F2FE0" w:rsidP="00DA1101">
      <w:pPr>
        <w:spacing w:after="0" w:line="360" w:lineRule="auto"/>
        <w:jc w:val="both"/>
        <w:rPr>
          <w:rFonts w:ascii="Palatino Linotype" w:hAnsi="Palatino Linotype" w:cs="Tahoma"/>
        </w:rPr>
      </w:pPr>
    </w:p>
    <w:p w14:paraId="5A23CC3B" w14:textId="77777777" w:rsidR="00DA1101" w:rsidRDefault="00DA1101" w:rsidP="00DA1101">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sidR="007D741D">
        <w:rPr>
          <w:rFonts w:ascii="Palatino Linotype" w:hAnsi="Palatino Linotype" w:cs="Tahoma"/>
          <w:lang w:val="es-MX"/>
        </w:rPr>
        <w:t>------------------------------------------------------------------------------------------------------------------------</w:t>
      </w:r>
      <w:r>
        <w:rPr>
          <w:rFonts w:ascii="Palatino Linotype" w:hAnsi="Palatino Linotype" w:cs="Tahoma"/>
        </w:rPr>
        <w:br w:type="page"/>
      </w:r>
    </w:p>
    <w:p w14:paraId="2A5EE2EE" w14:textId="77777777" w:rsidR="00DA1101" w:rsidRDefault="00DA1101" w:rsidP="00DA1101"/>
    <w:p w14:paraId="153482BB" w14:textId="77777777" w:rsidR="00576FCC" w:rsidRDefault="00576FCC"/>
    <w:sectPr w:rsidR="00576FCC" w:rsidSect="001F2FE0">
      <w:headerReference w:type="default" r:id="rId6"/>
      <w:footerReference w:type="default" r:id="rId7"/>
      <w:pgSz w:w="12240" w:h="15840" w:code="1"/>
      <w:pgMar w:top="1632"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1B6E2" w14:textId="77777777" w:rsidR="009C16BB" w:rsidRDefault="009C16BB" w:rsidP="00DA1101">
      <w:pPr>
        <w:spacing w:after="0" w:line="240" w:lineRule="auto"/>
      </w:pPr>
      <w:r>
        <w:separator/>
      </w:r>
    </w:p>
  </w:endnote>
  <w:endnote w:type="continuationSeparator" w:id="0">
    <w:p w14:paraId="4B129DE0" w14:textId="77777777" w:rsidR="009C16BB" w:rsidRDefault="009C16BB" w:rsidP="00DA1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Content>
      <w:sdt>
        <w:sdtPr>
          <w:id w:val="1728636285"/>
          <w:docPartObj>
            <w:docPartGallery w:val="Page Numbers (Top of Page)"/>
            <w:docPartUnique/>
          </w:docPartObj>
        </w:sdtPr>
        <w:sdtContent>
          <w:p w14:paraId="6D4A4CC8" w14:textId="77777777" w:rsidR="00AC333A" w:rsidRDefault="001556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10</w:t>
            </w:r>
            <w:r>
              <w:rPr>
                <w:b/>
                <w:bCs/>
                <w:sz w:val="24"/>
                <w:szCs w:val="24"/>
              </w:rPr>
              <w:fldChar w:fldCharType="end"/>
            </w:r>
          </w:p>
        </w:sdtContent>
      </w:sdt>
    </w:sdtContent>
  </w:sdt>
  <w:p w14:paraId="567096A8" w14:textId="77777777" w:rsidR="00AC333A"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FB95B" w14:textId="77777777" w:rsidR="009C16BB" w:rsidRDefault="009C16BB" w:rsidP="00DA1101">
      <w:pPr>
        <w:spacing w:after="0" w:line="240" w:lineRule="auto"/>
      </w:pPr>
      <w:r>
        <w:separator/>
      </w:r>
    </w:p>
  </w:footnote>
  <w:footnote w:type="continuationSeparator" w:id="0">
    <w:p w14:paraId="7D47497E" w14:textId="77777777" w:rsidR="009C16BB" w:rsidRDefault="009C16BB" w:rsidP="00DA1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12"/>
    </w:tblGrid>
    <w:tr w:rsidR="0077694E" w:rsidRPr="001106EA" w14:paraId="4D90FA20" w14:textId="77777777" w:rsidTr="001F2FE0">
      <w:trPr>
        <w:trHeight w:val="1985"/>
      </w:trPr>
      <w:tc>
        <w:tcPr>
          <w:tcW w:w="3119" w:type="dxa"/>
          <w:vAlign w:val="bottom"/>
        </w:tcPr>
        <w:p w14:paraId="66E66952" w14:textId="77777777" w:rsidR="0077694E" w:rsidRDefault="001556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09988533" wp14:editId="3B3AB96A">
                <wp:simplePos x="0" y="0"/>
                <wp:positionH relativeFrom="column">
                  <wp:posOffset>-329565</wp:posOffset>
                </wp:positionH>
                <wp:positionV relativeFrom="paragraph">
                  <wp:posOffset>-861060</wp:posOffset>
                </wp:positionV>
                <wp:extent cx="1873250" cy="112649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635D4F" w14:textId="77777777" w:rsidR="00285C7B" w:rsidRDefault="00000000" w:rsidP="00285C7B">
          <w:pPr>
            <w:pStyle w:val="Encabezado"/>
            <w:tabs>
              <w:tab w:val="clear" w:pos="4252"/>
              <w:tab w:val="center" w:pos="2614"/>
            </w:tabs>
            <w:ind w:left="-255"/>
          </w:pPr>
        </w:p>
      </w:tc>
      <w:tc>
        <w:tcPr>
          <w:tcW w:w="5812" w:type="dxa"/>
          <w:vAlign w:val="center"/>
        </w:tcPr>
        <w:p w14:paraId="6EFF7677" w14:textId="77777777" w:rsidR="001106EA" w:rsidRPr="00B9745A" w:rsidRDefault="001556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9709A1B" w14:textId="4EA286E9" w:rsidR="0048761D" w:rsidRDefault="001556E5" w:rsidP="001F2FE0">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1F2FE0" w:rsidRPr="001F2FE0">
            <w:rPr>
              <w:rFonts w:ascii="Palatino Linotype" w:hAnsi="Palatino Linotype"/>
              <w:lang w:val="es-MX"/>
            </w:rPr>
            <w:t>08697/INFOEM/IP/RR/2022</w:t>
          </w:r>
        </w:p>
        <w:p w14:paraId="4FD4E6C8" w14:textId="72013A16" w:rsidR="00100065" w:rsidRDefault="001556E5" w:rsidP="001F2FE0">
          <w:pPr>
            <w:pStyle w:val="Encabezado"/>
            <w:ind w:left="-108" w:right="37"/>
            <w:jc w:val="both"/>
            <w:rPr>
              <w:rFonts w:ascii="Palatino Linotype" w:hAnsi="Palatino Linotype"/>
              <w:bCs/>
              <w:lang w:val="es-MX"/>
            </w:rPr>
          </w:pPr>
          <w:r>
            <w:rPr>
              <w:rFonts w:ascii="Palatino Linotype" w:hAnsi="Palatino Linotype" w:cs="Tahoma"/>
              <w:b/>
            </w:rPr>
            <w:t>Sujeto Obligado:</w:t>
          </w:r>
          <w:r>
            <w:rPr>
              <w:rFonts w:ascii="Palatino Linotype" w:hAnsi="Palatino Linotype"/>
              <w:bCs/>
              <w:lang w:val="es-MX"/>
            </w:rPr>
            <w:t xml:space="preserve"> </w:t>
          </w:r>
          <w:r w:rsidR="001F2FE0" w:rsidRPr="001F2FE0">
            <w:rPr>
              <w:rFonts w:ascii="Palatino Linotype" w:hAnsi="Palatino Linotype"/>
              <w:lang w:val="es-MX"/>
            </w:rPr>
            <w:t>Ayuntamiento de el Oro</w:t>
          </w:r>
        </w:p>
        <w:p w14:paraId="35A672DB" w14:textId="2323A4AF" w:rsidR="00285C7B" w:rsidRPr="00285C7B" w:rsidRDefault="001556E5" w:rsidP="001F2FE0">
          <w:pPr>
            <w:pStyle w:val="Encabezado"/>
            <w:ind w:left="320" w:right="-250" w:hanging="428"/>
            <w:jc w:val="both"/>
            <w:rPr>
              <w:rFonts w:ascii="Palatino Linotype" w:hAnsi="Palatino Linotype"/>
              <w:bCs/>
              <w:lang w:val="es-ES_tradnl"/>
            </w:rPr>
          </w:pPr>
          <w:r w:rsidRPr="00B9745A">
            <w:rPr>
              <w:rFonts w:ascii="Palatino Linotype" w:hAnsi="Palatino Linotype" w:cs="Tahoma"/>
              <w:b/>
            </w:rPr>
            <w:t>Comisionad</w:t>
          </w:r>
          <w:r>
            <w:rPr>
              <w:rFonts w:ascii="Palatino Linotype" w:hAnsi="Palatino Linotype" w:cs="Tahoma"/>
              <w:b/>
            </w:rPr>
            <w:t>a</w:t>
          </w:r>
          <w:r w:rsidRPr="00B9745A">
            <w:rPr>
              <w:rFonts w:ascii="Palatino Linotype" w:hAnsi="Palatino Linotype" w:cs="Tahoma"/>
              <w:b/>
            </w:rPr>
            <w:t xml:space="preserve"> Ponente: </w:t>
          </w:r>
          <w:r w:rsidR="001F2FE0" w:rsidRPr="001F2FE0">
            <w:rPr>
              <w:rFonts w:ascii="Palatino Linotype" w:hAnsi="Palatino Linotype" w:cs="Arial"/>
              <w:szCs w:val="20"/>
            </w:rPr>
            <w:t>Sharon Cristina Morales Martínez</w:t>
          </w:r>
        </w:p>
      </w:tc>
    </w:tr>
  </w:tbl>
  <w:p w14:paraId="4DD86ACD" w14:textId="77777777" w:rsidR="00D55429" w:rsidRPr="001106EA" w:rsidRDefault="00000000">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51B"/>
    <w:rsid w:val="00026154"/>
    <w:rsid w:val="001556E5"/>
    <w:rsid w:val="001F2FE0"/>
    <w:rsid w:val="002E247C"/>
    <w:rsid w:val="00576FCC"/>
    <w:rsid w:val="007D741D"/>
    <w:rsid w:val="008A6AAC"/>
    <w:rsid w:val="009C16BB"/>
    <w:rsid w:val="00C6451B"/>
    <w:rsid w:val="00CA2671"/>
    <w:rsid w:val="00DA1101"/>
    <w:rsid w:val="00E33904"/>
    <w:rsid w:val="00E77C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491B8"/>
  <w15:chartTrackingRefBased/>
  <w15:docId w15:val="{156A4999-5EDB-496B-A1AF-D847097F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101"/>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110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1101"/>
    <w:rPr>
      <w:lang w:val="es-ES"/>
    </w:rPr>
  </w:style>
  <w:style w:type="paragraph" w:styleId="Piedepgina">
    <w:name w:val="footer"/>
    <w:basedOn w:val="Normal"/>
    <w:link w:val="PiedepginaCar"/>
    <w:uiPriority w:val="99"/>
    <w:unhideWhenUsed/>
    <w:rsid w:val="00DA110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1101"/>
    <w:rPr>
      <w:lang w:val="es-ES"/>
    </w:rPr>
  </w:style>
  <w:style w:type="table" w:styleId="Tablaconcuadrcula">
    <w:name w:val="Table Grid"/>
    <w:basedOn w:val="Tablanormal"/>
    <w:uiPriority w:val="59"/>
    <w:rsid w:val="00DA110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DA11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an\Downloads\VP_11333_22_LGPN_OH%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VP_11333_22_LGPN_OH (1)</Template>
  <TotalTime>1</TotalTime>
  <Pages>10</Pages>
  <Words>2827</Words>
  <Characters>15550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Juan</cp:lastModifiedBy>
  <cp:revision>2</cp:revision>
  <dcterms:created xsi:type="dcterms:W3CDTF">2022-10-10T12:51:00Z</dcterms:created>
  <dcterms:modified xsi:type="dcterms:W3CDTF">2022-10-10T12:51:00Z</dcterms:modified>
</cp:coreProperties>
</file>