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149C" w:rsidRDefault="006E49A1">
      <w:pPr>
        <w:spacing w:before="240" w:after="240" w:line="360" w:lineRule="auto"/>
        <w:ind w:right="49"/>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Resolución del Pleno del Instituto de Transparencia, Acceso a la Información Pública y Protección de Datos Personales del Estado de México y Municipios, con domicilio en Metepec, Estado de México, a cuatro de mayo de dos mil veintidós.</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Visto </w:t>
      </w:r>
      <w:r>
        <w:rPr>
          <w:rFonts w:ascii="Palatino Linotype" w:eastAsia="Palatino Linotype" w:hAnsi="Palatino Linotype" w:cs="Palatino Linotype"/>
          <w:sz w:val="24"/>
          <w:szCs w:val="24"/>
        </w:rPr>
        <w:t xml:space="preserve">el expediente relativo al recurso de revisión </w:t>
      </w:r>
      <w:r>
        <w:rPr>
          <w:rFonts w:ascii="Palatino Linotype" w:eastAsia="Palatino Linotype" w:hAnsi="Palatino Linotype" w:cs="Palatino Linotype"/>
          <w:b/>
          <w:sz w:val="24"/>
          <w:szCs w:val="24"/>
        </w:rPr>
        <w:t>01154/INFOEM/IP/RR/2022</w:t>
      </w:r>
      <w:r>
        <w:rPr>
          <w:rFonts w:ascii="Palatino Linotype" w:eastAsia="Palatino Linotype" w:hAnsi="Palatino Linotype" w:cs="Palatino Linotype"/>
          <w:sz w:val="24"/>
          <w:szCs w:val="24"/>
        </w:rPr>
        <w:t xml:space="preserve">, interpuesto por una persona de manera anónima, al cual en lo sucesivo se le denominara </w:t>
      </w:r>
      <w:r>
        <w:rPr>
          <w:rFonts w:ascii="Palatino Linotype" w:eastAsia="Palatino Linotype" w:hAnsi="Palatino Linotype" w:cs="Palatino Linotype"/>
          <w:b/>
          <w:sz w:val="24"/>
          <w:szCs w:val="24"/>
        </w:rPr>
        <w:t>EL RECURRENTE</w:t>
      </w:r>
      <w:r>
        <w:rPr>
          <w:rFonts w:ascii="Palatino Linotype" w:eastAsia="Palatino Linotype" w:hAnsi="Palatino Linotype" w:cs="Palatino Linotype"/>
          <w:sz w:val="24"/>
          <w:szCs w:val="24"/>
        </w:rPr>
        <w:t xml:space="preserve">, en contra de la respuesta a la solicitud de información con número de folio </w:t>
      </w:r>
      <w:r>
        <w:rPr>
          <w:rFonts w:ascii="Palatino Linotype" w:eastAsia="Palatino Linotype" w:hAnsi="Palatino Linotype" w:cs="Palatino Linotype"/>
          <w:b/>
          <w:color w:val="000000"/>
          <w:sz w:val="24"/>
          <w:szCs w:val="24"/>
        </w:rPr>
        <w:t>00037/I</w:t>
      </w:r>
      <w:r>
        <w:rPr>
          <w:rFonts w:ascii="Palatino Linotype" w:eastAsia="Palatino Linotype" w:hAnsi="Palatino Linotype" w:cs="Palatino Linotype"/>
          <w:b/>
          <w:color w:val="000000"/>
          <w:sz w:val="24"/>
          <w:szCs w:val="24"/>
        </w:rPr>
        <w:t>XTLAHUA/IP/2022</w:t>
      </w:r>
      <w:r>
        <w:rPr>
          <w:rFonts w:ascii="Palatino Linotype" w:eastAsia="Palatino Linotype" w:hAnsi="Palatino Linotype" w:cs="Palatino Linotype"/>
          <w:b/>
          <w:sz w:val="24"/>
          <w:szCs w:val="24"/>
        </w:rPr>
        <w:t>,</w:t>
      </w:r>
      <w:r>
        <w:rPr>
          <w:rFonts w:ascii="Palatino Linotype" w:eastAsia="Palatino Linotype" w:hAnsi="Palatino Linotype" w:cs="Palatino Linotype"/>
          <w:sz w:val="24"/>
          <w:szCs w:val="24"/>
        </w:rPr>
        <w:t xml:space="preserve"> por parte del  Ayuntamiento de Ixtlahuaca, en lo sucesivo </w:t>
      </w:r>
      <w:r>
        <w:rPr>
          <w:rFonts w:ascii="Palatino Linotype" w:eastAsia="Palatino Linotype" w:hAnsi="Palatino Linotype" w:cs="Palatino Linotype"/>
          <w:b/>
          <w:sz w:val="24"/>
          <w:szCs w:val="24"/>
        </w:rPr>
        <w:t>EL</w:t>
      </w: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b/>
          <w:sz w:val="24"/>
          <w:szCs w:val="24"/>
        </w:rPr>
        <w:t xml:space="preserve">SUJETO OBLIGADO; </w:t>
      </w:r>
      <w:r>
        <w:rPr>
          <w:rFonts w:ascii="Palatino Linotype" w:eastAsia="Palatino Linotype" w:hAnsi="Palatino Linotype" w:cs="Palatino Linotype"/>
          <w:sz w:val="24"/>
          <w:szCs w:val="24"/>
        </w:rPr>
        <w:t>se procede a dictar la presente resolución, con base en lo siguiente.</w:t>
      </w:r>
    </w:p>
    <w:p w:rsidR="00F8149C" w:rsidRDefault="006E49A1">
      <w:pPr>
        <w:spacing w:before="240" w:after="240" w:line="360" w:lineRule="auto"/>
        <w:ind w:right="49"/>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AN T E C E D E N T E S</w:t>
      </w:r>
    </w:p>
    <w:p w:rsidR="00F8149C" w:rsidRDefault="006E49A1">
      <w:pPr>
        <w:spacing w:before="240" w:after="240" w:line="360" w:lineRule="auto"/>
        <w:ind w:right="49"/>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1. SOLICITUD. </w:t>
      </w:r>
      <w:r>
        <w:rPr>
          <w:rFonts w:ascii="Palatino Linotype" w:eastAsia="Palatino Linotype" w:hAnsi="Palatino Linotype" w:cs="Palatino Linotype"/>
          <w:sz w:val="24"/>
          <w:szCs w:val="24"/>
        </w:rPr>
        <w:t xml:space="preserve">Con fecha veintiocho de enero de dos mil veintidós, </w:t>
      </w:r>
      <w:r>
        <w:rPr>
          <w:rFonts w:ascii="Palatino Linotype" w:eastAsia="Palatino Linotype" w:hAnsi="Palatino Linotype" w:cs="Palatino Linotype"/>
          <w:b/>
          <w:sz w:val="24"/>
          <w:szCs w:val="24"/>
        </w:rPr>
        <w:t>EL</w:t>
      </w:r>
      <w:r>
        <w:rPr>
          <w:rFonts w:ascii="Palatino Linotype" w:eastAsia="Palatino Linotype" w:hAnsi="Palatino Linotype" w:cs="Palatino Linotype"/>
          <w:b/>
          <w:sz w:val="24"/>
          <w:szCs w:val="24"/>
        </w:rPr>
        <w:t xml:space="preserve"> RECURRENTE</w:t>
      </w:r>
      <w:r>
        <w:rPr>
          <w:rFonts w:ascii="Palatino Linotype" w:eastAsia="Palatino Linotype" w:hAnsi="Palatino Linotype" w:cs="Palatino Linotype"/>
          <w:sz w:val="24"/>
          <w:szCs w:val="24"/>
        </w:rPr>
        <w:t>, presentó a través del Sistema de Acceso a la Información Mexiquense (</w:t>
      </w:r>
      <w:r>
        <w:rPr>
          <w:rFonts w:ascii="Palatino Linotype" w:eastAsia="Palatino Linotype" w:hAnsi="Palatino Linotype" w:cs="Palatino Linotype"/>
          <w:b/>
          <w:sz w:val="24"/>
          <w:szCs w:val="24"/>
        </w:rPr>
        <w:t>SAIMEX)</w:t>
      </w:r>
      <w:r>
        <w:rPr>
          <w:rFonts w:ascii="Palatino Linotype" w:eastAsia="Palatino Linotype" w:hAnsi="Palatino Linotype" w:cs="Palatino Linotype"/>
          <w:sz w:val="24"/>
          <w:szCs w:val="24"/>
        </w:rPr>
        <w:t xml:space="preserve"> ante </w:t>
      </w:r>
      <w:r>
        <w:rPr>
          <w:rFonts w:ascii="Palatino Linotype" w:eastAsia="Palatino Linotype" w:hAnsi="Palatino Linotype" w:cs="Palatino Linotype"/>
          <w:b/>
          <w:sz w:val="24"/>
          <w:szCs w:val="24"/>
        </w:rPr>
        <w:t>EL SUJETO OBLIGADO</w:t>
      </w:r>
      <w:r>
        <w:rPr>
          <w:rFonts w:ascii="Palatino Linotype" w:eastAsia="Palatino Linotype" w:hAnsi="Palatino Linotype" w:cs="Palatino Linotype"/>
          <w:sz w:val="24"/>
          <w:szCs w:val="24"/>
        </w:rPr>
        <w:t>, solicitud de acceso a la información pública, registrada bajo el número de expediente</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b/>
          <w:color w:val="FF0000"/>
        </w:rPr>
        <w:t> </w:t>
      </w:r>
      <w:r>
        <w:rPr>
          <w:rFonts w:ascii="Palatino Linotype" w:eastAsia="Palatino Linotype" w:hAnsi="Palatino Linotype" w:cs="Palatino Linotype"/>
          <w:b/>
          <w:color w:val="000000"/>
          <w:sz w:val="24"/>
          <w:szCs w:val="24"/>
        </w:rPr>
        <w:t>00037/IXTLAHUA/IP/2022</w:t>
      </w:r>
      <w:r>
        <w:rPr>
          <w:rFonts w:ascii="Palatino Linotype" w:eastAsia="Palatino Linotype" w:hAnsi="Palatino Linotype" w:cs="Palatino Linotype"/>
          <w:sz w:val="24"/>
          <w:szCs w:val="24"/>
        </w:rPr>
        <w:t>,</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mediante la cual solicitó info</w:t>
      </w:r>
      <w:r>
        <w:rPr>
          <w:rFonts w:ascii="Palatino Linotype" w:eastAsia="Palatino Linotype" w:hAnsi="Palatino Linotype" w:cs="Palatino Linotype"/>
          <w:sz w:val="24"/>
          <w:szCs w:val="24"/>
        </w:rPr>
        <w:t>rmación en el tenor siguiente:</w:t>
      </w:r>
    </w:p>
    <w:p w:rsidR="00F8149C" w:rsidRDefault="006E49A1">
      <w:pPr>
        <w:spacing w:before="240" w:after="240" w:line="276" w:lineRule="auto"/>
        <w:ind w:left="851" w:right="900"/>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“Solicito se me proporcione vía SAIMEX de la información pública consistente en una relación o listado en el que se incluya o indique el nombre completo, cargo y adscripción de todos y cada uno de los servidores públicos muni</w:t>
      </w:r>
      <w:r>
        <w:rPr>
          <w:rFonts w:ascii="Palatino Linotype" w:eastAsia="Palatino Linotype" w:hAnsi="Palatino Linotype" w:cs="Palatino Linotype"/>
          <w:i/>
          <w:color w:val="000000"/>
        </w:rPr>
        <w:t>cipales, de base y de confianza, del Ayuntamiento de Ixtlahuaca que hayan desempeñado un empleo, cargo o comisión durante la primer quincena del mes de enero del año 2022, así como la correspondiente remuneración bruta y neta que cada servidor público muni</w:t>
      </w:r>
      <w:r>
        <w:rPr>
          <w:rFonts w:ascii="Palatino Linotype" w:eastAsia="Palatino Linotype" w:hAnsi="Palatino Linotype" w:cs="Palatino Linotype"/>
          <w:i/>
          <w:color w:val="000000"/>
        </w:rPr>
        <w:t>cipal percibió durante el periodo referido. “(Sic)</w:t>
      </w:r>
    </w:p>
    <w:p w:rsidR="00F8149C" w:rsidRDefault="006E49A1">
      <w:pPr>
        <w:spacing w:before="120" w:after="120" w:line="360" w:lineRule="auto"/>
        <w:ind w:right="49"/>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 xml:space="preserve">Modalidad de entrega: A través del </w:t>
      </w:r>
      <w:r>
        <w:rPr>
          <w:rFonts w:ascii="Palatino Linotype" w:eastAsia="Palatino Linotype" w:hAnsi="Palatino Linotype" w:cs="Palatino Linotype"/>
          <w:b/>
          <w:sz w:val="24"/>
          <w:szCs w:val="24"/>
        </w:rPr>
        <w:t>SAIMEX</w:t>
      </w:r>
      <w:r>
        <w:rPr>
          <w:rFonts w:ascii="Palatino Linotype" w:eastAsia="Palatino Linotype" w:hAnsi="Palatino Linotype" w:cs="Palatino Linotype"/>
          <w:sz w:val="24"/>
          <w:szCs w:val="24"/>
        </w:rPr>
        <w:t xml:space="preserve">. </w:t>
      </w:r>
    </w:p>
    <w:p w:rsidR="00F8149C" w:rsidRDefault="006E49A1">
      <w:pPr>
        <w:spacing w:before="240" w:after="240" w:line="360" w:lineRule="auto"/>
        <w:jc w:val="both"/>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 xml:space="preserve">2. DE LA RESPUESTA DEL SUJETO OBLIGADO. </w:t>
      </w:r>
      <w:r>
        <w:rPr>
          <w:rFonts w:ascii="Palatino Linotype" w:eastAsia="Palatino Linotype" w:hAnsi="Palatino Linotype" w:cs="Palatino Linotype"/>
          <w:sz w:val="24"/>
          <w:szCs w:val="24"/>
        </w:rPr>
        <w:t xml:space="preserve">Con fecha veintiuno de febrero del dos mil veintidós, </w:t>
      </w:r>
      <w:r>
        <w:rPr>
          <w:rFonts w:ascii="Palatino Linotype" w:eastAsia="Palatino Linotype" w:hAnsi="Palatino Linotype" w:cs="Palatino Linotype"/>
          <w:b/>
          <w:sz w:val="24"/>
          <w:szCs w:val="24"/>
        </w:rPr>
        <w:t>EL SUJETO OBLIGADO</w:t>
      </w:r>
      <w:r>
        <w:rPr>
          <w:rFonts w:ascii="Palatino Linotype" w:eastAsia="Palatino Linotype" w:hAnsi="Palatino Linotype" w:cs="Palatino Linotype"/>
          <w:sz w:val="24"/>
          <w:szCs w:val="24"/>
        </w:rPr>
        <w:t xml:space="preserve"> otorgó, a través del SAIMEX, respuestas a la sol</w:t>
      </w:r>
      <w:r>
        <w:rPr>
          <w:rFonts w:ascii="Palatino Linotype" w:eastAsia="Palatino Linotype" w:hAnsi="Palatino Linotype" w:cs="Palatino Linotype"/>
          <w:sz w:val="24"/>
          <w:szCs w:val="24"/>
        </w:rPr>
        <w:t>icitud de acceso a la información de la siguiente manera:</w:t>
      </w:r>
      <w:r>
        <w:rPr>
          <w:rFonts w:ascii="Palatino Linotype" w:eastAsia="Palatino Linotype" w:hAnsi="Palatino Linotype" w:cs="Palatino Linotype"/>
        </w:rPr>
        <w:t xml:space="preserve"> </w:t>
      </w:r>
    </w:p>
    <w:p w:rsidR="00F8149C" w:rsidRDefault="006E49A1">
      <w:pPr>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Ixtlahuaca, México a 21 de febrero de 2022 Nombre del solicitante: ADAMARIS ESCARLET BEDOLLA VELÁZQUEZ Folio de la solicitud: 00037/IXTLAHUA/IP/2022 Ixtlahuaca, México a 21 de febrero de 2022 Nombre del solicitante: ADAMARIS ESCARLET BEDOLLA VELÁZQUEZ Foli</w:t>
      </w:r>
      <w:r>
        <w:rPr>
          <w:rFonts w:ascii="Palatino Linotype" w:eastAsia="Palatino Linotype" w:hAnsi="Palatino Linotype" w:cs="Palatino Linotype"/>
          <w:i/>
        </w:rPr>
        <w:t>o de la solicitud: 00037/IXTLAHUA/IP/2022 Ixtlahuaca de Rayón; México, a 28 de enero de 2022 C. BEDOLLA VELÁZQUEZ ADAMARIS ESCARLET P R E S E N T E Por medio del presente me permito enviarle un cordial y afectuoso saludo, al mismo tiempo y en atención a su</w:t>
      </w:r>
      <w:r>
        <w:rPr>
          <w:rFonts w:ascii="Palatino Linotype" w:eastAsia="Palatino Linotype" w:hAnsi="Palatino Linotype" w:cs="Palatino Linotype"/>
          <w:i/>
        </w:rPr>
        <w:t xml:space="preserve"> solicitud 00037/IXTLAHUA/IP/2022 de fecha veintiocho de enero de dos mil veintidós; donde solicita lo siguiente: “…Solicito se me proporcione vía SAIMEX de la información pública consistente en una relación o listado en el que se incluya o indique el nomb</w:t>
      </w:r>
      <w:r>
        <w:rPr>
          <w:rFonts w:ascii="Palatino Linotype" w:eastAsia="Palatino Linotype" w:hAnsi="Palatino Linotype" w:cs="Palatino Linotype"/>
          <w:i/>
        </w:rPr>
        <w:t xml:space="preserve">re completo, cargo y adscripción de todos y cada uno de los servidores públicos municipales, de base y de confianza, del Ayuntamiento de Ixtlahuaca que hayan desempeñado un empleo, cargo o comisión durante la primer quincena del mes de enero del año 2022, </w:t>
      </w:r>
      <w:r>
        <w:rPr>
          <w:rFonts w:ascii="Palatino Linotype" w:eastAsia="Palatino Linotype" w:hAnsi="Palatino Linotype" w:cs="Palatino Linotype"/>
          <w:i/>
        </w:rPr>
        <w:t>así como la correspondiente remuneración bruta y neta que cada servidor público municipal percibió durante el periodo referido...”; al respecto refiero que de acuerdo al artículo 12 de la Ley de Transparencia y Acceso a la Información Pública del Estado de</w:t>
      </w:r>
      <w:r>
        <w:rPr>
          <w:rFonts w:ascii="Palatino Linotype" w:eastAsia="Palatino Linotype" w:hAnsi="Palatino Linotype" w:cs="Palatino Linotype"/>
          <w:i/>
        </w:rPr>
        <w:t xml:space="preserve"> México y Municipios, que a la letra dice: “…Los Sujetos Obligados sólo proporcionarán la información pública que se les requiera y que obre en sus archivos y en el estado en que ésta se encuentre. Lo obligación de proporcionar información no comprende el </w:t>
      </w:r>
      <w:r>
        <w:rPr>
          <w:rFonts w:ascii="Palatino Linotype" w:eastAsia="Palatino Linotype" w:hAnsi="Palatino Linotype" w:cs="Palatino Linotype"/>
          <w:i/>
        </w:rPr>
        <w:t>procesamiento de la misma, ni el presentarla conforme al interés del solicitante; no estarán obligados a generarla, resumirla, efectuar cálculos o practicar investigaciones…”; al respecto envió a Usted la información siguiente: envió en formato PDF (RESP.S</w:t>
      </w:r>
      <w:r>
        <w:rPr>
          <w:rFonts w:ascii="Palatino Linotype" w:eastAsia="Palatino Linotype" w:hAnsi="Palatino Linotype" w:cs="Palatino Linotype"/>
          <w:i/>
        </w:rPr>
        <w:t xml:space="preserve">OL.037) Sin otro particular por el momento quedo de Usted; para cualquier duda y/o aclaración al respecto. A T E N T A M E N T E P. en Crim. ANA KAREN MARTÍNEZ MATEOS TITULAR DE LA UNIDAD DE TRANSPARENCIA Y ACCESO A LA INFORMACIÓN MUNICIPAL ATENTAMENTE P. </w:t>
      </w:r>
      <w:r>
        <w:rPr>
          <w:rFonts w:ascii="Palatino Linotype" w:eastAsia="Palatino Linotype" w:hAnsi="Palatino Linotype" w:cs="Palatino Linotype"/>
          <w:i/>
        </w:rPr>
        <w:t xml:space="preserve">en Crim. ANA </w:t>
      </w:r>
      <w:r>
        <w:rPr>
          <w:rFonts w:ascii="Palatino Linotype" w:eastAsia="Palatino Linotype" w:hAnsi="Palatino Linotype" w:cs="Palatino Linotype"/>
          <w:i/>
        </w:rPr>
        <w:lastRenderedPageBreak/>
        <w:t>KAREN MARTÍNEZ MATEOS Unidad de Transparencia Ayuntamiento de Ixtlahuaca ATENTAMENTE P. en Crim. ANA KAREN MARTÍNEZ MATEOS Unidad de Transparencia Ayuntamiento de Ixtlahuaca</w:t>
      </w:r>
    </w:p>
    <w:p w:rsidR="00F8149C" w:rsidRDefault="006E49A1">
      <w:pPr>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ATENTAMENTE</w:t>
      </w:r>
    </w:p>
    <w:p w:rsidR="00F8149C" w:rsidRDefault="006E49A1">
      <w:pPr>
        <w:ind w:left="851" w:right="900"/>
        <w:jc w:val="both"/>
        <w:rPr>
          <w:rFonts w:ascii="Palatino Linotype" w:eastAsia="Palatino Linotype" w:hAnsi="Palatino Linotype" w:cs="Palatino Linotype"/>
        </w:rPr>
      </w:pPr>
      <w:r>
        <w:rPr>
          <w:rFonts w:ascii="Palatino Linotype" w:eastAsia="Palatino Linotype" w:hAnsi="Palatino Linotype" w:cs="Palatino Linotype"/>
          <w:i/>
        </w:rPr>
        <w:t>P. en Crim. ANA KAREN MARTÍNEZ MATEOS</w:t>
      </w:r>
    </w:p>
    <w:p w:rsidR="00F8149C" w:rsidRDefault="006E49A1">
      <w:pP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El </w:t>
      </w:r>
      <w:r>
        <w:rPr>
          <w:rFonts w:ascii="Palatino Linotype" w:eastAsia="Palatino Linotype" w:hAnsi="Palatino Linotype" w:cs="Palatino Linotype"/>
          <w:b/>
          <w:color w:val="000000"/>
          <w:sz w:val="24"/>
          <w:szCs w:val="24"/>
        </w:rPr>
        <w:t>SUJETO OBLIGADO</w:t>
      </w:r>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color w:val="000000"/>
          <w:sz w:val="24"/>
          <w:szCs w:val="24"/>
        </w:rPr>
        <w:t>adjuntó para tal efecto el archivo electrónico denominado:</w:t>
      </w:r>
    </w:p>
    <w:p w:rsidR="00F8149C" w:rsidRDefault="006E49A1">
      <w:pP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sz w:val="24"/>
          <w:szCs w:val="24"/>
          <w:u w:val="single"/>
        </w:rPr>
        <w:t xml:space="preserve">RESP SOLIC 0037- (1).pdf </w:t>
      </w:r>
      <w:r>
        <w:rPr>
          <w:rFonts w:ascii="Palatino Linotype" w:eastAsia="Palatino Linotype" w:hAnsi="Palatino Linotype" w:cs="Palatino Linotype"/>
          <w:color w:val="000000"/>
          <w:sz w:val="24"/>
          <w:szCs w:val="24"/>
        </w:rPr>
        <w:t>mismo que contiene el oficio PMIX/DA/RH/0268/2022 signado por la Dra. Marivel Jaqueline Zúñiga González,  Directora de Administración, mediante el cual menciona que envía l</w:t>
      </w:r>
      <w:r>
        <w:rPr>
          <w:rFonts w:ascii="Palatino Linotype" w:eastAsia="Palatino Linotype" w:hAnsi="Palatino Linotype" w:cs="Palatino Linotype"/>
          <w:color w:val="000000"/>
          <w:sz w:val="24"/>
          <w:szCs w:val="24"/>
        </w:rPr>
        <w:t>a nómina en versión pública, a efecto de ejemplificar la información remitida se anexa la primera imagen.</w:t>
      </w:r>
    </w:p>
    <w:p w:rsidR="00F8149C" w:rsidRDefault="006E49A1">
      <w:pPr>
        <w:spacing w:before="240" w:after="240" w:line="360" w:lineRule="auto"/>
        <w:jc w:val="both"/>
        <w:rPr>
          <w:rFonts w:ascii="Palatino Linotype" w:eastAsia="Palatino Linotype" w:hAnsi="Palatino Linotype" w:cs="Palatino Linotype"/>
          <w:color w:val="000000"/>
          <w:sz w:val="24"/>
          <w:szCs w:val="24"/>
        </w:rPr>
      </w:pPr>
      <w:bookmarkStart w:id="0" w:name="_GoBack"/>
      <w:r>
        <w:rPr>
          <w:noProof/>
        </w:rPr>
        <w:drawing>
          <wp:inline distT="0" distB="0" distL="0" distR="0">
            <wp:extent cx="5638800" cy="3581400"/>
            <wp:effectExtent l="0" t="0" r="0" b="0"/>
            <wp:docPr id="4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a:srcRect l="27665" t="12070" r="12932" b="7966"/>
                    <a:stretch>
                      <a:fillRect/>
                    </a:stretch>
                  </pic:blipFill>
                  <pic:spPr>
                    <a:xfrm>
                      <a:off x="0" y="0"/>
                      <a:ext cx="5638983" cy="3581516"/>
                    </a:xfrm>
                    <a:prstGeom prst="rect">
                      <a:avLst/>
                    </a:prstGeom>
                    <a:ln/>
                  </pic:spPr>
                </pic:pic>
              </a:graphicData>
            </a:graphic>
          </wp:inline>
        </w:drawing>
      </w:r>
      <w:bookmarkEnd w:id="0"/>
    </w:p>
    <w:p w:rsidR="00F8149C" w:rsidRDefault="006E49A1">
      <w:pP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sz w:val="24"/>
          <w:szCs w:val="24"/>
        </w:rPr>
        <w:lastRenderedPageBreak/>
        <w:t xml:space="preserve">3. RECURSO DE REVISIÓN. </w:t>
      </w:r>
      <w:r>
        <w:rPr>
          <w:rFonts w:ascii="Palatino Linotype" w:eastAsia="Palatino Linotype" w:hAnsi="Palatino Linotype" w:cs="Palatino Linotype"/>
          <w:sz w:val="24"/>
          <w:szCs w:val="24"/>
        </w:rPr>
        <w:t>Inconforme con la respuesta del</w:t>
      </w:r>
      <w:r>
        <w:rPr>
          <w:rFonts w:ascii="Palatino Linotype" w:eastAsia="Palatino Linotype" w:hAnsi="Palatino Linotype" w:cs="Palatino Linotype"/>
          <w:b/>
          <w:sz w:val="24"/>
          <w:szCs w:val="24"/>
        </w:rPr>
        <w:t xml:space="preserve"> SUJETO OBLIGADO, </w:t>
      </w:r>
      <w:r>
        <w:rPr>
          <w:rFonts w:ascii="Palatino Linotype" w:eastAsia="Palatino Linotype" w:hAnsi="Palatino Linotype" w:cs="Palatino Linotype"/>
          <w:sz w:val="24"/>
          <w:szCs w:val="24"/>
        </w:rPr>
        <w:t>en fecha veintitrés de febrero de dos mil veintidós</w:t>
      </w:r>
      <w:r>
        <w:rPr>
          <w:rFonts w:ascii="Palatino Linotype" w:eastAsia="Palatino Linotype" w:hAnsi="Palatino Linotype" w:cs="Palatino Linotype"/>
          <w:b/>
          <w:sz w:val="24"/>
          <w:szCs w:val="24"/>
        </w:rPr>
        <w:t xml:space="preserve">, EL RECURRENTE </w:t>
      </w:r>
      <w:r>
        <w:rPr>
          <w:rFonts w:ascii="Palatino Linotype" w:eastAsia="Palatino Linotype" w:hAnsi="Palatino Linotype" w:cs="Palatino Linotype"/>
          <w:sz w:val="24"/>
          <w:szCs w:val="24"/>
        </w:rPr>
        <w:t>interpus</w:t>
      </w:r>
      <w:r>
        <w:rPr>
          <w:rFonts w:ascii="Palatino Linotype" w:eastAsia="Palatino Linotype" w:hAnsi="Palatino Linotype" w:cs="Palatino Linotype"/>
          <w:sz w:val="24"/>
          <w:szCs w:val="24"/>
        </w:rPr>
        <w:t>o el recurso de revisión, el cual fue registrado</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en el sistema electrónico con el expediente número </w:t>
      </w:r>
      <w:r>
        <w:rPr>
          <w:rFonts w:ascii="Palatino Linotype" w:eastAsia="Palatino Linotype" w:hAnsi="Palatino Linotype" w:cs="Palatino Linotype"/>
          <w:b/>
          <w:color w:val="000000"/>
          <w:sz w:val="24"/>
          <w:szCs w:val="24"/>
        </w:rPr>
        <w:t>01154/INFOEM/IP/RR/2022</w:t>
      </w:r>
      <w:r>
        <w:rPr>
          <w:rFonts w:ascii="Palatino Linotype" w:eastAsia="Palatino Linotype" w:hAnsi="Palatino Linotype" w:cs="Palatino Linotype"/>
          <w:sz w:val="24"/>
          <w:szCs w:val="24"/>
        </w:rPr>
        <w:t>, en el cual manifiesta, lo siguiente:</w:t>
      </w:r>
    </w:p>
    <w:p w:rsidR="00F8149C" w:rsidRDefault="006E49A1">
      <w:pPr>
        <w:numPr>
          <w:ilvl w:val="0"/>
          <w:numId w:val="1"/>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i/>
          <w:color w:val="000000"/>
          <w:sz w:val="24"/>
          <w:szCs w:val="24"/>
        </w:rPr>
        <w:t>Acto Impugnado:</w:t>
      </w:r>
    </w:p>
    <w:p w:rsidR="00F8149C" w:rsidRDefault="006E49A1">
      <w:pPr>
        <w:spacing w:before="240" w:after="240" w:line="276" w:lineRule="auto"/>
        <w:ind w:left="851"/>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i/>
          <w:color w:val="000000"/>
        </w:rPr>
        <w:t>LA RESPUESTA DEL SUJETO OBLIGADO DADA EN ATENCIÓN A LA SOLICITUD DE INFORMACIÓN NÚMERO 00037/IXTLAHUA/IP/2022.</w:t>
      </w:r>
      <w:r>
        <w:rPr>
          <w:rFonts w:ascii="Palatino Linotype" w:eastAsia="Palatino Linotype" w:hAnsi="Palatino Linotype" w:cs="Palatino Linotype"/>
          <w:i/>
        </w:rPr>
        <w:t>” [sic]</w:t>
      </w:r>
    </w:p>
    <w:p w:rsidR="00F8149C" w:rsidRDefault="006E49A1">
      <w:pPr>
        <w:numPr>
          <w:ilvl w:val="0"/>
          <w:numId w:val="1"/>
        </w:numPr>
        <w:pBdr>
          <w:top w:val="nil"/>
          <w:left w:val="nil"/>
          <w:bottom w:val="nil"/>
          <w:right w:val="nil"/>
          <w:between w:val="nil"/>
        </w:pBdr>
        <w:spacing w:before="240" w:after="240" w:line="360" w:lineRule="auto"/>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i/>
          <w:color w:val="000000"/>
          <w:sz w:val="24"/>
          <w:szCs w:val="24"/>
        </w:rPr>
        <w:t>Razones o Motivos de Inconformidad</w:t>
      </w:r>
      <w:r>
        <w:rPr>
          <w:rFonts w:ascii="Palatino Linotype" w:eastAsia="Palatino Linotype" w:hAnsi="Palatino Linotype" w:cs="Palatino Linotype"/>
          <w:i/>
          <w:color w:val="000000"/>
          <w:sz w:val="24"/>
          <w:szCs w:val="24"/>
        </w:rPr>
        <w:t>:</w:t>
      </w:r>
    </w:p>
    <w:p w:rsidR="00F8149C" w:rsidRDefault="006E49A1">
      <w:pPr>
        <w:spacing w:before="240" w:after="240" w:line="276" w:lineRule="auto"/>
        <w:ind w:left="851"/>
        <w:jc w:val="both"/>
        <w:rPr>
          <w:rFonts w:ascii="Palatino Linotype" w:eastAsia="Palatino Linotype" w:hAnsi="Palatino Linotype" w:cs="Palatino Linotype"/>
          <w:i/>
        </w:rPr>
      </w:pPr>
      <w:r>
        <w:rPr>
          <w:rFonts w:ascii="Palatino Linotype" w:eastAsia="Palatino Linotype" w:hAnsi="Palatino Linotype" w:cs="Palatino Linotype"/>
          <w:i/>
          <w:color w:val="000000"/>
          <w:sz w:val="24"/>
          <w:szCs w:val="24"/>
        </w:rPr>
        <w:t>“</w:t>
      </w:r>
      <w:r>
        <w:rPr>
          <w:rFonts w:ascii="Palatino Linotype" w:eastAsia="Palatino Linotype" w:hAnsi="Palatino Linotype" w:cs="Palatino Linotype"/>
          <w:i/>
          <w:color w:val="000000"/>
        </w:rPr>
        <w:t xml:space="preserve">El Sujeto Obligado omite emitir acuerdo o resolución alguna por medio de la cual determine de manera </w:t>
      </w:r>
      <w:r>
        <w:rPr>
          <w:rFonts w:ascii="Palatino Linotype" w:eastAsia="Palatino Linotype" w:hAnsi="Palatino Linotype" w:cs="Palatino Linotype"/>
          <w:i/>
          <w:color w:val="000000"/>
        </w:rPr>
        <w:t xml:space="preserve">fundada y motivada, las razones, motivos y circunstancias especiales que fueron tomadas en consideración para concluir que en el caso particular se ajusta en alguno de los supuestos de clasificación de la información previstos por la ley de la materia.” </w:t>
      </w:r>
      <w:r>
        <w:rPr>
          <w:rFonts w:ascii="Palatino Linotype" w:eastAsia="Palatino Linotype" w:hAnsi="Palatino Linotype" w:cs="Palatino Linotype"/>
          <w:i/>
        </w:rPr>
        <w:t>[s</w:t>
      </w:r>
      <w:r>
        <w:rPr>
          <w:rFonts w:ascii="Palatino Linotype" w:eastAsia="Palatino Linotype" w:hAnsi="Palatino Linotype" w:cs="Palatino Linotype"/>
          <w:i/>
        </w:rPr>
        <w:t>ic]</w:t>
      </w:r>
    </w:p>
    <w:p w:rsidR="00F8149C" w:rsidRDefault="006E49A1">
      <w:pPr>
        <w:spacing w:before="240" w:after="240" w:line="360" w:lineRule="auto"/>
        <w:ind w:right="51"/>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4. TURNO. </w:t>
      </w:r>
      <w:r>
        <w:rPr>
          <w:rFonts w:ascii="Palatino Linotype" w:eastAsia="Palatino Linotype" w:hAnsi="Palatino Linotype" w:cs="Palatino Linotype"/>
          <w:sz w:val="24"/>
          <w:szCs w:val="24"/>
        </w:rPr>
        <w:t>De conformidad con el artículo 185 fracción I de la Ley de Transparencia y Acceso a la Información Pública del Estado de México y Municipios vigente, el presente recurso de revisión se turnó por el sistema electrónico del Instituto de Transpa</w:t>
      </w:r>
      <w:r>
        <w:rPr>
          <w:rFonts w:ascii="Palatino Linotype" w:eastAsia="Palatino Linotype" w:hAnsi="Palatino Linotype" w:cs="Palatino Linotype"/>
          <w:sz w:val="24"/>
          <w:szCs w:val="24"/>
        </w:rPr>
        <w:t xml:space="preserve">rencia, Acceso a la Información Pública y Protección de Datos Personales del Estado de México y Municipios, a la Comisionada </w:t>
      </w:r>
      <w:r>
        <w:rPr>
          <w:rFonts w:ascii="Palatino Linotype" w:eastAsia="Palatino Linotype" w:hAnsi="Palatino Linotype" w:cs="Palatino Linotype"/>
          <w:b/>
          <w:sz w:val="24"/>
          <w:szCs w:val="24"/>
        </w:rPr>
        <w:t xml:space="preserve">Guadalupe Ramírez Peña, </w:t>
      </w:r>
      <w:r>
        <w:rPr>
          <w:rFonts w:ascii="Palatino Linotype" w:eastAsia="Palatino Linotype" w:hAnsi="Palatino Linotype" w:cs="Palatino Linotype"/>
          <w:sz w:val="24"/>
          <w:szCs w:val="24"/>
        </w:rPr>
        <w:t>a efecto de que analizara sobre su admisión o su desechamiento.</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5. ADMISIÓN DEL RECURSO DE REVISIÓN.</w:t>
      </w:r>
      <w:r>
        <w:rPr>
          <w:rFonts w:ascii="Palatino Linotype" w:eastAsia="Palatino Linotype" w:hAnsi="Palatino Linotype" w:cs="Palatino Linotype"/>
          <w:sz w:val="24"/>
          <w:szCs w:val="24"/>
        </w:rPr>
        <w:t xml:space="preserve"> Con fe</w:t>
      </w:r>
      <w:r>
        <w:rPr>
          <w:rFonts w:ascii="Palatino Linotype" w:eastAsia="Palatino Linotype" w:hAnsi="Palatino Linotype" w:cs="Palatino Linotype"/>
          <w:sz w:val="24"/>
          <w:szCs w:val="24"/>
        </w:rPr>
        <w:t>cha</w:t>
      </w:r>
      <w:r>
        <w:rPr>
          <w:rFonts w:ascii="Palatino Linotype" w:eastAsia="Palatino Linotype" w:hAnsi="Palatino Linotype" w:cs="Palatino Linotype"/>
          <w:b/>
          <w:sz w:val="24"/>
          <w:szCs w:val="24"/>
        </w:rPr>
        <w:t xml:space="preserve"> primero de marzo de dos mil veintidós, </w:t>
      </w:r>
      <w:r>
        <w:rPr>
          <w:rFonts w:ascii="Palatino Linotype" w:eastAsia="Palatino Linotype" w:hAnsi="Palatino Linotype" w:cs="Palatino Linotype"/>
          <w:sz w:val="24"/>
          <w:szCs w:val="24"/>
        </w:rPr>
        <w:t xml:space="preserve">este Instituto de Transparencia, Acceso a la Información Pública </w:t>
      </w:r>
      <w:r>
        <w:rPr>
          <w:rFonts w:ascii="Palatino Linotype" w:eastAsia="Palatino Linotype" w:hAnsi="Palatino Linotype" w:cs="Palatino Linotype"/>
          <w:sz w:val="24"/>
          <w:szCs w:val="24"/>
        </w:rPr>
        <w:lastRenderedPageBreak/>
        <w:t>y Protección de Datos Personales del Estado de México y Municipios, admitió a trámite el recurso de revisión que ahora se resuelve, dando un plazo m</w:t>
      </w:r>
      <w:r>
        <w:rPr>
          <w:rFonts w:ascii="Palatino Linotype" w:eastAsia="Palatino Linotype" w:hAnsi="Palatino Linotype" w:cs="Palatino Linotype"/>
          <w:sz w:val="24"/>
          <w:szCs w:val="24"/>
        </w:rPr>
        <w:t xml:space="preserve">áximo de siete días hábiles para que las partes manifestaran lo que a su derecho resultara conveniente, ofrecieran pruebas, formularan alegatos y el </w:t>
      </w:r>
      <w:r>
        <w:rPr>
          <w:rFonts w:ascii="Palatino Linotype" w:eastAsia="Palatino Linotype" w:hAnsi="Palatino Linotype" w:cs="Palatino Linotype"/>
          <w:b/>
          <w:sz w:val="24"/>
          <w:szCs w:val="24"/>
        </w:rPr>
        <w:t xml:space="preserve">SUJETO OBLIGADO </w:t>
      </w:r>
      <w:r>
        <w:rPr>
          <w:rFonts w:ascii="Palatino Linotype" w:eastAsia="Palatino Linotype" w:hAnsi="Palatino Linotype" w:cs="Palatino Linotype"/>
          <w:sz w:val="24"/>
          <w:szCs w:val="24"/>
        </w:rPr>
        <w:t>presentara su informe justificado.</w:t>
      </w:r>
    </w:p>
    <w:p w:rsidR="00F8149C" w:rsidRDefault="006E49A1">
      <w:pPr>
        <w:spacing w:before="240" w:after="240" w:line="360" w:lineRule="auto"/>
        <w:ind w:right="-234"/>
        <w:jc w:val="both"/>
        <w:rPr>
          <w:rFonts w:ascii="Palatino Linotype" w:eastAsia="Palatino Linotype" w:hAnsi="Palatino Linotype" w:cs="Palatino Linotype"/>
          <w:sz w:val="24"/>
          <w:szCs w:val="24"/>
        </w:rPr>
      </w:pPr>
      <w:r>
        <w:rPr>
          <w:rFonts w:ascii="Palatino Linotype" w:eastAsia="Palatino Linotype" w:hAnsi="Palatino Linotype" w:cs="Palatino Linotype"/>
          <w:b/>
          <w:color w:val="202124"/>
          <w:sz w:val="24"/>
          <w:szCs w:val="24"/>
        </w:rPr>
        <w:t xml:space="preserve">6. </w:t>
      </w:r>
      <w:r>
        <w:rPr>
          <w:rFonts w:ascii="Palatino Linotype" w:eastAsia="Palatino Linotype" w:hAnsi="Palatino Linotype" w:cs="Palatino Linotype"/>
          <w:b/>
          <w:sz w:val="24"/>
          <w:szCs w:val="24"/>
        </w:rPr>
        <w:t xml:space="preserve">INFORME JUSTIFICADO O MANIFESTACIONES. </w:t>
      </w:r>
      <w:r>
        <w:rPr>
          <w:rFonts w:ascii="Palatino Linotype" w:eastAsia="Palatino Linotype" w:hAnsi="Palatino Linotype" w:cs="Palatino Linotype"/>
          <w:sz w:val="24"/>
          <w:szCs w:val="24"/>
        </w:rPr>
        <w:t xml:space="preserve">El diez de marzo de dos mil veintidós, se recibió, a través del Sistema de Acceso a la Información Mexiquense (SAIMEX), el Informe Justificado del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a través del siguiente archivo electrónico: </w:t>
      </w:r>
    </w:p>
    <w:p w:rsidR="00F8149C" w:rsidRDefault="006E49A1">
      <w:pP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000000"/>
          <w:sz w:val="24"/>
          <w:szCs w:val="24"/>
          <w:u w:val="single"/>
        </w:rPr>
        <w:t xml:space="preserve">INFORME JUSTIFICADO RR SOL 37.pdf: </w:t>
      </w:r>
      <w:r>
        <w:rPr>
          <w:rFonts w:ascii="Palatino Linotype" w:eastAsia="Palatino Linotype" w:hAnsi="Palatino Linotype" w:cs="Palatino Linotype"/>
          <w:color w:val="000000"/>
          <w:sz w:val="24"/>
          <w:szCs w:val="24"/>
        </w:rPr>
        <w:t>Oficio de fe</w:t>
      </w:r>
      <w:r>
        <w:rPr>
          <w:rFonts w:ascii="Palatino Linotype" w:eastAsia="Palatino Linotype" w:hAnsi="Palatino Linotype" w:cs="Palatino Linotype"/>
          <w:color w:val="000000"/>
          <w:sz w:val="24"/>
          <w:szCs w:val="24"/>
        </w:rPr>
        <w:t>cha nueve de marzo de dos mil veintidós, signado por la P. en Crim. Ana Karen Martínez Mateos, Titular de la Unidad de Transparencia y Acceso a la Información Pública, mediante el cual describe el contenido del expediente electrónico que forma parte del pr</w:t>
      </w:r>
      <w:r>
        <w:rPr>
          <w:rFonts w:ascii="Palatino Linotype" w:eastAsia="Palatino Linotype" w:hAnsi="Palatino Linotype" w:cs="Palatino Linotype"/>
          <w:color w:val="000000"/>
          <w:sz w:val="24"/>
          <w:szCs w:val="24"/>
        </w:rPr>
        <w:t>esente Recurso de Revisión, asi mismo menciona que remite la información enviada por la Dirección de Administración, el cual consiste en un listado de las remuneraciones de los servidores públicos en Versión Pública, para tal efecto también se adjuntó el a</w:t>
      </w:r>
      <w:r>
        <w:rPr>
          <w:rFonts w:ascii="Palatino Linotype" w:eastAsia="Palatino Linotype" w:hAnsi="Palatino Linotype" w:cs="Palatino Linotype"/>
          <w:color w:val="000000"/>
          <w:sz w:val="24"/>
          <w:szCs w:val="24"/>
        </w:rPr>
        <w:t xml:space="preserve">cta de la segunda sesión extraordinaria del comité de transparencia 2022, con motivo de clasificar información en carácter de reservada, como se observa a continuación: </w:t>
      </w:r>
    </w:p>
    <w:p w:rsidR="00F8149C" w:rsidRDefault="00F8149C">
      <w:pPr>
        <w:spacing w:line="360" w:lineRule="auto"/>
        <w:jc w:val="both"/>
        <w:rPr>
          <w:rFonts w:ascii="Palatino Linotype" w:eastAsia="Palatino Linotype" w:hAnsi="Palatino Linotype" w:cs="Palatino Linotype"/>
          <w:color w:val="000000"/>
          <w:sz w:val="24"/>
          <w:szCs w:val="24"/>
        </w:rPr>
      </w:pPr>
    </w:p>
    <w:p w:rsidR="00F8149C" w:rsidRDefault="006E49A1">
      <w:pPr>
        <w:spacing w:line="360" w:lineRule="auto"/>
        <w:jc w:val="both"/>
        <w:rPr>
          <w:rFonts w:ascii="Palatino Linotype" w:eastAsia="Palatino Linotype" w:hAnsi="Palatino Linotype" w:cs="Palatino Linotype"/>
          <w:color w:val="000000"/>
          <w:sz w:val="24"/>
          <w:szCs w:val="24"/>
        </w:rPr>
      </w:pPr>
      <w:r>
        <w:rPr>
          <w:noProof/>
        </w:rPr>
        <w:lastRenderedPageBreak/>
        <w:drawing>
          <wp:inline distT="0" distB="0" distL="0" distR="0">
            <wp:extent cx="4324530" cy="5824385"/>
            <wp:effectExtent l="0" t="0" r="0" b="0"/>
            <wp:docPr id="4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2529" t="19320" r="26850" b="7361"/>
                    <a:stretch>
                      <a:fillRect/>
                    </a:stretch>
                  </pic:blipFill>
                  <pic:spPr>
                    <a:xfrm rot="16200000">
                      <a:off x="0" y="0"/>
                      <a:ext cx="4324530" cy="5824385"/>
                    </a:xfrm>
                    <a:prstGeom prst="rect">
                      <a:avLst/>
                    </a:prstGeom>
                    <a:ln/>
                  </pic:spPr>
                </pic:pic>
              </a:graphicData>
            </a:graphic>
          </wp:inline>
        </w:drawing>
      </w:r>
    </w:p>
    <w:p w:rsidR="00F8149C" w:rsidRDefault="006E49A1">
      <w:pPr>
        <w:spacing w:line="360" w:lineRule="auto"/>
        <w:jc w:val="both"/>
        <w:rPr>
          <w:rFonts w:ascii="Palatino Linotype" w:eastAsia="Palatino Linotype" w:hAnsi="Palatino Linotype" w:cs="Palatino Linotype"/>
          <w:color w:val="000000"/>
          <w:sz w:val="24"/>
          <w:szCs w:val="24"/>
        </w:rPr>
      </w:pPr>
      <w:r>
        <w:rPr>
          <w:noProof/>
        </w:rPr>
        <w:lastRenderedPageBreak/>
        <w:drawing>
          <wp:inline distT="0" distB="0" distL="0" distR="0">
            <wp:extent cx="5596938" cy="7249367"/>
            <wp:effectExtent l="0" t="0" r="0" b="0"/>
            <wp:docPr id="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l="39206" t="13881" r="25153" b="4043"/>
                    <a:stretch>
                      <a:fillRect/>
                    </a:stretch>
                  </pic:blipFill>
                  <pic:spPr>
                    <a:xfrm>
                      <a:off x="0" y="0"/>
                      <a:ext cx="5596938" cy="7249367"/>
                    </a:xfrm>
                    <a:prstGeom prst="rect">
                      <a:avLst/>
                    </a:prstGeom>
                    <a:ln/>
                  </pic:spPr>
                </pic:pic>
              </a:graphicData>
            </a:graphic>
          </wp:inline>
        </w:drawing>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lastRenderedPageBreak/>
        <w:t>8. AMPLIACIÓN DEL TÉRMINO PARA RESOLVER</w:t>
      </w:r>
      <w:r>
        <w:rPr>
          <w:rFonts w:ascii="Palatino Linotype" w:eastAsia="Palatino Linotype" w:hAnsi="Palatino Linotype" w:cs="Palatino Linotype"/>
          <w:sz w:val="24"/>
          <w:szCs w:val="24"/>
        </w:rPr>
        <w:t>.</w:t>
      </w:r>
      <w:r>
        <w:rPr>
          <w:rFonts w:ascii="Palatino Linotype" w:eastAsia="Palatino Linotype" w:hAnsi="Palatino Linotype" w:cs="Palatino Linotype"/>
        </w:rPr>
        <w:t xml:space="preserve"> </w:t>
      </w:r>
      <w:r>
        <w:rPr>
          <w:rFonts w:ascii="Palatino Linotype" w:eastAsia="Palatino Linotype" w:hAnsi="Palatino Linotype" w:cs="Palatino Linotype"/>
          <w:sz w:val="24"/>
          <w:szCs w:val="24"/>
        </w:rPr>
        <w:t xml:space="preserve">En fecha veintiocho de abril de dos mil veintidós, se amplió el término para resolver el recurso de revisión en términos del artículo 181 párrafo tercero de la Ley de Transparencia y Acceso a la Información Pública del Estado de México y Municipios por un </w:t>
      </w:r>
      <w:r>
        <w:rPr>
          <w:rFonts w:ascii="Palatino Linotype" w:eastAsia="Palatino Linotype" w:hAnsi="Palatino Linotype" w:cs="Palatino Linotype"/>
          <w:sz w:val="24"/>
          <w:szCs w:val="24"/>
        </w:rPr>
        <w:t xml:space="preserve">plazo de quince días hábiles. </w:t>
      </w:r>
    </w:p>
    <w:p w:rsidR="00F8149C" w:rsidRDefault="006E49A1">
      <w:pPr>
        <w:spacing w:before="240" w:after="240" w:line="360" w:lineRule="auto"/>
        <w:ind w:right="-234"/>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sz w:val="24"/>
          <w:szCs w:val="24"/>
        </w:rPr>
        <w:t xml:space="preserve">9. CIERRE DE INSTRUCCIÓN. </w:t>
      </w:r>
      <w:r>
        <w:rPr>
          <w:rFonts w:ascii="Palatino Linotype" w:eastAsia="Palatino Linotype" w:hAnsi="Palatino Linotype" w:cs="Palatino Linotype"/>
          <w:color w:val="000000"/>
          <w:sz w:val="24"/>
          <w:szCs w:val="24"/>
        </w:rPr>
        <w:t>El cuatro de mayo de dos mil veintidós, al no existir diligencias pendientes por desahogar, se emitió el acuerdo por medio del cual se declaró cerrada la instrucción y se determinó pasar el expedient</w:t>
      </w:r>
      <w:r>
        <w:rPr>
          <w:rFonts w:ascii="Palatino Linotype" w:eastAsia="Palatino Linotype" w:hAnsi="Palatino Linotype" w:cs="Palatino Linotype"/>
          <w:color w:val="000000"/>
          <w:sz w:val="24"/>
          <w:szCs w:val="24"/>
        </w:rPr>
        <w:t xml:space="preserve">e a resolución, en términos del artículo 185 fracción VI y VIII de la Ley de Transparencia y Acceso a la Información Pública del Estado de México y Municipios, iniciando el término legal para dictar resolución definitiva del asunto. </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En razón de que fue de</w:t>
      </w:r>
      <w:r>
        <w:rPr>
          <w:rFonts w:ascii="Palatino Linotype" w:eastAsia="Palatino Linotype" w:hAnsi="Palatino Linotype" w:cs="Palatino Linotype"/>
          <w:sz w:val="24"/>
          <w:szCs w:val="24"/>
        </w:rPr>
        <w:t xml:space="preserve">bidamente sustanciado el expediente electrónico y no existe diligencia pendiente de desahogo, se emite la Resolución que conforme a Derecho proceda, de acuerdo con los siguientes: </w:t>
      </w:r>
    </w:p>
    <w:p w:rsidR="00F8149C" w:rsidRDefault="006E49A1">
      <w:pPr>
        <w:widowControl w:val="0"/>
        <w:spacing w:line="360" w:lineRule="auto"/>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 O N S I D E R A N D O S</w:t>
      </w: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PRIMERO. COMPETENCIA.</w:t>
      </w:r>
      <w:r>
        <w:rPr>
          <w:rFonts w:ascii="Palatino Linotype" w:eastAsia="Palatino Linotype" w:hAnsi="Palatino Linotype" w:cs="Palatino Linotype"/>
          <w:sz w:val="24"/>
          <w:szCs w:val="24"/>
        </w:rPr>
        <w:t xml:space="preserve"> El Instituto de Transparenc</w:t>
      </w:r>
      <w:r>
        <w:rPr>
          <w:rFonts w:ascii="Palatino Linotype" w:eastAsia="Palatino Linotype" w:hAnsi="Palatino Linotype" w:cs="Palatino Linotype"/>
          <w:sz w:val="24"/>
          <w:szCs w:val="24"/>
        </w:rPr>
        <w:t>ia, Acceso a la Información Pública y Protección de Datos Personales del Estado de México y Municipios, es competente para conocer y resolver el presente recurso de revisión interpuesto por la parte recurrente, conforme a lo dispuesto en los artículos 6, a</w:t>
      </w:r>
      <w:r>
        <w:rPr>
          <w:rFonts w:ascii="Palatino Linotype" w:eastAsia="Palatino Linotype" w:hAnsi="Palatino Linotype" w:cs="Palatino Linotype"/>
          <w:sz w:val="24"/>
          <w:szCs w:val="24"/>
        </w:rPr>
        <w:t xml:space="preserve">partado A de la Constitución Política de los Estados Unidos Mexicanos; 5 párrafos trigésimo, trigésimo primero y trigésimo segundo fracciones IV y V de la Constitución Política del Estado Libre y Soberano de México; 2, fracción II; 29, 36 </w:t>
      </w:r>
      <w:r>
        <w:rPr>
          <w:rFonts w:ascii="Palatino Linotype" w:eastAsia="Palatino Linotype" w:hAnsi="Palatino Linotype" w:cs="Palatino Linotype"/>
          <w:sz w:val="24"/>
          <w:szCs w:val="24"/>
        </w:rPr>
        <w:lastRenderedPageBreak/>
        <w:t>fracciones I y II</w:t>
      </w:r>
      <w:r>
        <w:rPr>
          <w:rFonts w:ascii="Palatino Linotype" w:eastAsia="Palatino Linotype" w:hAnsi="Palatino Linotype" w:cs="Palatino Linotype"/>
          <w:sz w:val="24"/>
          <w:szCs w:val="24"/>
        </w:rPr>
        <w:t>; 176, 178, 181, 185, fracción I, 186 y 188 de la Ley Transparencia y Acceso a la Información Pública del Estado de México y Municipios; 9, fracciones I y XXIV y 11 del Reglamento Interior del Instituto de Transparencia, Acceso a la Información Pública y P</w:t>
      </w:r>
      <w:r>
        <w:rPr>
          <w:rFonts w:ascii="Palatino Linotype" w:eastAsia="Palatino Linotype" w:hAnsi="Palatino Linotype" w:cs="Palatino Linotype"/>
          <w:sz w:val="24"/>
          <w:szCs w:val="24"/>
        </w:rPr>
        <w:t>rotección de Datos Personales del Estado de México y Municipios.</w:t>
      </w: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SEGUNDO. OPORTUNIDAD Y PROCEDIBILIDAD DEL RECURSO DE REVISIÓN</w:t>
      </w:r>
      <w:r>
        <w:rPr>
          <w:rFonts w:ascii="Palatino Linotype" w:eastAsia="Palatino Linotype" w:hAnsi="Palatino Linotype" w:cs="Palatino Linotype"/>
          <w:sz w:val="24"/>
          <w:szCs w:val="24"/>
        </w:rPr>
        <w:t>.</w:t>
      </w:r>
      <w:r>
        <w:rPr>
          <w:rFonts w:ascii="Palatino Linotype" w:eastAsia="Palatino Linotype" w:hAnsi="Palatino Linotype" w:cs="Palatino Linotype"/>
        </w:rPr>
        <w:t xml:space="preserve"> </w:t>
      </w:r>
      <w:r>
        <w:rPr>
          <w:rFonts w:ascii="Palatino Linotype" w:eastAsia="Palatino Linotype" w:hAnsi="Palatino Linotype" w:cs="Palatino Linotype"/>
          <w:sz w:val="24"/>
          <w:szCs w:val="24"/>
        </w:rPr>
        <w:t xml:space="preserve">Previo al estudio del fondo del asunto, se procede a analizar los requisitos de oportunidad y procedibilidad que debe reunir el </w:t>
      </w:r>
      <w:r>
        <w:rPr>
          <w:rFonts w:ascii="Palatino Linotype" w:eastAsia="Palatino Linotype" w:hAnsi="Palatino Linotype" w:cs="Palatino Linotype"/>
          <w:sz w:val="24"/>
          <w:szCs w:val="24"/>
        </w:rPr>
        <w:t>recurso de revisión interpuesto, previstos en los artículos 178 y 180 de la Ley de Transparencia y Acceso a la Información Pública del Estado de México y Municipios.</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El recurso de revisión fue interpuesto dentro del plazo de quince días hábiles, previsto en el artículo 178 de la Ley de Transparencia y Acceso a la Información Pública del Estado de México y Municipios, toda vez que el </w:t>
      </w:r>
      <w:r>
        <w:rPr>
          <w:rFonts w:ascii="Palatino Linotype" w:eastAsia="Palatino Linotype" w:hAnsi="Palatino Linotype" w:cs="Palatino Linotype"/>
          <w:b/>
          <w:sz w:val="24"/>
          <w:szCs w:val="24"/>
        </w:rPr>
        <w:t xml:space="preserve">SUJETO OBLIGADO </w:t>
      </w:r>
      <w:r>
        <w:rPr>
          <w:rFonts w:ascii="Palatino Linotype" w:eastAsia="Palatino Linotype" w:hAnsi="Palatino Linotype" w:cs="Palatino Linotype"/>
          <w:sz w:val="24"/>
          <w:szCs w:val="24"/>
        </w:rPr>
        <w:t>remitió la respuesta</w:t>
      </w:r>
      <w:r>
        <w:rPr>
          <w:rFonts w:ascii="Palatino Linotype" w:eastAsia="Palatino Linotype" w:hAnsi="Palatino Linotype" w:cs="Palatino Linotype"/>
          <w:sz w:val="24"/>
          <w:szCs w:val="24"/>
        </w:rPr>
        <w:t xml:space="preserve"> a la solicitud de información el día </w:t>
      </w:r>
      <w:r>
        <w:rPr>
          <w:rFonts w:ascii="Palatino Linotype" w:eastAsia="Palatino Linotype" w:hAnsi="Palatino Linotype" w:cs="Palatino Linotype"/>
          <w:b/>
          <w:sz w:val="24"/>
          <w:szCs w:val="24"/>
        </w:rPr>
        <w:t xml:space="preserve">veintiuno de febrero de dos mil veintidós, </w:t>
      </w:r>
      <w:r>
        <w:rPr>
          <w:rFonts w:ascii="Palatino Linotype" w:eastAsia="Palatino Linotype" w:hAnsi="Palatino Linotype" w:cs="Palatino Linotype"/>
          <w:sz w:val="24"/>
          <w:szCs w:val="24"/>
        </w:rPr>
        <w:t xml:space="preserve">mientras que el recurso de revisión interpuesto por la parte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se tuvo por presentado el día </w:t>
      </w:r>
      <w:r>
        <w:rPr>
          <w:rFonts w:ascii="Palatino Linotype" w:eastAsia="Palatino Linotype" w:hAnsi="Palatino Linotype" w:cs="Palatino Linotype"/>
          <w:b/>
          <w:sz w:val="24"/>
          <w:szCs w:val="24"/>
        </w:rPr>
        <w:t>veintitrés de febrero de dos mil veintidós</w:t>
      </w:r>
      <w:r>
        <w:rPr>
          <w:rFonts w:ascii="Palatino Linotype" w:eastAsia="Palatino Linotype" w:hAnsi="Palatino Linotype" w:cs="Palatino Linotype"/>
          <w:sz w:val="24"/>
          <w:szCs w:val="24"/>
        </w:rPr>
        <w:t>, esto es, al segundo día hábi</w:t>
      </w:r>
      <w:r>
        <w:rPr>
          <w:rFonts w:ascii="Palatino Linotype" w:eastAsia="Palatino Linotype" w:hAnsi="Palatino Linotype" w:cs="Palatino Linotype"/>
          <w:sz w:val="24"/>
          <w:szCs w:val="24"/>
        </w:rPr>
        <w:t>l en que tuvo conocimiento de la respuesta impugnada.</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En este sentido, al considerar la fecha en que se formuló la solicitud y la fecha en que respondió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así como la fecha en que se interpuso el recurso de revisión, se concluye que el pr</w:t>
      </w:r>
      <w:r>
        <w:rPr>
          <w:rFonts w:ascii="Palatino Linotype" w:eastAsia="Palatino Linotype" w:hAnsi="Palatino Linotype" w:cs="Palatino Linotype"/>
          <w:sz w:val="24"/>
          <w:szCs w:val="24"/>
        </w:rPr>
        <w:t>esente recurso de revisión se encuentra dentro de los márgenes temporales previstos las disposiciones legales referidas.</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Así también, por cuanto hace a la procedibilidad del recurso de revisión, una vez realizado el análisis de los formatos de interposició</w:t>
      </w:r>
      <w:r>
        <w:rPr>
          <w:rFonts w:ascii="Palatino Linotype" w:eastAsia="Palatino Linotype" w:hAnsi="Palatino Linotype" w:cs="Palatino Linotype"/>
          <w:sz w:val="24"/>
          <w:szCs w:val="24"/>
        </w:rPr>
        <w:t>n del recurso, se concluye la acreditación plena de los elementos formales precisados por el artículo 180 de la Ley de Transparencia y Acceso a la Información Pública del Estado de México y Municipios, en atención a que fue presentado mediante el formato v</w:t>
      </w:r>
      <w:r>
        <w:rPr>
          <w:rFonts w:ascii="Palatino Linotype" w:eastAsia="Palatino Linotype" w:hAnsi="Palatino Linotype" w:cs="Palatino Linotype"/>
          <w:sz w:val="24"/>
          <w:szCs w:val="24"/>
        </w:rPr>
        <w:t>isible en el SAIMEX.</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Además, por cuanto hace a la procedibilidad del recurso de revisión, es de suma importancia señalar que la parte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no señaló nombre o seudónimo con el cual desee ser identificado, como se advierte en el detalle de seguimiento</w:t>
      </w:r>
      <w:r>
        <w:rPr>
          <w:rFonts w:ascii="Palatino Linotype" w:eastAsia="Palatino Linotype" w:hAnsi="Palatino Linotype" w:cs="Palatino Linotype"/>
          <w:sz w:val="24"/>
          <w:szCs w:val="24"/>
        </w:rPr>
        <w:t xml:space="preserve"> del SAIMEX, no obstante lo anterior, no proporcionar el nombre completo no es motivo para archivar la solicitud de acceso a la información pública como concluida, conforme a lo previsto en el artículo 155, penúltimo párrafo de la Ley de Transparencia y Ac</w:t>
      </w:r>
      <w:r>
        <w:rPr>
          <w:rFonts w:ascii="Palatino Linotype" w:eastAsia="Palatino Linotype" w:hAnsi="Palatino Linotype" w:cs="Palatino Linotype"/>
          <w:sz w:val="24"/>
          <w:szCs w:val="24"/>
        </w:rPr>
        <w:t>ceso a la Información Pública del Estado de México y Municipios que establece lo siguiente:</w:t>
      </w:r>
    </w:p>
    <w:p w:rsidR="00F8149C" w:rsidRDefault="006E49A1">
      <w:pPr>
        <w:spacing w:before="240" w:after="240" w:line="276" w:lineRule="auto"/>
        <w:ind w:left="851" w:right="902"/>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Las solicitudes anónimas</w:t>
      </w:r>
      <w:r>
        <w:rPr>
          <w:rFonts w:ascii="Palatino Linotype" w:eastAsia="Palatino Linotype" w:hAnsi="Palatino Linotype" w:cs="Palatino Linotype"/>
          <w:i/>
        </w:rPr>
        <w:t xml:space="preserve">, con nombre incompleto o seudónimo </w:t>
      </w:r>
      <w:r>
        <w:rPr>
          <w:rFonts w:ascii="Palatino Linotype" w:eastAsia="Palatino Linotype" w:hAnsi="Palatino Linotype" w:cs="Palatino Linotype"/>
          <w:b/>
          <w:i/>
        </w:rPr>
        <w:t>serán procedentes para su trámite por parte del sujeto obligado ante quien se presente</w:t>
      </w:r>
      <w:r>
        <w:rPr>
          <w:rFonts w:ascii="Palatino Linotype" w:eastAsia="Palatino Linotype" w:hAnsi="Palatino Linotype" w:cs="Palatino Linotype"/>
          <w:i/>
        </w:rPr>
        <w:t>. No podrá requer</w:t>
      </w:r>
      <w:r>
        <w:rPr>
          <w:rFonts w:ascii="Palatino Linotype" w:eastAsia="Palatino Linotype" w:hAnsi="Palatino Linotype" w:cs="Palatino Linotype"/>
          <w:i/>
        </w:rPr>
        <w:t>irse información adicional con motivo del nombre proporcionado por el solicitante."</w:t>
      </w:r>
    </w:p>
    <w:p w:rsidR="00F8149C" w:rsidRDefault="006E49A1">
      <w:pPr>
        <w:pBdr>
          <w:top w:val="nil"/>
          <w:left w:val="nil"/>
          <w:bottom w:val="nil"/>
          <w:right w:val="nil"/>
          <w:between w:val="nil"/>
        </w:pBdr>
        <w:spacing w:before="240" w:after="240" w:line="360" w:lineRule="auto"/>
        <w:ind w:right="-147"/>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Finalmente, resulta procedente la interposición del recurso, según lo aducido por el </w:t>
      </w:r>
      <w:r>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xml:space="preserve"> en sus razones o motivos de inconformidad, de acuerdo al artículo 179, fracc</w:t>
      </w:r>
      <w:r>
        <w:rPr>
          <w:rFonts w:ascii="Palatino Linotype" w:eastAsia="Palatino Linotype" w:hAnsi="Palatino Linotype" w:cs="Palatino Linotype"/>
          <w:sz w:val="24"/>
          <w:szCs w:val="24"/>
        </w:rPr>
        <w:t>ión II de la Ley de Transparencia y Acceso a la Información Pública del Estado de México y Municipios; que a la letra dice:</w:t>
      </w:r>
    </w:p>
    <w:p w:rsidR="00F8149C" w:rsidRDefault="006E49A1">
      <w:pPr>
        <w:pBdr>
          <w:top w:val="nil"/>
          <w:left w:val="nil"/>
          <w:bottom w:val="nil"/>
          <w:right w:val="nil"/>
          <w:between w:val="nil"/>
        </w:pBdr>
        <w:spacing w:before="240" w:after="240" w:line="276" w:lineRule="auto"/>
        <w:ind w:left="992" w:right="1043"/>
        <w:jc w:val="both"/>
        <w:rPr>
          <w:rFonts w:ascii="Palatino Linotype" w:eastAsia="Palatino Linotype" w:hAnsi="Palatino Linotype" w:cs="Palatino Linotype"/>
          <w:i/>
        </w:rPr>
      </w:pPr>
      <w:r>
        <w:rPr>
          <w:rFonts w:ascii="Palatino Linotype" w:eastAsia="Palatino Linotype" w:hAnsi="Palatino Linotype" w:cs="Palatino Linotype"/>
          <w:b/>
          <w:i/>
        </w:rPr>
        <w:lastRenderedPageBreak/>
        <w:t>“Artículo 179</w:t>
      </w:r>
      <w:r>
        <w:rPr>
          <w:rFonts w:ascii="Palatino Linotype" w:eastAsia="Palatino Linotype" w:hAnsi="Palatino Linotype" w:cs="Palatino Linotype"/>
          <w:i/>
        </w:rPr>
        <w:t xml:space="preserve">. </w:t>
      </w:r>
      <w:r>
        <w:rPr>
          <w:rFonts w:ascii="Palatino Linotype" w:eastAsia="Palatino Linotype" w:hAnsi="Palatino Linotype" w:cs="Palatino Linotype"/>
          <w:b/>
          <w:i/>
        </w:rPr>
        <w:t>El recurso de revisión</w:t>
      </w:r>
      <w:r>
        <w:rPr>
          <w:rFonts w:ascii="Palatino Linotype" w:eastAsia="Palatino Linotype" w:hAnsi="Palatino Linotype" w:cs="Palatino Linotype"/>
          <w:i/>
        </w:rPr>
        <w:t xml:space="preserve"> es un medio de protección que la Ley otorga a los particulares, para hacer valer su derecho de acceso a la información pública</w:t>
      </w:r>
      <w:r>
        <w:rPr>
          <w:rFonts w:ascii="Palatino Linotype" w:eastAsia="Palatino Linotype" w:hAnsi="Palatino Linotype" w:cs="Palatino Linotype"/>
          <w:b/>
          <w:i/>
        </w:rPr>
        <w:t>, y procederá en contra de las siguientes causas</w:t>
      </w:r>
      <w:r>
        <w:rPr>
          <w:rFonts w:ascii="Palatino Linotype" w:eastAsia="Palatino Linotype" w:hAnsi="Palatino Linotype" w:cs="Palatino Linotype"/>
          <w:i/>
        </w:rPr>
        <w:t>:</w:t>
      </w:r>
    </w:p>
    <w:p w:rsidR="00F8149C" w:rsidRDefault="006E49A1">
      <w:pPr>
        <w:pBdr>
          <w:top w:val="nil"/>
          <w:left w:val="nil"/>
          <w:bottom w:val="nil"/>
          <w:right w:val="nil"/>
          <w:between w:val="nil"/>
        </w:pBdr>
        <w:spacing w:before="240" w:after="240" w:line="276" w:lineRule="auto"/>
        <w:ind w:left="992" w:right="1043"/>
        <w:jc w:val="both"/>
        <w:rPr>
          <w:rFonts w:ascii="Palatino Linotype" w:eastAsia="Palatino Linotype" w:hAnsi="Palatino Linotype" w:cs="Palatino Linotype"/>
          <w:i/>
        </w:rPr>
      </w:pPr>
      <w:r>
        <w:rPr>
          <w:rFonts w:ascii="Palatino Linotype" w:eastAsia="Palatino Linotype" w:hAnsi="Palatino Linotype" w:cs="Palatino Linotype"/>
          <w:i/>
        </w:rPr>
        <w:t>…</w:t>
      </w:r>
    </w:p>
    <w:p w:rsidR="00F8149C" w:rsidRDefault="006E49A1">
      <w:pPr>
        <w:pBdr>
          <w:top w:val="nil"/>
          <w:left w:val="nil"/>
          <w:bottom w:val="nil"/>
          <w:right w:val="nil"/>
          <w:between w:val="nil"/>
        </w:pBdr>
        <w:spacing w:before="240" w:after="240" w:line="276" w:lineRule="auto"/>
        <w:ind w:left="992" w:right="1043"/>
        <w:jc w:val="both"/>
        <w:rPr>
          <w:rFonts w:ascii="Palatino Linotype" w:eastAsia="Palatino Linotype" w:hAnsi="Palatino Linotype" w:cs="Palatino Linotype"/>
          <w:i/>
        </w:rPr>
      </w:pPr>
      <w:r>
        <w:rPr>
          <w:rFonts w:ascii="Palatino Linotype" w:eastAsia="Palatino Linotype" w:hAnsi="Palatino Linotype" w:cs="Palatino Linotype"/>
          <w:i/>
        </w:rPr>
        <w:t>II. La clasificación de la información;” (Sic)</w:t>
      </w:r>
    </w:p>
    <w:p w:rsidR="00F8149C" w:rsidRDefault="006E49A1">
      <w:pPr>
        <w:pBdr>
          <w:top w:val="nil"/>
          <w:left w:val="nil"/>
          <w:bottom w:val="nil"/>
          <w:right w:val="nil"/>
          <w:between w:val="nil"/>
        </w:pBd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TERCERO. ANÁLISIS DE LAS CAUSA</w:t>
      </w:r>
      <w:r>
        <w:rPr>
          <w:rFonts w:ascii="Palatino Linotype" w:eastAsia="Palatino Linotype" w:hAnsi="Palatino Linotype" w:cs="Palatino Linotype"/>
          <w:b/>
          <w:sz w:val="24"/>
          <w:szCs w:val="24"/>
        </w:rPr>
        <w:t xml:space="preserve">LES DE SOBRESEIMIENTO. </w:t>
      </w:r>
      <w:r>
        <w:rPr>
          <w:rFonts w:ascii="Palatino Linotype" w:eastAsia="Palatino Linotype" w:hAnsi="Palatino Linotype" w:cs="Palatino Linotype"/>
          <w:sz w:val="24"/>
          <w:szCs w:val="24"/>
        </w:rPr>
        <w:t xml:space="preserve">De manera preliminar en el caso concreto conviene analizar si se actualiza alguna de las causales de sobreseimiento del recurso de revisión, derivado del contenido de lo entregado por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como parte de sus manifestacio</w:t>
      </w:r>
      <w:r>
        <w:rPr>
          <w:rFonts w:ascii="Palatino Linotype" w:eastAsia="Palatino Linotype" w:hAnsi="Palatino Linotype" w:cs="Palatino Linotype"/>
          <w:sz w:val="24"/>
          <w:szCs w:val="24"/>
        </w:rPr>
        <w:t>nes.</w:t>
      </w:r>
    </w:p>
    <w:p w:rsidR="00F8149C" w:rsidRDefault="006E49A1">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Una vez precisado lo anterior conviene recordar que la parte solicitante requirió del </w:t>
      </w:r>
      <w:r>
        <w:rPr>
          <w:rFonts w:ascii="Palatino Linotype" w:eastAsia="Palatino Linotype" w:hAnsi="Palatino Linotype" w:cs="Palatino Linotype"/>
          <w:b/>
          <w:color w:val="000000"/>
          <w:sz w:val="24"/>
          <w:szCs w:val="24"/>
        </w:rPr>
        <w:t>SUJETO OBLIGADO</w:t>
      </w:r>
      <w:r>
        <w:rPr>
          <w:rFonts w:ascii="Palatino Linotype" w:eastAsia="Palatino Linotype" w:hAnsi="Palatino Linotype" w:cs="Palatino Linotype"/>
          <w:color w:val="000000"/>
          <w:sz w:val="24"/>
          <w:szCs w:val="24"/>
        </w:rPr>
        <w:t xml:space="preserve"> lo siguiente:</w:t>
      </w:r>
    </w:p>
    <w:p w:rsidR="00F8149C" w:rsidRDefault="006E49A1">
      <w:pP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Listado en el que se incluya o indique el nombre completo, cargo y adscripción de todos y cada uno de los servidores públicos municipales, de base y de confianza, del Ayuntamiento de Ixtlahuaca que hayan desempeñado un empleo, cargo o comisión durante l</w:t>
      </w:r>
      <w:r>
        <w:rPr>
          <w:rFonts w:ascii="Palatino Linotype" w:eastAsia="Palatino Linotype" w:hAnsi="Palatino Linotype" w:cs="Palatino Linotype"/>
          <w:color w:val="000000"/>
          <w:sz w:val="24"/>
          <w:szCs w:val="24"/>
        </w:rPr>
        <w:t>a primer quincena del mes de enero del año 2022, así como la correspondiente remuneración bruta y neta.</w:t>
      </w:r>
    </w:p>
    <w:p w:rsidR="00F8149C" w:rsidRDefault="006E49A1">
      <w:pP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sz w:val="24"/>
          <w:szCs w:val="24"/>
        </w:rPr>
        <w:t xml:space="preserve">En respuesta, el </w:t>
      </w:r>
      <w:r>
        <w:rPr>
          <w:rFonts w:ascii="Palatino Linotype" w:eastAsia="Palatino Linotype" w:hAnsi="Palatino Linotype" w:cs="Palatino Linotype"/>
          <w:b/>
          <w:sz w:val="24"/>
          <w:szCs w:val="24"/>
        </w:rPr>
        <w:t xml:space="preserve">SUJETO OBLIGADO, </w:t>
      </w:r>
      <w:r>
        <w:rPr>
          <w:rFonts w:ascii="Palatino Linotype" w:eastAsia="Palatino Linotype" w:hAnsi="Palatino Linotype" w:cs="Palatino Linotype"/>
          <w:sz w:val="24"/>
          <w:szCs w:val="24"/>
        </w:rPr>
        <w:t xml:space="preserve">mediante </w:t>
      </w:r>
      <w:r>
        <w:rPr>
          <w:rFonts w:ascii="Palatino Linotype" w:eastAsia="Palatino Linotype" w:hAnsi="Palatino Linotype" w:cs="Palatino Linotype"/>
          <w:color w:val="000000"/>
          <w:sz w:val="24"/>
          <w:szCs w:val="24"/>
        </w:rPr>
        <w:t>la Dra. Maribel Jaqueline Zúñiga González,  Directora de Administración, envía la nómina en versión pública l</w:t>
      </w:r>
      <w:r>
        <w:rPr>
          <w:rFonts w:ascii="Palatino Linotype" w:eastAsia="Palatino Linotype" w:hAnsi="Palatino Linotype" w:cs="Palatino Linotype"/>
          <w:color w:val="000000"/>
          <w:sz w:val="24"/>
          <w:szCs w:val="24"/>
        </w:rPr>
        <w:t>as remuneraciones de servidores públicos, para tal efecto se adjunta la primera página a efecto de ejemplificar el archivo descrito:</w:t>
      </w:r>
    </w:p>
    <w:p w:rsidR="00F8149C" w:rsidRDefault="006E49A1">
      <w:pPr>
        <w:spacing w:line="360" w:lineRule="auto"/>
        <w:jc w:val="both"/>
        <w:rPr>
          <w:rFonts w:ascii="Palatino Linotype" w:eastAsia="Palatino Linotype" w:hAnsi="Palatino Linotype" w:cs="Palatino Linotype"/>
          <w:color w:val="000000"/>
          <w:sz w:val="24"/>
          <w:szCs w:val="24"/>
        </w:rPr>
      </w:pPr>
      <w:r>
        <w:rPr>
          <w:noProof/>
        </w:rPr>
        <w:lastRenderedPageBreak/>
        <w:drawing>
          <wp:inline distT="0" distB="0" distL="0" distR="0">
            <wp:extent cx="5612224" cy="4082543"/>
            <wp:effectExtent l="0" t="0" r="0" b="0"/>
            <wp:docPr id="4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a:srcRect l="27665" t="12070" r="12932" b="7966"/>
                    <a:stretch>
                      <a:fillRect/>
                    </a:stretch>
                  </pic:blipFill>
                  <pic:spPr>
                    <a:xfrm>
                      <a:off x="0" y="0"/>
                      <a:ext cx="5612224" cy="4082543"/>
                    </a:xfrm>
                    <a:prstGeom prst="rect">
                      <a:avLst/>
                    </a:prstGeom>
                    <a:ln/>
                  </pic:spPr>
                </pic:pic>
              </a:graphicData>
            </a:graphic>
          </wp:inline>
        </w:drawing>
      </w: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Conocida la respuesta, el particular interpone su recurso de revisión en lo medular por la clasificación de la informació</w:t>
      </w:r>
      <w:r>
        <w:rPr>
          <w:rFonts w:ascii="Palatino Linotype" w:eastAsia="Palatino Linotype" w:hAnsi="Palatino Linotype" w:cs="Palatino Linotype"/>
          <w:sz w:val="24"/>
          <w:szCs w:val="24"/>
        </w:rPr>
        <w:t xml:space="preserve">n, por lo cual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rindió su informe justificado del cual se desprende el siguiente archivo electrónico:</w:t>
      </w:r>
    </w:p>
    <w:p w:rsidR="00F8149C" w:rsidRDefault="006E49A1">
      <w:pP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000000"/>
          <w:sz w:val="24"/>
          <w:szCs w:val="24"/>
          <w:u w:val="single"/>
        </w:rPr>
        <w:t xml:space="preserve">INFORME JUSTIFICADO RR SOL 37.pdf: </w:t>
      </w:r>
      <w:r>
        <w:rPr>
          <w:rFonts w:ascii="Palatino Linotype" w:eastAsia="Palatino Linotype" w:hAnsi="Palatino Linotype" w:cs="Palatino Linotype"/>
          <w:color w:val="000000"/>
          <w:sz w:val="24"/>
          <w:szCs w:val="24"/>
        </w:rPr>
        <w:t>Oficio de fecha nueve de marzo de dos mil veintidós, signado por la P. en Crim. Ana Karen Martínez Ma</w:t>
      </w:r>
      <w:r>
        <w:rPr>
          <w:rFonts w:ascii="Palatino Linotype" w:eastAsia="Palatino Linotype" w:hAnsi="Palatino Linotype" w:cs="Palatino Linotype"/>
          <w:color w:val="000000"/>
          <w:sz w:val="24"/>
          <w:szCs w:val="24"/>
        </w:rPr>
        <w:t>teos, Titular de la Unidad de Transparencia y Acceso a la Información Pública, mediante el cual describe el contenido que integra el expediente electrónico que forma parte del presente Recurso de Revisión, asi mismo menciona que remite la información envia</w:t>
      </w:r>
      <w:r>
        <w:rPr>
          <w:rFonts w:ascii="Palatino Linotype" w:eastAsia="Palatino Linotype" w:hAnsi="Palatino Linotype" w:cs="Palatino Linotype"/>
          <w:color w:val="000000"/>
          <w:sz w:val="24"/>
          <w:szCs w:val="24"/>
        </w:rPr>
        <w:t xml:space="preserve">da por la Dirección de Administración, el cual consiste en un listado de las </w:t>
      </w:r>
      <w:r>
        <w:rPr>
          <w:rFonts w:ascii="Palatino Linotype" w:eastAsia="Palatino Linotype" w:hAnsi="Palatino Linotype" w:cs="Palatino Linotype"/>
          <w:color w:val="000000"/>
          <w:sz w:val="24"/>
          <w:szCs w:val="24"/>
        </w:rPr>
        <w:lastRenderedPageBreak/>
        <w:t xml:space="preserve">remuneraciones de los servidores públicos en Versión Pública, para tal efecto también se adjuntó el acta de la segunda sesión extraordinaria del comité de transparencia 2022, con </w:t>
      </w:r>
      <w:r>
        <w:rPr>
          <w:rFonts w:ascii="Palatino Linotype" w:eastAsia="Palatino Linotype" w:hAnsi="Palatino Linotype" w:cs="Palatino Linotype"/>
          <w:color w:val="000000"/>
          <w:sz w:val="24"/>
          <w:szCs w:val="24"/>
        </w:rPr>
        <w:t>motivo de clasificar información en carácter de reservada, como se observa a continuación:</w:t>
      </w:r>
    </w:p>
    <w:p w:rsidR="00F8149C" w:rsidRDefault="006E49A1">
      <w:pPr>
        <w:spacing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 </w:t>
      </w:r>
      <w:r>
        <w:rPr>
          <w:noProof/>
        </w:rPr>
        <w:drawing>
          <wp:inline distT="0" distB="0" distL="0" distR="0">
            <wp:extent cx="4324530" cy="5824385"/>
            <wp:effectExtent l="0" t="0" r="0" b="0"/>
            <wp:docPr id="4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2529" t="19320" r="26850" b="7361"/>
                    <a:stretch>
                      <a:fillRect/>
                    </a:stretch>
                  </pic:blipFill>
                  <pic:spPr>
                    <a:xfrm rot="16200000">
                      <a:off x="0" y="0"/>
                      <a:ext cx="4324530" cy="5824385"/>
                    </a:xfrm>
                    <a:prstGeom prst="rect">
                      <a:avLst/>
                    </a:prstGeom>
                    <a:ln/>
                  </pic:spPr>
                </pic:pic>
              </a:graphicData>
            </a:graphic>
          </wp:inline>
        </w:drawing>
      </w:r>
    </w:p>
    <w:p w:rsidR="00F8149C" w:rsidRDefault="006E49A1">
      <w:pPr>
        <w:spacing w:line="360" w:lineRule="auto"/>
        <w:jc w:val="both"/>
        <w:rPr>
          <w:rFonts w:ascii="Palatino Linotype" w:eastAsia="Palatino Linotype" w:hAnsi="Palatino Linotype" w:cs="Palatino Linotype"/>
          <w:color w:val="000000"/>
          <w:sz w:val="24"/>
          <w:szCs w:val="24"/>
        </w:rPr>
      </w:pPr>
      <w:r>
        <w:rPr>
          <w:noProof/>
        </w:rPr>
        <w:lastRenderedPageBreak/>
        <w:drawing>
          <wp:inline distT="0" distB="0" distL="0" distR="0">
            <wp:extent cx="5596938" cy="7249367"/>
            <wp:effectExtent l="0" t="0" r="0" b="0"/>
            <wp:docPr id="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l="39206" t="13881" r="25153" b="4043"/>
                    <a:stretch>
                      <a:fillRect/>
                    </a:stretch>
                  </pic:blipFill>
                  <pic:spPr>
                    <a:xfrm>
                      <a:off x="0" y="0"/>
                      <a:ext cx="5596938" cy="7249367"/>
                    </a:xfrm>
                    <a:prstGeom prst="rect">
                      <a:avLst/>
                    </a:prstGeom>
                    <a:ln/>
                  </pic:spPr>
                </pic:pic>
              </a:graphicData>
            </a:graphic>
          </wp:inline>
        </w:drawing>
      </w: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En ese sentido, en el presente caso, se considera que el nombre del personal operativo de la Dirección de Seguridad Pública, corresponde, en su caso, a informac</w:t>
      </w:r>
      <w:r>
        <w:rPr>
          <w:rFonts w:ascii="Palatino Linotype" w:eastAsia="Palatino Linotype" w:hAnsi="Palatino Linotype" w:cs="Palatino Linotype"/>
          <w:sz w:val="24"/>
          <w:szCs w:val="24"/>
        </w:rPr>
        <w:t>ión que podría actualizar una causal de reserva; prevista en el artículo 140, fracción I, de la Ley de Transparencia y Acceso a la Información Pública del Estado de México y Municipios, (homólogo a parte del artículo 113, fracción I de la Ley General de Tr</w:t>
      </w:r>
      <w:r>
        <w:rPr>
          <w:rFonts w:ascii="Palatino Linotype" w:eastAsia="Palatino Linotype" w:hAnsi="Palatino Linotype" w:cs="Palatino Linotype"/>
          <w:sz w:val="24"/>
          <w:szCs w:val="24"/>
        </w:rPr>
        <w:t>ansparencia y Acceso a la Información Pública), prevé lo siguiente:</w:t>
      </w: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Artículo 140.</w:t>
      </w:r>
      <w:r>
        <w:rPr>
          <w:rFonts w:ascii="Palatino Linotype" w:eastAsia="Palatino Linotype" w:hAnsi="Palatino Linotype" w:cs="Palatino Linotype"/>
          <w:i/>
        </w:rPr>
        <w:t xml:space="preserve"> El acceso a la información pública será restringido excepcionalmente, cuando por razones de interés público, ésta sea clasificada como reservada, conforme a los criterios siguientes: </w:t>
      </w: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 xml:space="preserve">I. Comprometa la seguridad pública y cuente con un propósito genuino y </w:t>
      </w:r>
      <w:r>
        <w:rPr>
          <w:rFonts w:ascii="Palatino Linotype" w:eastAsia="Palatino Linotype" w:hAnsi="Palatino Linotype" w:cs="Palatino Linotype"/>
          <w:i/>
        </w:rPr>
        <w:t>un efecto demostrable;…” (Sic)</w:t>
      </w:r>
    </w:p>
    <w:p w:rsidR="00F8149C" w:rsidRDefault="00F8149C">
      <w:pPr>
        <w:spacing w:line="360" w:lineRule="auto"/>
        <w:jc w:val="both"/>
        <w:rPr>
          <w:rFonts w:ascii="Palatino Linotype" w:eastAsia="Palatino Linotype" w:hAnsi="Palatino Linotype" w:cs="Palatino Linotype"/>
        </w:rPr>
      </w:pP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Del precepto legal citado se desprende que como información reservada podrá clasificarse aquella cuya publicación pueda poner en riesgo la seguridad pública.</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En concatenación con lo anterior, los Lineamientos Generales en Materia de Clasificación y Desclasificación de la Información, así como para la Elaboración de Versiones Públicas -Lineamientos Generales-, establecen lo siguiente:</w:t>
      </w:r>
    </w:p>
    <w:p w:rsidR="00F8149C" w:rsidRDefault="00F8149C">
      <w:pPr>
        <w:spacing w:line="360" w:lineRule="auto"/>
        <w:jc w:val="both"/>
        <w:rPr>
          <w:rFonts w:ascii="Palatino Linotype" w:eastAsia="Palatino Linotype" w:hAnsi="Palatino Linotype" w:cs="Palatino Linotype"/>
        </w:rPr>
      </w:pP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Décimo séptimo</w:t>
      </w:r>
      <w:r>
        <w:rPr>
          <w:rFonts w:ascii="Palatino Linotype" w:eastAsia="Palatino Linotype" w:hAnsi="Palatino Linotype" w:cs="Palatino Linotype"/>
          <w:i/>
        </w:rPr>
        <w:t xml:space="preserve">. </w:t>
      </w:r>
      <w:r>
        <w:rPr>
          <w:rFonts w:ascii="Palatino Linotype" w:eastAsia="Palatino Linotype" w:hAnsi="Palatino Linotype" w:cs="Palatino Linotype"/>
          <w:b/>
          <w:i/>
        </w:rPr>
        <w:t>De confor</w:t>
      </w:r>
      <w:r>
        <w:rPr>
          <w:rFonts w:ascii="Palatino Linotype" w:eastAsia="Palatino Linotype" w:hAnsi="Palatino Linotype" w:cs="Palatino Linotype"/>
          <w:b/>
          <w:i/>
        </w:rPr>
        <w:t>midad con el artículo 113, fracción I de la Ley General, podrá considerarse como información reservada, aquella que de difundirse actualice o potencialice un riesgo o amenaza a la seguridad nacional cuando</w:t>
      </w:r>
      <w:r>
        <w:rPr>
          <w:rFonts w:ascii="Palatino Linotype" w:eastAsia="Palatino Linotype" w:hAnsi="Palatino Linotype" w:cs="Palatino Linotype"/>
          <w:i/>
        </w:rPr>
        <w:t xml:space="preserve">: </w:t>
      </w: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p>
    <w:p w:rsidR="00F8149C" w:rsidRDefault="006E49A1">
      <w:pPr>
        <w:tabs>
          <w:tab w:val="left" w:pos="4962"/>
        </w:tabs>
        <w:spacing w:after="0"/>
        <w:ind w:left="567" w:right="567"/>
        <w:jc w:val="both"/>
        <w:rPr>
          <w:rFonts w:ascii="Palatino Linotype" w:eastAsia="Palatino Linotype" w:hAnsi="Palatino Linotype" w:cs="Palatino Linotype"/>
          <w:b/>
          <w:i/>
        </w:rPr>
      </w:pPr>
      <w:r>
        <w:rPr>
          <w:rFonts w:ascii="Palatino Linotype" w:eastAsia="Palatino Linotype" w:hAnsi="Palatino Linotype" w:cs="Palatino Linotype"/>
          <w:b/>
          <w:i/>
        </w:rPr>
        <w:t>VII. Se puedan menoscabar, obstaculizar o difi</w:t>
      </w:r>
      <w:r>
        <w:rPr>
          <w:rFonts w:ascii="Palatino Linotype" w:eastAsia="Palatino Linotype" w:hAnsi="Palatino Linotype" w:cs="Palatino Linotype"/>
          <w:b/>
          <w:i/>
        </w:rPr>
        <w:t>cultar las estrategias o acciones para combatir la delincuencia organizada, la comisión de los delitos contra la seguridad de la nación, entendiéndose estos últimos como traición a la patria, espionaje, sedición, motín, rebelión, terrorismo, sabotaje, cons</w:t>
      </w:r>
      <w:r>
        <w:rPr>
          <w:rFonts w:ascii="Palatino Linotype" w:eastAsia="Palatino Linotype" w:hAnsi="Palatino Linotype" w:cs="Palatino Linotype"/>
          <w:b/>
          <w:i/>
        </w:rPr>
        <w:t xml:space="preserve">piración, el </w:t>
      </w:r>
      <w:r>
        <w:rPr>
          <w:rFonts w:ascii="Palatino Linotype" w:eastAsia="Palatino Linotype" w:hAnsi="Palatino Linotype" w:cs="Palatino Linotype"/>
          <w:b/>
          <w:i/>
        </w:rPr>
        <w:lastRenderedPageBreak/>
        <w:t>tráfico ilegal de materiales nucleares, de armas químicas, biológicas y convencionales de destrucción masiva;</w:t>
      </w: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 xml:space="preserve">Asimismo, </w:t>
      </w:r>
      <w:r>
        <w:rPr>
          <w:rFonts w:ascii="Palatino Linotype" w:eastAsia="Palatino Linotype" w:hAnsi="Palatino Linotype" w:cs="Palatino Linotype"/>
          <w:b/>
          <w:i/>
        </w:rPr>
        <w:t>podrá considerarse como reservada aquella que revele datos que pudieran ser aprovechados para conocer la capacidad de rea</w:t>
      </w:r>
      <w:r>
        <w:rPr>
          <w:rFonts w:ascii="Palatino Linotype" w:eastAsia="Palatino Linotype" w:hAnsi="Palatino Linotype" w:cs="Palatino Linotype"/>
          <w:b/>
          <w:i/>
        </w:rPr>
        <w:t>cción de las instituciones encargadas de la seguridad nacional</w:t>
      </w:r>
      <w:r>
        <w:rPr>
          <w:rFonts w:ascii="Palatino Linotype" w:eastAsia="Palatino Linotype" w:hAnsi="Palatino Linotype" w:cs="Palatino Linotype"/>
          <w:i/>
        </w:rPr>
        <w:t xml:space="preserve">; sus normas, procedimientos, métodos, fuentes, especificaciones técnicas, tecnología o equipo útiles a la generación de inteligencia para la Seguridad Nacional, sin importar la naturaleza o el </w:t>
      </w:r>
      <w:r>
        <w:rPr>
          <w:rFonts w:ascii="Palatino Linotype" w:eastAsia="Palatino Linotype" w:hAnsi="Palatino Linotype" w:cs="Palatino Linotype"/>
          <w:i/>
        </w:rPr>
        <w:t xml:space="preserve">origen de los documentos que la consignen. </w:t>
      </w: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Décimo octavo</w:t>
      </w:r>
      <w:r>
        <w:rPr>
          <w:rFonts w:ascii="Palatino Linotype" w:eastAsia="Palatino Linotype" w:hAnsi="Palatino Linotype" w:cs="Palatino Linotype"/>
          <w:i/>
        </w:rPr>
        <w:t xml:space="preserve">. De conformidad con el artículo 113, fracción I de la Ley General, </w:t>
      </w:r>
      <w:r>
        <w:rPr>
          <w:rFonts w:ascii="Palatino Linotype" w:eastAsia="Palatino Linotype" w:hAnsi="Palatino Linotype" w:cs="Palatino Linotype"/>
          <w:b/>
          <w:i/>
        </w:rPr>
        <w:t>podrá considerarse como información reservada, aquella que comprometa la seguridad pública, al poner en peligro las funciones a car</w:t>
      </w:r>
      <w:r>
        <w:rPr>
          <w:rFonts w:ascii="Palatino Linotype" w:eastAsia="Palatino Linotype" w:hAnsi="Palatino Linotype" w:cs="Palatino Linotype"/>
          <w:b/>
          <w:i/>
        </w:rPr>
        <w:t>go de la</w:t>
      </w:r>
      <w:r>
        <w:rPr>
          <w:rFonts w:ascii="Palatino Linotype" w:eastAsia="Palatino Linotype" w:hAnsi="Palatino Linotype" w:cs="Palatino Linotype"/>
          <w:i/>
        </w:rPr>
        <w:t xml:space="preserve"> Federación, la Ciudad de México, los Estados y </w:t>
      </w:r>
      <w:r>
        <w:rPr>
          <w:rFonts w:ascii="Palatino Linotype" w:eastAsia="Palatino Linotype" w:hAnsi="Palatino Linotype" w:cs="Palatino Linotype"/>
          <w:b/>
          <w:i/>
        </w:rPr>
        <w:t>los Municipios</w:t>
      </w:r>
      <w:r>
        <w:rPr>
          <w:rFonts w:ascii="Palatino Linotype" w:eastAsia="Palatino Linotype" w:hAnsi="Palatino Linotype" w:cs="Palatino Linotype"/>
          <w:i/>
        </w:rPr>
        <w:t>, tendientes a preservar y resguardar la vida, la salud, la integridad y el ejercicio de los derechos de las personas, así como para el mantenimiento del orden público. Se pone en peligr</w:t>
      </w:r>
      <w:r>
        <w:rPr>
          <w:rFonts w:ascii="Palatino Linotype" w:eastAsia="Palatino Linotype" w:hAnsi="Palatino Linotype" w:cs="Palatino Linotype"/>
          <w:i/>
        </w:rPr>
        <w:t>o el orden público cuando la difusión de la información pueda entorpecer los sistemas de coordinación interinstitucional en materia de seguridad pública, menoscabar o dificultar las estrategias contra la evasión de reos; o menoscabar o limitar la capacidad</w:t>
      </w:r>
      <w:r>
        <w:rPr>
          <w:rFonts w:ascii="Palatino Linotype" w:eastAsia="Palatino Linotype" w:hAnsi="Palatino Linotype" w:cs="Palatino Linotype"/>
          <w:i/>
        </w:rPr>
        <w:t xml:space="preserve"> de las autoridades encaminadas a disuadir o prevenir disturbios sociales. </w:t>
      </w:r>
    </w:p>
    <w:p w:rsidR="00F8149C" w:rsidRDefault="006E49A1">
      <w:pPr>
        <w:tabs>
          <w:tab w:val="left" w:pos="4962"/>
        </w:tabs>
        <w:spacing w:after="0"/>
        <w:ind w:left="567" w:right="567"/>
        <w:jc w:val="both"/>
        <w:rPr>
          <w:rFonts w:ascii="Palatino Linotype" w:eastAsia="Palatino Linotype" w:hAnsi="Palatino Linotype" w:cs="Palatino Linotype"/>
          <w:b/>
          <w:i/>
        </w:rPr>
      </w:pPr>
      <w:r>
        <w:rPr>
          <w:rFonts w:ascii="Palatino Linotype" w:eastAsia="Palatino Linotype" w:hAnsi="Palatino Linotype" w:cs="Palatino Linotype"/>
          <w:i/>
        </w:rPr>
        <w:t xml:space="preserve">Asimismo, </w:t>
      </w:r>
      <w:r>
        <w:rPr>
          <w:rFonts w:ascii="Palatino Linotype" w:eastAsia="Palatino Linotype" w:hAnsi="Palatino Linotype" w:cs="Palatino Linotype"/>
          <w:b/>
          <w:i/>
        </w:rPr>
        <w:t>podrá considerarse como reservada aquella que revele datos que pudieran ser aprovechados para conocer la capacidad de reacción de las instituciones encargadas de la segur</w:t>
      </w:r>
      <w:r>
        <w:rPr>
          <w:rFonts w:ascii="Palatino Linotype" w:eastAsia="Palatino Linotype" w:hAnsi="Palatino Linotype" w:cs="Palatino Linotype"/>
          <w:b/>
          <w:i/>
        </w:rPr>
        <w:t xml:space="preserve">idad pública, sus planes, estrategias, tecnología, información, sistemas de comunicaciones. </w:t>
      </w:r>
    </w:p>
    <w:p w:rsidR="00F8149C" w:rsidRDefault="006E49A1">
      <w:pPr>
        <w:tabs>
          <w:tab w:val="left" w:pos="4962"/>
        </w:tabs>
        <w:spacing w:after="0"/>
        <w:ind w:left="567" w:right="567"/>
        <w:jc w:val="both"/>
        <w:rPr>
          <w:rFonts w:ascii="Palatino Linotype" w:eastAsia="Palatino Linotype" w:hAnsi="Palatino Linotype" w:cs="Palatino Linotype"/>
          <w:b/>
          <w:i/>
        </w:rPr>
      </w:pPr>
      <w:r>
        <w:rPr>
          <w:rFonts w:ascii="Palatino Linotype" w:eastAsia="Palatino Linotype" w:hAnsi="Palatino Linotype" w:cs="Palatino Linotype"/>
          <w:b/>
          <w:i/>
        </w:rPr>
        <w:t xml:space="preserve">Décimo noveno. De conformidad con el artículo 113, fracción I de la Ley General, podrá considerarse como información reservada que compromete la defensa nacional, </w:t>
      </w:r>
      <w:r>
        <w:rPr>
          <w:rFonts w:ascii="Palatino Linotype" w:eastAsia="Palatino Linotype" w:hAnsi="Palatino Linotype" w:cs="Palatino Linotype"/>
          <w:b/>
          <w:i/>
        </w:rPr>
        <w:t>aquella que difunda, actualice o potencialice un riesgo o amenaza que ponga en peligro las misiones generales</w:t>
      </w:r>
      <w:r>
        <w:rPr>
          <w:rFonts w:ascii="Palatino Linotype" w:eastAsia="Palatino Linotype" w:hAnsi="Palatino Linotype" w:cs="Palatino Linotype"/>
          <w:i/>
        </w:rPr>
        <w:t xml:space="preserve"> del Ejército, Fuerza Aérea Mexicana o Armada de México, relacionadas con la defensa del Estado mexicano, para salvaguardar la soberanía y defender</w:t>
      </w:r>
      <w:r>
        <w:rPr>
          <w:rFonts w:ascii="Palatino Linotype" w:eastAsia="Palatino Linotype" w:hAnsi="Palatino Linotype" w:cs="Palatino Linotype"/>
          <w:i/>
        </w:rPr>
        <w:t xml:space="preserve"> la integridad, y permanencia del territorio nacional. Asimismo, </w:t>
      </w:r>
      <w:r>
        <w:rPr>
          <w:rFonts w:ascii="Palatino Linotype" w:eastAsia="Palatino Linotype" w:hAnsi="Palatino Linotype" w:cs="Palatino Linotype"/>
          <w:b/>
          <w:i/>
        </w:rPr>
        <w:t>podrá considerarse como reservada aquella que revele datos que pudieran ser aprovechados para conocer la capacidad de reacción del Estado, sus planes, o uso de tecnología, información y produ</w:t>
      </w:r>
      <w:r>
        <w:rPr>
          <w:rFonts w:ascii="Palatino Linotype" w:eastAsia="Palatino Linotype" w:hAnsi="Palatino Linotype" w:cs="Palatino Linotype"/>
          <w:b/>
          <w:i/>
        </w:rPr>
        <w:t>cción de los sistemas de armamento y otros sistemas militares incluidos los sistemas de comunicaciones.” (Sic)</w:t>
      </w:r>
    </w:p>
    <w:p w:rsidR="00F8149C" w:rsidRDefault="00F8149C">
      <w:pPr>
        <w:spacing w:line="360" w:lineRule="auto"/>
        <w:jc w:val="both"/>
        <w:rPr>
          <w:rFonts w:ascii="Palatino Linotype" w:eastAsia="Palatino Linotype" w:hAnsi="Palatino Linotype" w:cs="Palatino Linotype"/>
        </w:rPr>
      </w:pP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Del Lineamiento referido, se desprende que para clasificar la información como reservada, será aquella que revele datos que pudieran ser aprovec</w:t>
      </w:r>
      <w:r>
        <w:rPr>
          <w:rFonts w:ascii="Palatino Linotype" w:eastAsia="Palatino Linotype" w:hAnsi="Palatino Linotype" w:cs="Palatino Linotype"/>
          <w:sz w:val="24"/>
          <w:szCs w:val="24"/>
        </w:rPr>
        <w:t>hados para conocer la capacidad de reacción de las instituciones encargadas de la seguridad pública y que pongan en peligro la seguridad pública y funciones de los Municipios, tendientes a preservar y resguardar la vida e integridad física de los gobernado</w:t>
      </w:r>
      <w:r>
        <w:rPr>
          <w:rFonts w:ascii="Palatino Linotype" w:eastAsia="Palatino Linotype" w:hAnsi="Palatino Linotype" w:cs="Palatino Linotype"/>
          <w:sz w:val="24"/>
          <w:szCs w:val="24"/>
        </w:rPr>
        <w:t>s.</w:t>
      </w: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Además, el artículo 81, fracción II, de la Ley de Seguridad del Estado de México, establece lo siguiente:</w:t>
      </w: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“Artículo 81.- Toda información para la seguridad pública generada o en poder de Instituciones de Seguridad Pública o de cualquier instancia del Si</w:t>
      </w:r>
      <w:r>
        <w:rPr>
          <w:rFonts w:ascii="Palatino Linotype" w:eastAsia="Palatino Linotype" w:hAnsi="Palatino Linotype" w:cs="Palatino Linotype"/>
          <w:i/>
        </w:rPr>
        <w:t xml:space="preserve">stema Estatal debe registrarse, clasificarse y tratarse de conformidad con las disposiciones aplicables. No obstante lo anterior, esta información se considerará reservada en los casos siguientes: </w:t>
      </w: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p>
    <w:p w:rsidR="00F8149C" w:rsidRDefault="006E49A1">
      <w:pPr>
        <w:tabs>
          <w:tab w:val="left" w:pos="4962"/>
        </w:tabs>
        <w:spacing w:after="0"/>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II. Aquella cuya revelación pueda ser utilizada para act</w:t>
      </w:r>
      <w:r>
        <w:rPr>
          <w:rFonts w:ascii="Palatino Linotype" w:eastAsia="Palatino Linotype" w:hAnsi="Palatino Linotype" w:cs="Palatino Linotype"/>
          <w:i/>
        </w:rPr>
        <w:t>ualizar o potenciar una amenaza a la seguridad pública o a las instituciones del Estado de México…” (Sic)</w:t>
      </w:r>
    </w:p>
    <w:p w:rsidR="00F8149C" w:rsidRDefault="00F8149C">
      <w:pPr>
        <w:spacing w:line="360" w:lineRule="auto"/>
        <w:jc w:val="both"/>
        <w:rPr>
          <w:rFonts w:ascii="Palatino Linotype" w:eastAsia="Palatino Linotype" w:hAnsi="Palatino Linotype" w:cs="Palatino Linotype"/>
        </w:rPr>
      </w:pPr>
    </w:p>
    <w:p w:rsidR="00F8149C" w:rsidRDefault="006E49A1">
      <w:pPr>
        <w:spacing w:line="360" w:lineRule="auto"/>
        <w:jc w:val="both"/>
        <w:rPr>
          <w:rFonts w:ascii="Palatino Linotype" w:eastAsia="Palatino Linotype" w:hAnsi="Palatino Linotype" w:cs="Palatino Linotype"/>
          <w:b/>
          <w:sz w:val="24"/>
          <w:szCs w:val="24"/>
        </w:rPr>
      </w:pPr>
      <w:r>
        <w:rPr>
          <w:rFonts w:ascii="Palatino Linotype" w:eastAsia="Palatino Linotype" w:hAnsi="Palatino Linotype" w:cs="Palatino Linotype"/>
          <w:sz w:val="24"/>
          <w:szCs w:val="24"/>
        </w:rPr>
        <w:t>Así, se desprende que es reservada toda aquella información que revele el estado de fuerza, y que puede ser utilizada para poner en riesgo la segurid</w:t>
      </w:r>
      <w:r>
        <w:rPr>
          <w:rFonts w:ascii="Palatino Linotype" w:eastAsia="Palatino Linotype" w:hAnsi="Palatino Linotype" w:cs="Palatino Linotype"/>
          <w:sz w:val="24"/>
          <w:szCs w:val="24"/>
        </w:rPr>
        <w:t xml:space="preserve">ad pública del Municipio. </w:t>
      </w: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Establecido lo anterior, una vez analizado el acuerdo de reserva remitido por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mediante informe justificado, se advierte que el mismo cumple con los requisitos establecidos por la Ley de Transparencia y Acceso a la Información Pública del Estado de México y Municipios, para la reserva de la información, ya que en la misma Ley en cit</w:t>
      </w:r>
      <w:r>
        <w:rPr>
          <w:rFonts w:ascii="Palatino Linotype" w:eastAsia="Palatino Linotype" w:hAnsi="Palatino Linotype" w:cs="Palatino Linotype"/>
          <w:sz w:val="24"/>
          <w:szCs w:val="24"/>
        </w:rPr>
        <w:t xml:space="preserve">a, define como información de interés público, a aquella que resulta relevante o beneficiosa para la sociedad y no simplemente de interés individual, cuya divulgación resulta útil para que el público </w:t>
      </w:r>
      <w:r>
        <w:rPr>
          <w:rFonts w:ascii="Palatino Linotype" w:eastAsia="Palatino Linotype" w:hAnsi="Palatino Linotype" w:cs="Palatino Linotype"/>
          <w:sz w:val="24"/>
          <w:szCs w:val="24"/>
        </w:rPr>
        <w:lastRenderedPageBreak/>
        <w:t xml:space="preserve">comprenda las actividades que llevan a cabo los sujetos </w:t>
      </w:r>
      <w:r>
        <w:rPr>
          <w:rFonts w:ascii="Palatino Linotype" w:eastAsia="Palatino Linotype" w:hAnsi="Palatino Linotype" w:cs="Palatino Linotype"/>
          <w:sz w:val="24"/>
          <w:szCs w:val="24"/>
        </w:rPr>
        <w:t xml:space="preserve">obligados, definiendo también como </w:t>
      </w:r>
      <w:r>
        <w:rPr>
          <w:rFonts w:ascii="Palatino Linotype" w:eastAsia="Palatino Linotype" w:hAnsi="Palatino Linotype" w:cs="Palatino Linotype"/>
          <w:b/>
          <w:sz w:val="24"/>
          <w:szCs w:val="24"/>
        </w:rPr>
        <w:t>información reservada a la información pública clasificada con este carácter de manera temporal por las disposiciones de la Ley de la Materia, cuya divulgación puede causar daños a la seguridad pública</w:t>
      </w:r>
      <w:r>
        <w:rPr>
          <w:rFonts w:ascii="Palatino Linotype" w:eastAsia="Palatino Linotype" w:hAnsi="Palatino Linotype" w:cs="Palatino Linotype"/>
          <w:sz w:val="24"/>
          <w:szCs w:val="24"/>
        </w:rPr>
        <w:t>, y como información</w:t>
      </w:r>
      <w:r>
        <w:rPr>
          <w:rFonts w:ascii="Palatino Linotype" w:eastAsia="Palatino Linotype" w:hAnsi="Palatino Linotype" w:cs="Palatino Linotype"/>
          <w:sz w:val="24"/>
          <w:szCs w:val="24"/>
        </w:rPr>
        <w:t xml:space="preserve"> confidencial, los secretos bancario, fiduciario, industrial, comercial, fiscal, bursátil y postal, cuya titularidad corresponda a particulares, sujetos de derecho internacional o sujetos obligados cuando no involucren el ejercicio de recursos públicos.</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La</w:t>
      </w:r>
      <w:r>
        <w:rPr>
          <w:rFonts w:ascii="Palatino Linotype" w:eastAsia="Palatino Linotype" w:hAnsi="Palatino Linotype" w:cs="Palatino Linotype"/>
          <w:sz w:val="24"/>
          <w:szCs w:val="24"/>
        </w:rPr>
        <w:t xml:space="preserve"> misma norma referida, considera en su artículo 140 que el acceso a la información pública será restringido excepcionalmente por razones de interés público, cuando esta sea clasificada </w:t>
      </w:r>
      <w:r>
        <w:rPr>
          <w:rFonts w:ascii="Palatino Linotype" w:eastAsia="Palatino Linotype" w:hAnsi="Palatino Linotype" w:cs="Palatino Linotype"/>
          <w:b/>
          <w:sz w:val="24"/>
          <w:szCs w:val="24"/>
        </w:rPr>
        <w:t>como reservada porque se comprometa la seguridad pública</w:t>
      </w:r>
      <w:r>
        <w:rPr>
          <w:rFonts w:ascii="Palatino Linotype" w:eastAsia="Palatino Linotype" w:hAnsi="Palatino Linotype" w:cs="Palatino Linotype"/>
          <w:sz w:val="24"/>
          <w:szCs w:val="24"/>
        </w:rPr>
        <w:t>, así como aque</w:t>
      </w:r>
      <w:r>
        <w:rPr>
          <w:rFonts w:ascii="Palatino Linotype" w:eastAsia="Palatino Linotype" w:hAnsi="Palatino Linotype" w:cs="Palatino Linotype"/>
          <w:sz w:val="24"/>
          <w:szCs w:val="24"/>
        </w:rPr>
        <w:t>lla que pueda causar daño u obstruya la prevención o persecución de los delitos, la impartición de justicia, se ponga en riesgo la vida o la seguridad de una persona, entre otras.</w:t>
      </w:r>
    </w:p>
    <w:p w:rsidR="00F8149C" w:rsidRDefault="006E49A1">
      <w:pPr>
        <w:spacing w:before="240"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En relación con las implicaciones anteriores, cabe considerar que la </w:t>
      </w:r>
      <w:r>
        <w:rPr>
          <w:rFonts w:ascii="Palatino Linotype" w:eastAsia="Palatino Linotype" w:hAnsi="Palatino Linotype" w:cs="Palatino Linotype"/>
          <w:i/>
          <w:sz w:val="24"/>
          <w:szCs w:val="24"/>
        </w:rPr>
        <w:t>clasificación</w:t>
      </w:r>
      <w:r>
        <w:rPr>
          <w:rFonts w:ascii="Palatino Linotype" w:eastAsia="Palatino Linotype" w:hAnsi="Palatino Linotype" w:cs="Palatino Linotype"/>
          <w:sz w:val="24"/>
          <w:szCs w:val="24"/>
        </w:rPr>
        <w:t xml:space="preserve"> es el proceso mediante el cual los sujetos obligados determinan si respecto de la información que obra en su poder se actualiza alguno de los supuestos de reserva o confidencialidad, y para ello, los titulares de las áreas son los responsable</w:t>
      </w:r>
      <w:r>
        <w:rPr>
          <w:rFonts w:ascii="Palatino Linotype" w:eastAsia="Palatino Linotype" w:hAnsi="Palatino Linotype" w:cs="Palatino Linotype"/>
          <w:sz w:val="24"/>
          <w:szCs w:val="24"/>
        </w:rPr>
        <w:t>s de clasificar la información mediante el Comité de Transparencia por ser la autoridad máxima al interior de los sujetos obligados, siendo éste un Organismo Colegiado que se integra para resolver sobre la información que debe clasificarse, así como para a</w:t>
      </w:r>
      <w:r>
        <w:rPr>
          <w:rFonts w:ascii="Palatino Linotype" w:eastAsia="Palatino Linotype" w:hAnsi="Palatino Linotype" w:cs="Palatino Linotype"/>
          <w:sz w:val="24"/>
          <w:szCs w:val="24"/>
        </w:rPr>
        <w:t>tender y resolver los requerimientos de las Unidades de Transparencia y del Instituto.</w:t>
      </w:r>
    </w:p>
    <w:p w:rsidR="00F8149C" w:rsidRDefault="006E49A1">
      <w:pPr>
        <w:spacing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Asimismo, la Ley de la Materia establece que la clasificación de la información como reservada permanecerá con tal carácter hasta por un periodo de cinco años contados a</w:t>
      </w:r>
      <w:r>
        <w:rPr>
          <w:rFonts w:ascii="Palatino Linotype" w:eastAsia="Palatino Linotype" w:hAnsi="Palatino Linotype" w:cs="Palatino Linotype"/>
          <w:sz w:val="24"/>
          <w:szCs w:val="24"/>
        </w:rPr>
        <w:t xml:space="preserve"> partir de su clasificación, salvo que antes de su cumplimiento dejaran de existir los motivos de su reserva, pero excepcionalmente y con aprobación del Comité de Transparencia los sujetos obligados podrán ampliar el periodo de reserva hasta por un periodo</w:t>
      </w:r>
      <w:r>
        <w:rPr>
          <w:rFonts w:ascii="Palatino Linotype" w:eastAsia="Palatino Linotype" w:hAnsi="Palatino Linotype" w:cs="Palatino Linotype"/>
          <w:sz w:val="24"/>
          <w:szCs w:val="24"/>
        </w:rPr>
        <w:t xml:space="preserve"> de cinco años adicionales y por una sola vez, siempre y cuando justifiquen que subsistente las causas que dieron origen a su clasificación, mediante la aplicación de una prueba de daño, lo que implica que cada área deba elaborar un índice de los expedient</w:t>
      </w:r>
      <w:r>
        <w:rPr>
          <w:rFonts w:ascii="Palatino Linotype" w:eastAsia="Palatino Linotype" w:hAnsi="Palatino Linotype" w:cs="Palatino Linotype"/>
          <w:sz w:val="24"/>
          <w:szCs w:val="24"/>
        </w:rPr>
        <w:t>es clasificados como reservados, el cual deberá elaborarse semestralmente y publicarse en formatos abiertos al día siguiente de su elaboración, en virtud de que tienen el carácter de información pública.</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Ahora bien, para motivar la clasificación de la info</w:t>
      </w:r>
      <w:r>
        <w:rPr>
          <w:rFonts w:ascii="Palatino Linotype" w:eastAsia="Palatino Linotype" w:hAnsi="Palatino Linotype" w:cs="Palatino Linotype"/>
          <w:sz w:val="24"/>
          <w:szCs w:val="24"/>
        </w:rPr>
        <w:t>rmación o en su caso, la ampliación del plazo de reserva, se deberán señalar las razones, motivos o circunstancias especiales que llevaron al sujeto obligado a concluir que el caso particular se ajusta a los supuestos previstos en el artículo 140 de la Ley</w:t>
      </w:r>
      <w:r>
        <w:rPr>
          <w:rFonts w:ascii="Palatino Linotype" w:eastAsia="Palatino Linotype" w:hAnsi="Palatino Linotype" w:cs="Palatino Linotype"/>
          <w:sz w:val="24"/>
          <w:szCs w:val="24"/>
        </w:rPr>
        <w:t xml:space="preserve"> de</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Transparencia en la entidad, debiendo en todo momento aplicar la prueba de daño</w:t>
      </w:r>
      <w:r>
        <w:rPr>
          <w:rFonts w:ascii="Palatino Linotype" w:eastAsia="Palatino Linotype" w:hAnsi="Palatino Linotype" w:cs="Palatino Linotype"/>
          <w:sz w:val="24"/>
          <w:szCs w:val="24"/>
          <w:vertAlign w:val="superscript"/>
        </w:rPr>
        <w:footnoteReference w:id="1"/>
      </w:r>
      <w:r>
        <w:rPr>
          <w:rFonts w:ascii="Palatino Linotype" w:eastAsia="Palatino Linotype" w:hAnsi="Palatino Linotype" w:cs="Palatino Linotype"/>
          <w:sz w:val="24"/>
          <w:szCs w:val="24"/>
        </w:rPr>
        <w:t xml:space="preserve"> y hacer mención del plazo al que estará sujeto la reserva.</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La clasificación de la información se llevará a cabo en el momento que se reciba una solicitud de información, c</w:t>
      </w:r>
      <w:r>
        <w:rPr>
          <w:rFonts w:ascii="Palatino Linotype" w:eastAsia="Palatino Linotype" w:hAnsi="Palatino Linotype" w:cs="Palatino Linotype"/>
          <w:sz w:val="24"/>
          <w:szCs w:val="24"/>
        </w:rPr>
        <w:t>uando se determine mediante resolución de autoridad competente o bien, en la generación de versiones públicas para dar cumplimiento a las obligaciones de transparencia previstas en la Ley. Cuando en un mismo medio, impreso o electrónico se contenga informa</w:t>
      </w:r>
      <w:r>
        <w:rPr>
          <w:rFonts w:ascii="Palatino Linotype" w:eastAsia="Palatino Linotype" w:hAnsi="Palatino Linotype" w:cs="Palatino Linotype"/>
          <w:sz w:val="24"/>
          <w:szCs w:val="24"/>
        </w:rPr>
        <w:t xml:space="preserve">ción pública y reservada o confidencial, la Unidad de Transparencia para efectos de atender la solicitud de información, deberá elaborar una versión pública en la que se testen las partes o secciones clasificadas, indicando su contenido de manera genérica </w:t>
      </w:r>
      <w:r>
        <w:rPr>
          <w:rFonts w:ascii="Palatino Linotype" w:eastAsia="Palatino Linotype" w:hAnsi="Palatino Linotype" w:cs="Palatino Linotype"/>
          <w:sz w:val="24"/>
          <w:szCs w:val="24"/>
        </w:rPr>
        <w:t>y fundando y motivando su clasificación.</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Los sujetos obligados no podrán emitir acuerdos de carácter general ni particular que clasifiquen documentos o información como reservada. La clasificación podrá establecerse de manera parcial o total de acuerdo al </w:t>
      </w:r>
      <w:r>
        <w:rPr>
          <w:rFonts w:ascii="Palatino Linotype" w:eastAsia="Palatino Linotype" w:hAnsi="Palatino Linotype" w:cs="Palatino Linotype"/>
          <w:sz w:val="24"/>
          <w:szCs w:val="24"/>
        </w:rPr>
        <w:t>contenido de la información del documento y deberá estar acorde con la actualización de los supuestos definidos en la ley de la materia como información clasificada, en ningún caso se podrán clasificar documentos antes de que se genere la información.</w:t>
      </w:r>
    </w:p>
    <w:p w:rsidR="00F8149C" w:rsidRDefault="006E49A1">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En l</w:t>
      </w:r>
      <w:r>
        <w:rPr>
          <w:rFonts w:ascii="Palatino Linotype" w:eastAsia="Palatino Linotype" w:hAnsi="Palatino Linotype" w:cs="Palatino Linotype"/>
          <w:sz w:val="24"/>
          <w:szCs w:val="24"/>
        </w:rPr>
        <w:t>os casos en que la información solicitada por los particulares actualice algún supuesto de información reservada, les corresponde a los sujetos obligados la carga de la prueba para justificar la negativa de acceso a la información.</w:t>
      </w: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Finalmente,</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respecto al </w:t>
      </w:r>
      <w:r>
        <w:rPr>
          <w:rFonts w:ascii="Palatino Linotype" w:eastAsia="Palatino Linotype" w:hAnsi="Palatino Linotype" w:cs="Palatino Linotype"/>
          <w:sz w:val="24"/>
          <w:szCs w:val="24"/>
        </w:rPr>
        <w:t>plazo de reserva, el artículo 125 de la Ley de la materia, establece que la información clasificada como reservada según el artículo 140 de la Ley Federal de Transparencia y Acceso a la Información Pública, podrá permanecer con tal carácter hasta por un pe</w:t>
      </w:r>
      <w:r>
        <w:rPr>
          <w:rFonts w:ascii="Palatino Linotype" w:eastAsia="Palatino Linotype" w:hAnsi="Palatino Linotype" w:cs="Palatino Linotype"/>
          <w:sz w:val="24"/>
          <w:szCs w:val="24"/>
        </w:rPr>
        <w:t xml:space="preserve">riodo de cinco años. Asimismo señala que los </w:t>
      </w:r>
      <w:r>
        <w:rPr>
          <w:rFonts w:ascii="Palatino Linotype" w:eastAsia="Palatino Linotype" w:hAnsi="Palatino Linotype" w:cs="Palatino Linotype"/>
          <w:sz w:val="24"/>
          <w:szCs w:val="24"/>
        </w:rPr>
        <w:lastRenderedPageBreak/>
        <w:t>documentos reservados serán desclasificados cuando se extingan las causas que dieron origen a su clasificación, expire el plazo establecido, exista resolución de una autoridad competente que determine que existe</w:t>
      </w:r>
      <w:r>
        <w:rPr>
          <w:rFonts w:ascii="Palatino Linotype" w:eastAsia="Palatino Linotype" w:hAnsi="Palatino Linotype" w:cs="Palatino Linotype"/>
          <w:sz w:val="24"/>
          <w:szCs w:val="24"/>
        </w:rPr>
        <w:t xml:space="preserve"> una causa de interés público que prevalece sobre la reserva de la información, o bien el Comité de Transparencia considere pertinente la desclasificación o se trate de información que esté relacionada con violaciones graves a derechos humanos o delitos de</w:t>
      </w:r>
      <w:r>
        <w:rPr>
          <w:rFonts w:ascii="Palatino Linotype" w:eastAsia="Palatino Linotype" w:hAnsi="Palatino Linotype" w:cs="Palatino Linotype"/>
          <w:sz w:val="24"/>
          <w:szCs w:val="24"/>
        </w:rPr>
        <w:t xml:space="preserve"> lesa humanidad. </w:t>
      </w: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Circunstancias que fueron tomadas en cuenta por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en el acta del Comité de Transparencia del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de fecha siete de marzo de dos mil veintidós; ante ello, para mejor proveer del presente estudio, resulta nece</w:t>
      </w:r>
      <w:r>
        <w:rPr>
          <w:rFonts w:ascii="Palatino Linotype" w:eastAsia="Palatino Linotype" w:hAnsi="Palatino Linotype" w:cs="Palatino Linotype"/>
          <w:sz w:val="24"/>
          <w:szCs w:val="24"/>
        </w:rPr>
        <w:t xml:space="preserve">sario, analizar dicho Acuerdo de Reserva de la información antes referido, entregado por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en su informe justificado, a fin de establecer si el Comité de Transparencia cumplió o no cabalmente con las formalidades exigidas por con el artíc</w:t>
      </w:r>
      <w:r>
        <w:rPr>
          <w:rFonts w:ascii="Palatino Linotype" w:eastAsia="Palatino Linotype" w:hAnsi="Palatino Linotype" w:cs="Palatino Linotype"/>
          <w:sz w:val="24"/>
          <w:szCs w:val="24"/>
        </w:rPr>
        <w:t>ulo 113 de la Ley General de Transparencia y Acceso a la Información Pública, numeral trigésimo fracción I de los Lineamientos Generales en Materia de Clasificación y Desclasificación de la Información, así como para la Elaboración de Versiones Públicas, a</w:t>
      </w:r>
      <w:r>
        <w:rPr>
          <w:rFonts w:ascii="Palatino Linotype" w:eastAsia="Palatino Linotype" w:hAnsi="Palatino Linotype" w:cs="Palatino Linotype"/>
          <w:sz w:val="24"/>
          <w:szCs w:val="24"/>
        </w:rPr>
        <w:t xml:space="preserve">sí como los artículos 91, 128, 129, 140, fracción I y 141, de la Ley de Transparencia y Acceso a la Información Pública del Estado de México y Municipios: </w:t>
      </w: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tbl>
      <w:tblPr>
        <w:tblStyle w:val="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5812"/>
        <w:gridCol w:w="1603"/>
      </w:tblGrid>
      <w:tr w:rsidR="00F8149C">
        <w:tc>
          <w:tcPr>
            <w:tcW w:w="1413" w:type="dxa"/>
            <w:tcBorders>
              <w:top w:val="single" w:sz="4" w:space="0" w:color="000000"/>
              <w:left w:val="single" w:sz="4" w:space="0" w:color="000000"/>
              <w:bottom w:val="single" w:sz="4" w:space="0" w:color="000000"/>
              <w:right w:val="single" w:sz="4" w:space="0" w:color="000000"/>
            </w:tcBorders>
            <w:shd w:val="clear" w:color="auto" w:fill="7B7B7B"/>
          </w:tcPr>
          <w:p w:rsidR="00F8149C" w:rsidRDefault="006E49A1">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18"/>
                <w:szCs w:val="18"/>
              </w:rPr>
              <w:lastRenderedPageBreak/>
              <w:t>Elementos del acuerdo de clasificación</w:t>
            </w:r>
          </w:p>
        </w:tc>
        <w:tc>
          <w:tcPr>
            <w:tcW w:w="5812" w:type="dxa"/>
            <w:tcBorders>
              <w:top w:val="single" w:sz="4" w:space="0" w:color="000000"/>
              <w:left w:val="single" w:sz="4" w:space="0" w:color="000000"/>
              <w:bottom w:val="single" w:sz="4" w:space="0" w:color="000000"/>
              <w:right w:val="single" w:sz="4" w:space="0" w:color="000000"/>
            </w:tcBorders>
            <w:shd w:val="clear" w:color="auto" w:fill="7B7B7B"/>
          </w:tcPr>
          <w:p w:rsidR="00F8149C" w:rsidRDefault="006E49A1">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t>Contenido</w:t>
            </w:r>
          </w:p>
        </w:tc>
        <w:tc>
          <w:tcPr>
            <w:tcW w:w="1603" w:type="dxa"/>
            <w:tcBorders>
              <w:top w:val="single" w:sz="4" w:space="0" w:color="000000"/>
              <w:left w:val="single" w:sz="4" w:space="0" w:color="000000"/>
              <w:bottom w:val="single" w:sz="4" w:space="0" w:color="000000"/>
              <w:right w:val="single" w:sz="4" w:space="0" w:color="000000"/>
            </w:tcBorders>
            <w:shd w:val="clear" w:color="auto" w:fill="7B7B7B"/>
          </w:tcPr>
          <w:p w:rsidR="00F8149C" w:rsidRDefault="006E49A1">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t>Cumple</w:t>
            </w:r>
          </w:p>
        </w:tc>
      </w:tr>
      <w:tr w:rsidR="00F8149C">
        <w:tc>
          <w:tcPr>
            <w:tcW w:w="141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Número de folio de la solicitud</w:t>
            </w:r>
          </w:p>
        </w:tc>
        <w:tc>
          <w:tcPr>
            <w:tcW w:w="5812"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rPr>
                <w:sz w:val="20"/>
                <w:szCs w:val="20"/>
              </w:rPr>
            </w:pPr>
            <w:r>
              <w:rPr>
                <w:noProof/>
              </w:rPr>
              <w:drawing>
                <wp:inline distT="0" distB="0" distL="0" distR="0">
                  <wp:extent cx="3568246" cy="2698064"/>
                  <wp:effectExtent l="0" t="0" r="0" b="0"/>
                  <wp:docPr id="4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l="43424" t="26609" r="30039" b="39501"/>
                          <a:stretch>
                            <a:fillRect/>
                          </a:stretch>
                        </pic:blipFill>
                        <pic:spPr>
                          <a:xfrm>
                            <a:off x="0" y="0"/>
                            <a:ext cx="3568246" cy="2698064"/>
                          </a:xfrm>
                          <a:prstGeom prst="rect">
                            <a:avLst/>
                          </a:prstGeom>
                          <a:ln/>
                        </pic:spPr>
                      </pic:pic>
                    </a:graphicData>
                  </a:graphic>
                </wp:inline>
              </w:drawing>
            </w:r>
            <w:r>
              <w:rPr>
                <w:noProof/>
              </w:rPr>
              <mc:AlternateContent>
                <mc:Choice Requires="wpg">
                  <w:drawing>
                    <wp:anchor distT="0" distB="0" distL="114300" distR="114300" simplePos="0" relativeHeight="251658240" behindDoc="0" locked="0" layoutInCell="1" hidden="0" allowOverlap="1">
                      <wp:simplePos x="0" y="0"/>
                      <wp:positionH relativeFrom="column">
                        <wp:posOffset>165100</wp:posOffset>
                      </wp:positionH>
                      <wp:positionV relativeFrom="paragraph">
                        <wp:posOffset>1930400</wp:posOffset>
                      </wp:positionV>
                      <wp:extent cx="3400425" cy="409575"/>
                      <wp:effectExtent l="0" t="0" r="0" b="0"/>
                      <wp:wrapNone/>
                      <wp:docPr id="40" name="Rectángulo 40"/>
                      <wp:cNvGraphicFramePr/>
                      <a:graphic xmlns:a="http://schemas.openxmlformats.org/drawingml/2006/main">
                        <a:graphicData uri="http://schemas.microsoft.com/office/word/2010/wordprocessingShape">
                          <wps:wsp>
                            <wps:cNvSpPr/>
                            <wps:spPr>
                              <a:xfrm>
                                <a:off x="3664838" y="3594263"/>
                                <a:ext cx="3362325" cy="371475"/>
                              </a:xfrm>
                              <a:prstGeom prst="rect">
                                <a:avLst/>
                              </a:prstGeom>
                              <a:noFill/>
                              <a:ln w="38100" cap="flat" cmpd="sng">
                                <a:solidFill>
                                  <a:srgbClr val="FF0000"/>
                                </a:solidFill>
                                <a:prstDash val="solid"/>
                                <a:miter lim="800000"/>
                                <a:headEnd type="none" w="sm" len="sm"/>
                                <a:tailEnd type="none" w="sm" len="sm"/>
                              </a:ln>
                            </wps:spPr>
                            <wps:txbx>
                              <w:txbxContent>
                                <w:p w:rsidR="00F8149C" w:rsidRDefault="00F8149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1930400</wp:posOffset>
                      </wp:positionV>
                      <wp:extent cx="3400425" cy="409575"/>
                      <wp:effectExtent b="0" l="0" r="0" t="0"/>
                      <wp:wrapNone/>
                      <wp:docPr id="40" name="image5.png"/>
                      <a:graphic>
                        <a:graphicData uri="http://schemas.openxmlformats.org/drawingml/2006/picture">
                          <pic:pic>
                            <pic:nvPicPr>
                              <pic:cNvPr id="0" name="image5.png"/>
                              <pic:cNvPicPr preferRelativeResize="0"/>
                            </pic:nvPicPr>
                            <pic:blipFill>
                              <a:blip r:embed="rId12"/>
                              <a:srcRect/>
                              <a:stretch>
                                <a:fillRect/>
                              </a:stretch>
                            </pic:blipFill>
                            <pic:spPr>
                              <a:xfrm>
                                <a:off x="0" y="0"/>
                                <a:ext cx="3400425" cy="409575"/>
                              </a:xfrm>
                              <a:prstGeom prst="rect"/>
                              <a:ln/>
                            </pic:spPr>
                          </pic:pic>
                        </a:graphicData>
                      </a:graphic>
                    </wp:anchor>
                  </w:drawing>
                </mc:Fallback>
              </mc:AlternateContent>
            </w:r>
          </w:p>
        </w:tc>
        <w:tc>
          <w:tcPr>
            <w:tcW w:w="160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rPr>
              <w:t>Si</w:t>
            </w:r>
          </w:p>
        </w:tc>
      </w:tr>
      <w:tr w:rsidR="00F8149C">
        <w:tc>
          <w:tcPr>
            <w:tcW w:w="141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Referencia de la información solicitada</w:t>
            </w:r>
          </w:p>
        </w:tc>
        <w:tc>
          <w:tcPr>
            <w:tcW w:w="5812"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rPr>
            </w:pPr>
            <w:r>
              <w:rPr>
                <w:noProof/>
              </w:rPr>
              <w:drawing>
                <wp:inline distT="0" distB="0" distL="0" distR="0">
                  <wp:extent cx="3456819" cy="1590491"/>
                  <wp:effectExtent l="0" t="0" r="0" b="0"/>
                  <wp:docPr id="5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l="33537" t="33729" r="41028" b="45468"/>
                          <a:stretch>
                            <a:fillRect/>
                          </a:stretch>
                        </pic:blipFill>
                        <pic:spPr>
                          <a:xfrm>
                            <a:off x="0" y="0"/>
                            <a:ext cx="3456819" cy="1590491"/>
                          </a:xfrm>
                          <a:prstGeom prst="rect">
                            <a:avLst/>
                          </a:prstGeom>
                          <a:ln/>
                        </pic:spPr>
                      </pic:pic>
                    </a:graphicData>
                  </a:graphic>
                </wp:inline>
              </w:drawing>
            </w:r>
            <w:r>
              <w:rPr>
                <w:noProof/>
              </w:rPr>
              <mc:AlternateContent>
                <mc:Choice Requires="wpg">
                  <w:drawing>
                    <wp:anchor distT="0" distB="0" distL="114300" distR="114300" simplePos="0" relativeHeight="251659264" behindDoc="0" locked="0" layoutInCell="1" hidden="0" allowOverlap="1">
                      <wp:simplePos x="0" y="0"/>
                      <wp:positionH relativeFrom="column">
                        <wp:posOffset>63501</wp:posOffset>
                      </wp:positionH>
                      <wp:positionV relativeFrom="paragraph">
                        <wp:posOffset>952500</wp:posOffset>
                      </wp:positionV>
                      <wp:extent cx="3448050" cy="219075"/>
                      <wp:effectExtent l="0" t="0" r="0" b="0"/>
                      <wp:wrapNone/>
                      <wp:docPr id="42" name="Rectángulo 42"/>
                      <wp:cNvGraphicFramePr/>
                      <a:graphic xmlns:a="http://schemas.openxmlformats.org/drawingml/2006/main">
                        <a:graphicData uri="http://schemas.microsoft.com/office/word/2010/wordprocessingShape">
                          <wps:wsp>
                            <wps:cNvSpPr/>
                            <wps:spPr>
                              <a:xfrm>
                                <a:off x="3641025" y="3689513"/>
                                <a:ext cx="3409950" cy="180975"/>
                              </a:xfrm>
                              <a:prstGeom prst="rect">
                                <a:avLst/>
                              </a:prstGeom>
                              <a:noFill/>
                              <a:ln w="38100" cap="flat" cmpd="sng">
                                <a:solidFill>
                                  <a:srgbClr val="FF0000"/>
                                </a:solidFill>
                                <a:prstDash val="solid"/>
                                <a:miter lim="800000"/>
                                <a:headEnd type="none" w="sm" len="sm"/>
                                <a:tailEnd type="none" w="sm" len="sm"/>
                              </a:ln>
                            </wps:spPr>
                            <wps:txbx>
                              <w:txbxContent>
                                <w:p w:rsidR="00F8149C" w:rsidRDefault="00F8149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63501</wp:posOffset>
                      </wp:positionH>
                      <wp:positionV relativeFrom="paragraph">
                        <wp:posOffset>952500</wp:posOffset>
                      </wp:positionV>
                      <wp:extent cx="3448050" cy="219075"/>
                      <wp:effectExtent b="0" l="0" r="0" t="0"/>
                      <wp:wrapNone/>
                      <wp:docPr id="42" name="image16.png"/>
                      <a:graphic>
                        <a:graphicData uri="http://schemas.openxmlformats.org/drawingml/2006/picture">
                          <pic:pic>
                            <pic:nvPicPr>
                              <pic:cNvPr id="0" name="image16.png"/>
                              <pic:cNvPicPr preferRelativeResize="0"/>
                            </pic:nvPicPr>
                            <pic:blipFill>
                              <a:blip r:embed="rId14"/>
                              <a:srcRect/>
                              <a:stretch>
                                <a:fillRect/>
                              </a:stretch>
                            </pic:blipFill>
                            <pic:spPr>
                              <a:xfrm>
                                <a:off x="0" y="0"/>
                                <a:ext cx="3448050" cy="219075"/>
                              </a:xfrm>
                              <a:prstGeom prst="rect"/>
                              <a:ln/>
                            </pic:spPr>
                          </pic:pic>
                        </a:graphicData>
                      </a:graphic>
                    </wp:anchor>
                  </w:drawing>
                </mc:Fallback>
              </mc:AlternateContent>
            </w:r>
          </w:p>
        </w:tc>
        <w:tc>
          <w:tcPr>
            <w:tcW w:w="160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rPr>
              <w:t>Si</w:t>
            </w:r>
          </w:p>
        </w:tc>
      </w:tr>
      <w:tr w:rsidR="00F8149C">
        <w:tc>
          <w:tcPr>
            <w:tcW w:w="141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lastRenderedPageBreak/>
              <w:t>Causal aplicable del artículo 113 de la Ley General, vinculándola con el Lineamiento específico del presente ordenamiento y, cuando corresponda, el supuesto normativo que expresamente le otorga el carácter</w:t>
            </w:r>
            <w:r>
              <w:rPr>
                <w:rFonts w:ascii="Palatino Linotype" w:eastAsia="Palatino Linotype" w:hAnsi="Palatino Linotype" w:cs="Palatino Linotype"/>
                <w:b/>
                <w:sz w:val="18"/>
                <w:szCs w:val="18"/>
              </w:rPr>
              <w:t xml:space="preserve"> de información reservada</w:t>
            </w:r>
          </w:p>
        </w:tc>
        <w:tc>
          <w:tcPr>
            <w:tcW w:w="5812"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rPr>
                <w:sz w:val="20"/>
                <w:szCs w:val="20"/>
              </w:rPr>
            </w:pPr>
            <w:r>
              <w:rPr>
                <w:noProof/>
              </w:rPr>
              <w:drawing>
                <wp:inline distT="0" distB="0" distL="0" distR="0">
                  <wp:extent cx="3643202" cy="3033352"/>
                  <wp:effectExtent l="0" t="0" r="0" b="0"/>
                  <wp:docPr id="5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l="44228" t="42164" r="30039" b="19750"/>
                          <a:stretch>
                            <a:fillRect/>
                          </a:stretch>
                        </pic:blipFill>
                        <pic:spPr>
                          <a:xfrm>
                            <a:off x="0" y="0"/>
                            <a:ext cx="3643202" cy="3033352"/>
                          </a:xfrm>
                          <a:prstGeom prst="rect">
                            <a:avLst/>
                          </a:prstGeom>
                          <a:ln/>
                        </pic:spPr>
                      </pic:pic>
                    </a:graphicData>
                  </a:graphic>
                </wp:inline>
              </w:drawing>
            </w:r>
            <w:r>
              <w:rPr>
                <w:noProof/>
              </w:rPr>
              <mc:AlternateContent>
                <mc:Choice Requires="wpg">
                  <w:drawing>
                    <wp:anchor distT="0" distB="0" distL="114300" distR="114300" simplePos="0" relativeHeight="251660288" behindDoc="0" locked="0" layoutInCell="1" hidden="0" allowOverlap="1">
                      <wp:simplePos x="0" y="0"/>
                      <wp:positionH relativeFrom="column">
                        <wp:posOffset>139700</wp:posOffset>
                      </wp:positionH>
                      <wp:positionV relativeFrom="paragraph">
                        <wp:posOffset>406400</wp:posOffset>
                      </wp:positionV>
                      <wp:extent cx="3448050" cy="209550"/>
                      <wp:effectExtent l="0" t="0" r="0" b="0"/>
                      <wp:wrapNone/>
                      <wp:docPr id="39" name="Rectángulo 39"/>
                      <wp:cNvGraphicFramePr/>
                      <a:graphic xmlns:a="http://schemas.openxmlformats.org/drawingml/2006/main">
                        <a:graphicData uri="http://schemas.microsoft.com/office/word/2010/wordprocessingShape">
                          <wps:wsp>
                            <wps:cNvSpPr/>
                            <wps:spPr>
                              <a:xfrm>
                                <a:off x="3641025" y="3694275"/>
                                <a:ext cx="3409950" cy="171450"/>
                              </a:xfrm>
                              <a:prstGeom prst="rect">
                                <a:avLst/>
                              </a:prstGeom>
                              <a:noFill/>
                              <a:ln w="38100" cap="flat" cmpd="sng">
                                <a:solidFill>
                                  <a:srgbClr val="FF0000"/>
                                </a:solidFill>
                                <a:prstDash val="solid"/>
                                <a:miter lim="800000"/>
                                <a:headEnd type="none" w="sm" len="sm"/>
                                <a:tailEnd type="none" w="sm" len="sm"/>
                              </a:ln>
                            </wps:spPr>
                            <wps:txbx>
                              <w:txbxContent>
                                <w:p w:rsidR="00F8149C" w:rsidRDefault="00F8149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139700</wp:posOffset>
                      </wp:positionH>
                      <wp:positionV relativeFrom="paragraph">
                        <wp:posOffset>406400</wp:posOffset>
                      </wp:positionV>
                      <wp:extent cx="3448050" cy="209550"/>
                      <wp:effectExtent b="0" l="0" r="0" t="0"/>
                      <wp:wrapNone/>
                      <wp:docPr id="39" name="image4.png"/>
                      <a:graphic>
                        <a:graphicData uri="http://schemas.openxmlformats.org/drawingml/2006/picture">
                          <pic:pic>
                            <pic:nvPicPr>
                              <pic:cNvPr id="0" name="image4.png"/>
                              <pic:cNvPicPr preferRelativeResize="0"/>
                            </pic:nvPicPr>
                            <pic:blipFill>
                              <a:blip r:embed="rId16"/>
                              <a:srcRect/>
                              <a:stretch>
                                <a:fillRect/>
                              </a:stretch>
                            </pic:blipFill>
                            <pic:spPr>
                              <a:xfrm>
                                <a:off x="0" y="0"/>
                                <a:ext cx="3448050" cy="209550"/>
                              </a:xfrm>
                              <a:prstGeom prst="rect"/>
                              <a:ln/>
                            </pic:spPr>
                          </pic:pic>
                        </a:graphicData>
                      </a:graphic>
                    </wp:anchor>
                  </w:drawing>
                </mc:Fallback>
              </mc:AlternateContent>
            </w:r>
            <w:r>
              <w:rPr>
                <w:noProof/>
              </w:rPr>
              <mc:AlternateContent>
                <mc:Choice Requires="wpg">
                  <w:drawing>
                    <wp:anchor distT="0" distB="0" distL="114300" distR="114300" simplePos="0" relativeHeight="251661312" behindDoc="0" locked="0" layoutInCell="1" hidden="0" allowOverlap="1">
                      <wp:simplePos x="0" y="0"/>
                      <wp:positionH relativeFrom="column">
                        <wp:posOffset>152400</wp:posOffset>
                      </wp:positionH>
                      <wp:positionV relativeFrom="paragraph">
                        <wp:posOffset>2387600</wp:posOffset>
                      </wp:positionV>
                      <wp:extent cx="3484880" cy="190500"/>
                      <wp:effectExtent l="0" t="0" r="0" b="0"/>
                      <wp:wrapNone/>
                      <wp:docPr id="41" name="Rectángulo 41"/>
                      <wp:cNvGraphicFramePr/>
                      <a:graphic xmlns:a="http://schemas.openxmlformats.org/drawingml/2006/main">
                        <a:graphicData uri="http://schemas.microsoft.com/office/word/2010/wordprocessingShape">
                          <wps:wsp>
                            <wps:cNvSpPr/>
                            <wps:spPr>
                              <a:xfrm>
                                <a:off x="3622610" y="3703800"/>
                                <a:ext cx="3446780" cy="152400"/>
                              </a:xfrm>
                              <a:prstGeom prst="rect">
                                <a:avLst/>
                              </a:prstGeom>
                              <a:noFill/>
                              <a:ln w="38100" cap="flat" cmpd="sng">
                                <a:solidFill>
                                  <a:srgbClr val="FF0000"/>
                                </a:solidFill>
                                <a:prstDash val="solid"/>
                                <a:miter lim="800000"/>
                                <a:headEnd type="none" w="sm" len="sm"/>
                                <a:tailEnd type="none" w="sm" len="sm"/>
                              </a:ln>
                            </wps:spPr>
                            <wps:txbx>
                              <w:txbxContent>
                                <w:p w:rsidR="00F8149C" w:rsidRDefault="00F8149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152400</wp:posOffset>
                      </wp:positionH>
                      <wp:positionV relativeFrom="paragraph">
                        <wp:posOffset>2387600</wp:posOffset>
                      </wp:positionV>
                      <wp:extent cx="3484880" cy="190500"/>
                      <wp:effectExtent b="0" l="0" r="0" t="0"/>
                      <wp:wrapNone/>
                      <wp:docPr id="41" name="image8.png"/>
                      <a:graphic>
                        <a:graphicData uri="http://schemas.openxmlformats.org/drawingml/2006/picture">
                          <pic:pic>
                            <pic:nvPicPr>
                              <pic:cNvPr id="0" name="image8.png"/>
                              <pic:cNvPicPr preferRelativeResize="0"/>
                            </pic:nvPicPr>
                            <pic:blipFill>
                              <a:blip r:embed="rId17"/>
                              <a:srcRect/>
                              <a:stretch>
                                <a:fillRect/>
                              </a:stretch>
                            </pic:blipFill>
                            <pic:spPr>
                              <a:xfrm>
                                <a:off x="0" y="0"/>
                                <a:ext cx="3484880" cy="190500"/>
                              </a:xfrm>
                              <a:prstGeom prst="rect"/>
                              <a:ln/>
                            </pic:spPr>
                          </pic:pic>
                        </a:graphicData>
                      </a:graphic>
                    </wp:anchor>
                  </w:drawing>
                </mc:Fallback>
              </mc:AlternateContent>
            </w:r>
          </w:p>
          <w:p w:rsidR="00F8149C" w:rsidRDefault="00F8149C">
            <w:pPr>
              <w:spacing w:before="100" w:after="200" w:line="276" w:lineRule="auto"/>
              <w:rPr>
                <w:sz w:val="20"/>
                <w:szCs w:val="20"/>
              </w:rPr>
            </w:pPr>
          </w:p>
        </w:tc>
        <w:tc>
          <w:tcPr>
            <w:tcW w:w="160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b/>
              </w:rPr>
            </w:pPr>
            <w:r>
              <w:rPr>
                <w:rFonts w:ascii="Palatino Linotype" w:eastAsia="Palatino Linotype" w:hAnsi="Palatino Linotype" w:cs="Palatino Linotype"/>
                <w:b/>
              </w:rPr>
              <w:t>Si</w:t>
            </w:r>
          </w:p>
          <w:p w:rsidR="00F8149C" w:rsidRDefault="00F8149C">
            <w:pPr>
              <w:spacing w:before="100" w:after="200" w:line="276" w:lineRule="auto"/>
              <w:jc w:val="center"/>
              <w:rPr>
                <w:rFonts w:ascii="Palatino Linotype" w:eastAsia="Palatino Linotype" w:hAnsi="Palatino Linotype" w:cs="Palatino Linotype"/>
                <w:b/>
                <w:sz w:val="16"/>
                <w:szCs w:val="16"/>
              </w:rPr>
            </w:pPr>
          </w:p>
          <w:p w:rsidR="00F8149C" w:rsidRDefault="00F8149C">
            <w:pPr>
              <w:spacing w:before="100" w:after="200" w:line="276" w:lineRule="auto"/>
              <w:jc w:val="center"/>
              <w:rPr>
                <w:rFonts w:ascii="Palatino Linotype" w:eastAsia="Palatino Linotype" w:hAnsi="Palatino Linotype" w:cs="Palatino Linotype"/>
                <w:b/>
                <w:sz w:val="20"/>
                <w:szCs w:val="20"/>
              </w:rPr>
            </w:pPr>
          </w:p>
        </w:tc>
      </w:tr>
      <w:tr w:rsidR="00F8149C">
        <w:tc>
          <w:tcPr>
            <w:tcW w:w="141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Fundamento y Motivación Legal</w:t>
            </w:r>
          </w:p>
        </w:tc>
        <w:tc>
          <w:tcPr>
            <w:tcW w:w="5812"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rPr>
                <w:sz w:val="20"/>
                <w:szCs w:val="20"/>
              </w:rPr>
            </w:pPr>
            <w:r>
              <w:rPr>
                <w:noProof/>
              </w:rPr>
              <w:drawing>
                <wp:inline distT="0" distB="0" distL="0" distR="0">
                  <wp:extent cx="3475268" cy="1292692"/>
                  <wp:effectExtent l="0" t="0" r="0" b="0"/>
                  <wp:docPr id="5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l="44205" t="24301" r="30038" b="58668"/>
                          <a:stretch>
                            <a:fillRect/>
                          </a:stretch>
                        </pic:blipFill>
                        <pic:spPr>
                          <a:xfrm>
                            <a:off x="0" y="0"/>
                            <a:ext cx="3475268" cy="1292692"/>
                          </a:xfrm>
                          <a:prstGeom prst="rect">
                            <a:avLst/>
                          </a:prstGeom>
                          <a:ln/>
                        </pic:spPr>
                      </pic:pic>
                    </a:graphicData>
                  </a:graphic>
                </wp:inline>
              </w:drawing>
            </w:r>
          </w:p>
          <w:p w:rsidR="00F8149C" w:rsidRDefault="006E49A1">
            <w:pPr>
              <w:spacing w:before="100" w:after="200" w:line="276" w:lineRule="auto"/>
              <w:rPr>
                <w:sz w:val="20"/>
                <w:szCs w:val="20"/>
              </w:rPr>
            </w:pPr>
            <w:r>
              <w:rPr>
                <w:noProof/>
              </w:rPr>
              <w:drawing>
                <wp:inline distT="0" distB="0" distL="0" distR="0">
                  <wp:extent cx="3490504" cy="1048726"/>
                  <wp:effectExtent l="0" t="0" r="0" b="0"/>
                  <wp:docPr id="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l="29753" t="56702" r="15297" b="17089"/>
                          <a:stretch>
                            <a:fillRect/>
                          </a:stretch>
                        </pic:blipFill>
                        <pic:spPr>
                          <a:xfrm>
                            <a:off x="0" y="0"/>
                            <a:ext cx="3490504" cy="1048726"/>
                          </a:xfrm>
                          <a:prstGeom prst="rect">
                            <a:avLst/>
                          </a:prstGeom>
                          <a:ln/>
                        </pic:spPr>
                      </pic:pic>
                    </a:graphicData>
                  </a:graphic>
                </wp:inline>
              </w:drawing>
            </w:r>
          </w:p>
          <w:p w:rsidR="00F8149C" w:rsidRDefault="00F8149C">
            <w:pPr>
              <w:spacing w:before="100" w:after="200" w:line="276" w:lineRule="auto"/>
              <w:rPr>
                <w:sz w:val="20"/>
                <w:szCs w:val="20"/>
              </w:rPr>
            </w:pPr>
          </w:p>
          <w:p w:rsidR="00F8149C" w:rsidRDefault="00F8149C">
            <w:pPr>
              <w:spacing w:before="100" w:after="200" w:line="276" w:lineRule="auto"/>
              <w:rPr>
                <w:sz w:val="20"/>
                <w:szCs w:val="20"/>
              </w:rPr>
            </w:pPr>
          </w:p>
        </w:tc>
        <w:tc>
          <w:tcPr>
            <w:tcW w:w="160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b/>
              </w:rPr>
            </w:pPr>
            <w:r>
              <w:rPr>
                <w:rFonts w:ascii="Palatino Linotype" w:eastAsia="Palatino Linotype" w:hAnsi="Palatino Linotype" w:cs="Palatino Linotype"/>
                <w:b/>
              </w:rPr>
              <w:t xml:space="preserve">Sí </w:t>
            </w:r>
          </w:p>
          <w:p w:rsidR="00F8149C" w:rsidRDefault="00F8149C">
            <w:pPr>
              <w:spacing w:before="100" w:after="200"/>
              <w:jc w:val="both"/>
              <w:rPr>
                <w:rFonts w:ascii="Palatino Linotype" w:eastAsia="Palatino Linotype" w:hAnsi="Palatino Linotype" w:cs="Palatino Linotype"/>
                <w:sz w:val="18"/>
                <w:szCs w:val="18"/>
              </w:rPr>
            </w:pPr>
          </w:p>
        </w:tc>
      </w:tr>
      <w:tr w:rsidR="00F8149C">
        <w:tc>
          <w:tcPr>
            <w:tcW w:w="141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lastRenderedPageBreak/>
              <w:t>Conexión entre los fundamentos y motivos que dieron origen a la Reserva de la información</w:t>
            </w:r>
          </w:p>
        </w:tc>
        <w:tc>
          <w:tcPr>
            <w:tcW w:w="5812"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rPr>
                <w:sz w:val="20"/>
                <w:szCs w:val="20"/>
              </w:rPr>
            </w:pPr>
            <w:r>
              <w:rPr>
                <w:noProof/>
              </w:rPr>
              <w:drawing>
                <wp:inline distT="0" distB="0" distL="0" distR="0">
                  <wp:extent cx="3568844" cy="4788552"/>
                  <wp:effectExtent l="0" t="0" r="0" b="0"/>
                  <wp:docPr id="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l="37259" t="13818" r="23337" b="9467"/>
                          <a:stretch>
                            <a:fillRect/>
                          </a:stretch>
                        </pic:blipFill>
                        <pic:spPr>
                          <a:xfrm>
                            <a:off x="0" y="0"/>
                            <a:ext cx="3568844" cy="4788552"/>
                          </a:xfrm>
                          <a:prstGeom prst="rect">
                            <a:avLst/>
                          </a:prstGeom>
                          <a:ln/>
                        </pic:spPr>
                      </pic:pic>
                    </a:graphicData>
                  </a:graphic>
                </wp:inline>
              </w:drawing>
            </w:r>
          </w:p>
          <w:p w:rsidR="00F8149C" w:rsidRDefault="006E49A1">
            <w:pPr>
              <w:spacing w:before="100" w:after="200" w:line="276" w:lineRule="auto"/>
              <w:rPr>
                <w:sz w:val="20"/>
                <w:szCs w:val="20"/>
              </w:rPr>
            </w:pPr>
            <w:r>
              <w:rPr>
                <w:noProof/>
              </w:rPr>
              <w:drawing>
                <wp:inline distT="0" distB="0" distL="0" distR="0">
                  <wp:extent cx="3424910" cy="815759"/>
                  <wp:effectExtent l="0" t="0" r="0" b="0"/>
                  <wp:docPr id="5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l="37258" t="44789" r="22267" b="49968"/>
                          <a:stretch>
                            <a:fillRect/>
                          </a:stretch>
                        </pic:blipFill>
                        <pic:spPr>
                          <a:xfrm>
                            <a:off x="0" y="0"/>
                            <a:ext cx="3424910" cy="815759"/>
                          </a:xfrm>
                          <a:prstGeom prst="rect">
                            <a:avLst/>
                          </a:prstGeom>
                          <a:ln/>
                        </pic:spPr>
                      </pic:pic>
                    </a:graphicData>
                  </a:graphic>
                </wp:inline>
              </w:drawing>
            </w:r>
          </w:p>
          <w:p w:rsidR="00F8149C" w:rsidRDefault="00F8149C">
            <w:pPr>
              <w:spacing w:before="100" w:after="200" w:line="276" w:lineRule="auto"/>
              <w:rPr>
                <w:sz w:val="20"/>
                <w:szCs w:val="20"/>
              </w:rPr>
            </w:pPr>
          </w:p>
          <w:p w:rsidR="00F8149C" w:rsidRDefault="00F8149C">
            <w:pPr>
              <w:spacing w:before="100" w:after="200" w:line="276" w:lineRule="auto"/>
              <w:rPr>
                <w:sz w:val="20"/>
                <w:szCs w:val="20"/>
              </w:rPr>
            </w:pPr>
          </w:p>
          <w:p w:rsidR="00F8149C" w:rsidRDefault="00F8149C">
            <w:pPr>
              <w:spacing w:before="100" w:after="200" w:line="276" w:lineRule="auto"/>
              <w:rPr>
                <w:sz w:val="20"/>
                <w:szCs w:val="20"/>
              </w:rPr>
            </w:pPr>
          </w:p>
          <w:p w:rsidR="00F8149C" w:rsidRDefault="00F8149C">
            <w:pPr>
              <w:spacing w:before="100" w:after="200" w:line="276" w:lineRule="auto"/>
              <w:rPr>
                <w:sz w:val="20"/>
                <w:szCs w:val="20"/>
              </w:rPr>
            </w:pPr>
          </w:p>
        </w:tc>
        <w:tc>
          <w:tcPr>
            <w:tcW w:w="160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b/>
              </w:rPr>
            </w:pPr>
            <w:r>
              <w:rPr>
                <w:rFonts w:ascii="Palatino Linotype" w:eastAsia="Palatino Linotype" w:hAnsi="Palatino Linotype" w:cs="Palatino Linotype"/>
                <w:b/>
              </w:rPr>
              <w:t xml:space="preserve">Sí </w:t>
            </w:r>
          </w:p>
          <w:p w:rsidR="00F8149C" w:rsidRDefault="00F8149C">
            <w:pPr>
              <w:spacing w:before="100" w:after="200" w:line="276" w:lineRule="auto"/>
              <w:jc w:val="both"/>
              <w:rPr>
                <w:rFonts w:ascii="Palatino Linotype" w:eastAsia="Palatino Linotype" w:hAnsi="Palatino Linotype" w:cs="Palatino Linotype"/>
                <w:b/>
                <w:sz w:val="20"/>
                <w:szCs w:val="20"/>
              </w:rPr>
            </w:pPr>
          </w:p>
        </w:tc>
      </w:tr>
      <w:tr w:rsidR="00F8149C">
        <w:tc>
          <w:tcPr>
            <w:tcW w:w="8828" w:type="dxa"/>
            <w:gridSpan w:val="3"/>
            <w:tcBorders>
              <w:top w:val="single" w:sz="4" w:space="0" w:color="000000"/>
              <w:left w:val="single" w:sz="4" w:space="0" w:color="000000"/>
              <w:bottom w:val="single" w:sz="4" w:space="0" w:color="000000"/>
              <w:right w:val="single" w:sz="4" w:space="0" w:color="000000"/>
            </w:tcBorders>
            <w:shd w:val="clear" w:color="auto" w:fill="7B7B7B"/>
          </w:tcPr>
          <w:p w:rsidR="00F8149C" w:rsidRDefault="006E49A1">
            <w:pPr>
              <w:spacing w:before="100" w:after="200" w:line="276" w:lineRule="auto"/>
              <w:jc w:val="center"/>
              <w:rPr>
                <w:rFonts w:ascii="Palatino Linotype" w:eastAsia="Palatino Linotype" w:hAnsi="Palatino Linotype" w:cs="Palatino Linotype"/>
                <w:b/>
              </w:rPr>
            </w:pPr>
            <w:r>
              <w:rPr>
                <w:rFonts w:ascii="Palatino Linotype" w:eastAsia="Palatino Linotype" w:hAnsi="Palatino Linotype" w:cs="Palatino Linotype"/>
                <w:b/>
                <w:color w:val="FFFFFF"/>
                <w:sz w:val="22"/>
                <w:szCs w:val="22"/>
              </w:rPr>
              <w:lastRenderedPageBreak/>
              <w:t>Elementos de la prueba de daño</w:t>
            </w:r>
          </w:p>
        </w:tc>
      </w:tr>
      <w:tr w:rsidR="00F8149C">
        <w:tc>
          <w:tcPr>
            <w:tcW w:w="1413" w:type="dxa"/>
            <w:tcBorders>
              <w:top w:val="single" w:sz="4" w:space="0" w:color="000000"/>
              <w:left w:val="single" w:sz="4" w:space="0" w:color="000000"/>
              <w:bottom w:val="single" w:sz="4" w:space="0" w:color="000000"/>
              <w:right w:val="single" w:sz="4" w:space="0" w:color="000000"/>
            </w:tcBorders>
          </w:tcPr>
          <w:p w:rsidR="00F8149C" w:rsidRDefault="006E49A1">
            <w:pPr>
              <w:spacing w:after="120" w:line="256" w:lineRule="auto"/>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Riesgo Real, Demostrable e Identificable</w:t>
            </w:r>
          </w:p>
          <w:p w:rsidR="00F8149C" w:rsidRDefault="006E49A1">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6"/>
                <w:szCs w:val="16"/>
              </w:rPr>
              <w:t>(Modo, Tiempo y Lugar)</w:t>
            </w:r>
          </w:p>
        </w:tc>
        <w:tc>
          <w:tcPr>
            <w:tcW w:w="5812"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rPr>
                <w:rFonts w:ascii="Palatino Linotype" w:eastAsia="Palatino Linotype" w:hAnsi="Palatino Linotype" w:cs="Palatino Linotype"/>
                <w:b/>
                <w:color w:val="FFFFFF"/>
                <w:sz w:val="22"/>
                <w:szCs w:val="22"/>
              </w:rPr>
            </w:pPr>
            <w:r>
              <w:rPr>
                <w:noProof/>
              </w:rPr>
              <w:drawing>
                <wp:inline distT="0" distB="0" distL="0" distR="0">
                  <wp:extent cx="3564896" cy="4706442"/>
                  <wp:effectExtent l="0" t="0" r="0" b="0"/>
                  <wp:docPr id="5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2"/>
                          <a:srcRect l="38867" t="12388" r="25481" b="8037"/>
                          <a:stretch>
                            <a:fillRect/>
                          </a:stretch>
                        </pic:blipFill>
                        <pic:spPr>
                          <a:xfrm>
                            <a:off x="0" y="0"/>
                            <a:ext cx="3564896" cy="4706442"/>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color w:val="FFFFFF"/>
                <w:sz w:val="18"/>
                <w:szCs w:val="18"/>
              </w:rPr>
            </w:pPr>
            <w:r>
              <w:rPr>
                <w:rFonts w:ascii="Palatino Linotype" w:eastAsia="Palatino Linotype" w:hAnsi="Palatino Linotype" w:cs="Palatino Linotype"/>
                <w:b/>
                <w:color w:val="000000"/>
              </w:rPr>
              <w:t>Sí</w:t>
            </w:r>
          </w:p>
        </w:tc>
      </w:tr>
      <w:tr w:rsidR="00F8149C">
        <w:tc>
          <w:tcPr>
            <w:tcW w:w="141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6"/>
                <w:szCs w:val="16"/>
              </w:rPr>
              <w:t>Temporalidad de la Reserva de la información</w:t>
            </w:r>
          </w:p>
        </w:tc>
        <w:tc>
          <w:tcPr>
            <w:tcW w:w="5812"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rPr>
                <w:rFonts w:ascii="Palatino Linotype" w:eastAsia="Palatino Linotype" w:hAnsi="Palatino Linotype" w:cs="Palatino Linotype"/>
                <w:b/>
                <w:color w:val="FFFFFF"/>
                <w:sz w:val="22"/>
                <w:szCs w:val="22"/>
              </w:rPr>
            </w:pPr>
            <w:r>
              <w:rPr>
                <w:noProof/>
              </w:rPr>
              <w:drawing>
                <wp:inline distT="0" distB="0" distL="0" distR="0">
                  <wp:extent cx="3598085" cy="1408626"/>
                  <wp:effectExtent l="0" t="0" r="0" b="0"/>
                  <wp:docPr id="5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l="26001" t="35737" r="9935" b="38056"/>
                          <a:stretch>
                            <a:fillRect/>
                          </a:stretch>
                        </pic:blipFill>
                        <pic:spPr>
                          <a:xfrm>
                            <a:off x="0" y="0"/>
                            <a:ext cx="3598085" cy="1408626"/>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000000"/>
              </w:rPr>
              <w:t xml:space="preserve">Sí </w:t>
            </w:r>
          </w:p>
        </w:tc>
      </w:tr>
      <w:tr w:rsidR="00F8149C">
        <w:tc>
          <w:tcPr>
            <w:tcW w:w="141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6"/>
                <w:szCs w:val="16"/>
              </w:rPr>
              <w:lastRenderedPageBreak/>
              <w:t>Autoridades competentes.</w:t>
            </w:r>
          </w:p>
        </w:tc>
        <w:tc>
          <w:tcPr>
            <w:tcW w:w="5812"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rPr>
                <w:rFonts w:ascii="Palatino Linotype" w:eastAsia="Palatino Linotype" w:hAnsi="Palatino Linotype" w:cs="Palatino Linotype"/>
                <w:b/>
                <w:color w:val="FFFFFF"/>
                <w:sz w:val="22"/>
                <w:szCs w:val="22"/>
              </w:rPr>
            </w:pPr>
            <w:r>
              <w:rPr>
                <w:noProof/>
              </w:rPr>
              <w:drawing>
                <wp:inline distT="0" distB="0" distL="0" distR="0">
                  <wp:extent cx="3523439" cy="2933307"/>
                  <wp:effectExtent l="0" t="0" r="0" b="0"/>
                  <wp:docPr id="5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l="30289" t="13818" r="15297" b="5655"/>
                          <a:stretch>
                            <a:fillRect/>
                          </a:stretch>
                        </pic:blipFill>
                        <pic:spPr>
                          <a:xfrm>
                            <a:off x="0" y="0"/>
                            <a:ext cx="3523439" cy="2933307"/>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8149C" w:rsidRDefault="006E49A1">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000000"/>
                <w:sz w:val="22"/>
                <w:szCs w:val="22"/>
              </w:rPr>
              <w:t>Sí</w:t>
            </w:r>
          </w:p>
        </w:tc>
      </w:tr>
    </w:tbl>
    <w:p w:rsidR="00F8149C" w:rsidRDefault="00F8149C">
      <w:pPr>
        <w:spacing w:line="360" w:lineRule="auto"/>
        <w:jc w:val="both"/>
        <w:rPr>
          <w:rFonts w:ascii="Palatino Linotype" w:eastAsia="Palatino Linotype" w:hAnsi="Palatino Linotype" w:cs="Palatino Linotype"/>
          <w:sz w:val="24"/>
          <w:szCs w:val="24"/>
        </w:rPr>
      </w:pP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Como se vislumbró en páginas previas, 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realizó la prueba de daño y precisó las razones por las cuales la apertura de la información generaría una afectación, asi mismo refirió que su divulgación representa un riesgo real, demostrable e identificable, y estableció que el perjuicio supera de mo</w:t>
      </w:r>
      <w:r>
        <w:rPr>
          <w:rFonts w:ascii="Palatino Linotype" w:eastAsia="Palatino Linotype" w:hAnsi="Palatino Linotype" w:cs="Palatino Linotype"/>
          <w:sz w:val="24"/>
          <w:szCs w:val="24"/>
        </w:rPr>
        <w:t xml:space="preserve">mento el interés público general que pudiera existir sobre la información requerida, aunado a lo anterior debe mencionarse que está debidamente fundado y motivado aplicable al caso en concreto, esto es, que encuadró correctamente el artículo 140 de la Ley </w:t>
      </w:r>
      <w:r>
        <w:rPr>
          <w:rFonts w:ascii="Palatino Linotype" w:eastAsia="Palatino Linotype" w:hAnsi="Palatino Linotype" w:cs="Palatino Linotype"/>
          <w:sz w:val="24"/>
          <w:szCs w:val="24"/>
        </w:rPr>
        <w:t xml:space="preserve">Local de Transparencia y del artículo 113 de la Ley General de Transparencia que le es aplicable. </w:t>
      </w:r>
    </w:p>
    <w:p w:rsidR="00F8149C" w:rsidRDefault="006E49A1">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 xml:space="preserve">Por otra parte la información proporcionada contiene el </w:t>
      </w:r>
      <w:r>
        <w:rPr>
          <w:rFonts w:ascii="Palatino Linotype" w:eastAsia="Palatino Linotype" w:hAnsi="Palatino Linotype" w:cs="Palatino Linotype"/>
          <w:color w:val="000000"/>
          <w:sz w:val="24"/>
          <w:szCs w:val="24"/>
        </w:rPr>
        <w:t>nombre, cargo y adscripción de los demás servidores públicos municipales, durante la primera quincena</w:t>
      </w:r>
      <w:r>
        <w:rPr>
          <w:rFonts w:ascii="Palatino Linotype" w:eastAsia="Palatino Linotype" w:hAnsi="Palatino Linotype" w:cs="Palatino Linotype"/>
          <w:color w:val="000000"/>
          <w:sz w:val="24"/>
          <w:szCs w:val="24"/>
        </w:rPr>
        <w:t xml:space="preserve"> del mes de enero del año 2022, así como la remuneración bruta y neta que les corresponde.</w:t>
      </w:r>
    </w:p>
    <w:p w:rsidR="00F8149C" w:rsidRDefault="006E49A1">
      <w:pPr>
        <w:spacing w:line="360" w:lineRule="auto"/>
        <w:ind w:right="-93"/>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Por consiguiente, este Organismo Garante determina que el acuerdo inmerso en el acta del Comité de Transparencia del </w:t>
      </w:r>
      <w:r>
        <w:rPr>
          <w:rFonts w:ascii="Palatino Linotype" w:eastAsia="Palatino Linotype" w:hAnsi="Palatino Linotype" w:cs="Palatino Linotype"/>
          <w:b/>
          <w:sz w:val="24"/>
          <w:szCs w:val="24"/>
        </w:rPr>
        <w:t>SUJETO OBLIGADO</w:t>
      </w:r>
      <w:r>
        <w:rPr>
          <w:rFonts w:ascii="Palatino Linotype" w:eastAsia="Palatino Linotype" w:hAnsi="Palatino Linotype" w:cs="Palatino Linotype"/>
          <w:sz w:val="24"/>
          <w:szCs w:val="24"/>
        </w:rPr>
        <w:t xml:space="preserve">, de fecha siete de marzo de dos </w:t>
      </w:r>
      <w:r>
        <w:rPr>
          <w:rFonts w:ascii="Palatino Linotype" w:eastAsia="Palatino Linotype" w:hAnsi="Palatino Linotype" w:cs="Palatino Linotype"/>
          <w:sz w:val="24"/>
          <w:szCs w:val="24"/>
        </w:rPr>
        <w:t xml:space="preserve">mil veintidós, se encuentra debidamente fundado y motivado, </w:t>
      </w:r>
      <w:r>
        <w:rPr>
          <w:rFonts w:ascii="Palatino Linotype" w:eastAsia="Palatino Linotype" w:hAnsi="Palatino Linotype" w:cs="Palatino Linotype"/>
          <w:color w:val="000000"/>
          <w:sz w:val="24"/>
          <w:szCs w:val="24"/>
        </w:rPr>
        <w:t xml:space="preserve">en términos de lo dispuesto en </w:t>
      </w:r>
      <w:r>
        <w:rPr>
          <w:rFonts w:ascii="Palatino Linotype" w:eastAsia="Palatino Linotype" w:hAnsi="Palatino Linotype" w:cs="Palatino Linotype"/>
          <w:sz w:val="24"/>
          <w:szCs w:val="24"/>
        </w:rPr>
        <w:t>los artículos 128 y 129, de la Ley de Trasparencia y Acceso a la Información Pública del Estado de México y Municipios.</w:t>
      </w:r>
    </w:p>
    <w:p w:rsidR="00F8149C" w:rsidRDefault="006E49A1">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Por lo anterior debe entenderse que ha quedado satisfecha la solicitud planteada, quedando sin materia el presente recurso de revisión, consecuentemente se actualiza la causal prevista en la fracción III del artículo 192 de la Ley de la Materia vigente en </w:t>
      </w:r>
      <w:r>
        <w:rPr>
          <w:rFonts w:ascii="Palatino Linotype" w:eastAsia="Palatino Linotype" w:hAnsi="Palatino Linotype" w:cs="Palatino Linotype"/>
          <w:color w:val="000000"/>
          <w:sz w:val="24"/>
          <w:szCs w:val="24"/>
        </w:rPr>
        <w:t>la Entidad, que dispone lo siguiente:</w:t>
      </w:r>
    </w:p>
    <w:p w:rsidR="00F8149C" w:rsidRDefault="006E49A1">
      <w:pPr>
        <w:spacing w:before="240" w:after="0"/>
        <w:ind w:left="992" w:right="1043"/>
        <w:jc w:val="both"/>
        <w:rPr>
          <w:rFonts w:ascii="Palatino Linotype" w:eastAsia="Palatino Linotype" w:hAnsi="Palatino Linotype" w:cs="Palatino Linotype"/>
          <w:i/>
          <w:color w:val="000000"/>
        </w:rPr>
      </w:pPr>
      <w:r>
        <w:rPr>
          <w:rFonts w:ascii="Palatino Linotype" w:eastAsia="Palatino Linotype" w:hAnsi="Palatino Linotype" w:cs="Palatino Linotype"/>
          <w:b/>
          <w:i/>
          <w:color w:val="000000"/>
        </w:rPr>
        <w:t xml:space="preserve">“Artículo 192. </w:t>
      </w:r>
      <w:r>
        <w:rPr>
          <w:rFonts w:ascii="Palatino Linotype" w:eastAsia="Palatino Linotype" w:hAnsi="Palatino Linotype" w:cs="Palatino Linotype"/>
          <w:i/>
          <w:color w:val="000000"/>
        </w:rPr>
        <w:t>El recurso será sobreseído en todo o en parte cuando una vez admitido, se actualicen alguno de los siguientes supuestos:</w:t>
      </w:r>
    </w:p>
    <w:p w:rsidR="00F8149C" w:rsidRDefault="006E49A1">
      <w:pPr>
        <w:spacing w:after="0"/>
        <w:ind w:left="992" w:right="1043"/>
        <w:jc w:val="both"/>
        <w:rPr>
          <w:rFonts w:ascii="Palatino Linotype" w:eastAsia="Palatino Linotype" w:hAnsi="Palatino Linotype" w:cs="Palatino Linotype"/>
          <w:i/>
          <w:color w:val="000000"/>
        </w:rPr>
      </w:pPr>
      <w:r>
        <w:rPr>
          <w:rFonts w:ascii="Palatino Linotype" w:eastAsia="Palatino Linotype" w:hAnsi="Palatino Linotype" w:cs="Palatino Linotype"/>
          <w:b/>
          <w:i/>
          <w:color w:val="000000"/>
        </w:rPr>
        <w:t>…</w:t>
      </w:r>
    </w:p>
    <w:p w:rsidR="00F8149C" w:rsidRDefault="006E49A1">
      <w:pPr>
        <w:spacing w:after="0"/>
        <w:ind w:left="992" w:right="1043"/>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t>III. El sujeto obligado responsable del acto lo modifique o revoque de tal maner</w:t>
      </w:r>
      <w:r>
        <w:rPr>
          <w:rFonts w:ascii="Palatino Linotype" w:eastAsia="Palatino Linotype" w:hAnsi="Palatino Linotype" w:cs="Palatino Linotype"/>
          <w:b/>
          <w:i/>
          <w:color w:val="000000"/>
        </w:rPr>
        <w:t>a que el recurso de revisión quede sin materia…”. (Sic)</w:t>
      </w:r>
    </w:p>
    <w:p w:rsidR="00F8149C" w:rsidRDefault="00F8149C">
      <w:pPr>
        <w:spacing w:after="0" w:line="360" w:lineRule="auto"/>
        <w:jc w:val="both"/>
        <w:rPr>
          <w:rFonts w:ascii="Palatino Linotype" w:eastAsia="Palatino Linotype" w:hAnsi="Palatino Linotype" w:cs="Palatino Linotype"/>
          <w:b/>
          <w:i/>
          <w:color w:val="000000"/>
          <w:highlight w:val="yellow"/>
        </w:rPr>
      </w:pPr>
    </w:p>
    <w:p w:rsidR="00F8149C" w:rsidRDefault="006E49A1">
      <w:pPr>
        <w:spacing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De lo establecido en el precepto legal citado se advierte que el sobreseimiento del recurso de revisión procede en los siguientes casos:</w:t>
      </w:r>
    </w:p>
    <w:p w:rsidR="00F8149C" w:rsidRDefault="006E49A1">
      <w:pP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a) Cuando el sujeto obligado modifique el acto impugnado.</w:t>
      </w:r>
    </w:p>
    <w:p w:rsidR="00F8149C" w:rsidRDefault="006E49A1">
      <w:pP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b) C</w:t>
      </w:r>
      <w:r>
        <w:rPr>
          <w:rFonts w:ascii="Palatino Linotype" w:eastAsia="Palatino Linotype" w:hAnsi="Palatino Linotype" w:cs="Palatino Linotype"/>
          <w:color w:val="000000"/>
          <w:sz w:val="24"/>
          <w:szCs w:val="24"/>
        </w:rPr>
        <w:t>uando el sujeto obligado revoque el acto impugnado.</w:t>
      </w:r>
    </w:p>
    <w:p w:rsidR="00F8149C" w:rsidRDefault="006E49A1">
      <w:pP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Quedando en ambos casos el acto combatido sin materia o sin efectos.</w:t>
      </w:r>
    </w:p>
    <w:p w:rsidR="00F8149C" w:rsidRDefault="006E49A1">
      <w:pP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Como se observa de lo anterior, un acto impugnado es modificado en aquellos casos en los que el </w:t>
      </w:r>
      <w:r>
        <w:rPr>
          <w:rFonts w:ascii="Palatino Linotype" w:eastAsia="Palatino Linotype" w:hAnsi="Palatino Linotype" w:cs="Palatino Linotype"/>
          <w:b/>
          <w:color w:val="000000"/>
          <w:sz w:val="24"/>
          <w:szCs w:val="24"/>
        </w:rPr>
        <w:t>SUJETO OBLIGADO</w:t>
      </w:r>
      <w:r>
        <w:rPr>
          <w:rFonts w:ascii="Palatino Linotype" w:eastAsia="Palatino Linotype" w:hAnsi="Palatino Linotype" w:cs="Palatino Linotype"/>
          <w:color w:val="000000"/>
          <w:sz w:val="24"/>
          <w:szCs w:val="24"/>
        </w:rPr>
        <w:t xml:space="preserve"> después de haber otorga</w:t>
      </w:r>
      <w:r>
        <w:rPr>
          <w:rFonts w:ascii="Palatino Linotype" w:eastAsia="Palatino Linotype" w:hAnsi="Palatino Linotype" w:cs="Palatino Linotype"/>
          <w:color w:val="000000"/>
          <w:sz w:val="24"/>
          <w:szCs w:val="24"/>
        </w:rPr>
        <w:t xml:space="preserve">do una respuesta, emite una diversa de manera posterior y en ésta subsana las deficiencias que hubiera tenido, quedando satisfecho el derecho subjetivo accionado por la parte </w:t>
      </w:r>
      <w:r>
        <w:rPr>
          <w:rFonts w:ascii="Palatino Linotype" w:eastAsia="Palatino Linotype" w:hAnsi="Palatino Linotype" w:cs="Palatino Linotype"/>
          <w:b/>
          <w:color w:val="000000"/>
          <w:sz w:val="24"/>
          <w:szCs w:val="24"/>
        </w:rPr>
        <w:t>RECURRENTE</w:t>
      </w:r>
      <w:r>
        <w:rPr>
          <w:rFonts w:ascii="Palatino Linotype" w:eastAsia="Palatino Linotype" w:hAnsi="Palatino Linotype" w:cs="Palatino Linotype"/>
          <w:color w:val="000000"/>
          <w:sz w:val="24"/>
          <w:szCs w:val="24"/>
        </w:rPr>
        <w:t>.</w:t>
      </w:r>
    </w:p>
    <w:p w:rsidR="00F8149C" w:rsidRDefault="006E49A1">
      <w:pP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Por lo que hace a la revocación, </w:t>
      </w:r>
      <w:r>
        <w:rPr>
          <w:rFonts w:ascii="Palatino Linotype" w:eastAsia="Palatino Linotype" w:hAnsi="Palatino Linotype" w:cs="Palatino Linotype"/>
          <w:sz w:val="24"/>
          <w:szCs w:val="24"/>
        </w:rPr>
        <w:t>ésta</w:t>
      </w:r>
      <w:r>
        <w:rPr>
          <w:rFonts w:ascii="Palatino Linotype" w:eastAsia="Palatino Linotype" w:hAnsi="Palatino Linotype" w:cs="Palatino Linotype"/>
          <w:color w:val="000000"/>
          <w:sz w:val="24"/>
          <w:szCs w:val="24"/>
        </w:rPr>
        <w:t xml:space="preserve"> se actualiza cuando el </w:t>
      </w:r>
      <w:r>
        <w:rPr>
          <w:rFonts w:ascii="Palatino Linotype" w:eastAsia="Palatino Linotype" w:hAnsi="Palatino Linotype" w:cs="Palatino Linotype"/>
          <w:b/>
          <w:color w:val="000000"/>
          <w:sz w:val="24"/>
          <w:szCs w:val="24"/>
        </w:rPr>
        <w:t>SUJETO O</w:t>
      </w:r>
      <w:r>
        <w:rPr>
          <w:rFonts w:ascii="Palatino Linotype" w:eastAsia="Palatino Linotype" w:hAnsi="Palatino Linotype" w:cs="Palatino Linotype"/>
          <w:b/>
          <w:color w:val="000000"/>
          <w:sz w:val="24"/>
          <w:szCs w:val="24"/>
        </w:rPr>
        <w:t xml:space="preserve">BLIGADO </w:t>
      </w:r>
      <w:r>
        <w:rPr>
          <w:rFonts w:ascii="Palatino Linotype" w:eastAsia="Palatino Linotype" w:hAnsi="Palatino Linotype" w:cs="Palatino Linotype"/>
          <w:color w:val="000000"/>
          <w:sz w:val="24"/>
          <w:szCs w:val="24"/>
        </w:rPr>
        <w:t>deja sin efectos la primera respuesta y en su lugar emite otra con las características y cualidades suficientes para dejar satisfecho el ejercicio del derecho al acceso a la información pública.</w:t>
      </w:r>
    </w:p>
    <w:p w:rsidR="00F8149C" w:rsidRDefault="006E49A1">
      <w:pPr>
        <w:spacing w:before="24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En ese tenor, un acto impugnado queda sin efectos, cu</w:t>
      </w:r>
      <w:r>
        <w:rPr>
          <w:rFonts w:ascii="Palatino Linotype" w:eastAsia="Palatino Linotype" w:hAnsi="Palatino Linotype" w:cs="Palatino Linotype"/>
          <w:color w:val="000000"/>
          <w:sz w:val="24"/>
          <w:szCs w:val="24"/>
        </w:rPr>
        <w:t>ando aun existiendo jurídicamente (esto es, que no se ha modificado, ni revocado) ya no genera ninguna consecuencia legal.</w:t>
      </w:r>
    </w:p>
    <w:p w:rsidR="00F8149C" w:rsidRDefault="006E49A1">
      <w:pPr>
        <w:spacing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De tal manera, es evidente que con ello queda sin materia el presente recurso de revisión, ya que la inconformidad sobre la informaci</w:t>
      </w:r>
      <w:r>
        <w:rPr>
          <w:rFonts w:ascii="Palatino Linotype" w:eastAsia="Palatino Linotype" w:hAnsi="Palatino Linotype" w:cs="Palatino Linotype"/>
          <w:color w:val="000000"/>
          <w:sz w:val="24"/>
          <w:szCs w:val="24"/>
        </w:rPr>
        <w:t>ón incompleta, se subsanó con la información entregada en informe justificado, ya no cobraría sentido; y si respecto de la misma no formuló alegato alguno dentro del plazo concedido para tal efecto se entiende que se encuentra satisfecho.</w:t>
      </w:r>
    </w:p>
    <w:p w:rsidR="00F8149C" w:rsidRDefault="006E49A1">
      <w:pP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En resumen, el </w:t>
      </w:r>
      <w:r>
        <w:rPr>
          <w:rFonts w:ascii="Palatino Linotype" w:eastAsia="Palatino Linotype" w:hAnsi="Palatino Linotype" w:cs="Palatino Linotype"/>
          <w:b/>
          <w:color w:val="000000"/>
          <w:sz w:val="24"/>
          <w:szCs w:val="24"/>
        </w:rPr>
        <w:t>SUJETO OBLIGADO</w:t>
      </w:r>
      <w:r>
        <w:rPr>
          <w:rFonts w:ascii="Palatino Linotype" w:eastAsia="Palatino Linotype" w:hAnsi="Palatino Linotype" w:cs="Palatino Linotype"/>
          <w:color w:val="000000"/>
          <w:sz w:val="24"/>
          <w:szCs w:val="24"/>
        </w:rPr>
        <w:t xml:space="preserve"> dio respuesta completa a la solicitud de acceso a la información pública del ahora </w:t>
      </w:r>
      <w:r>
        <w:rPr>
          <w:rFonts w:ascii="Palatino Linotype" w:eastAsia="Palatino Linotype" w:hAnsi="Palatino Linotype" w:cs="Palatino Linotype"/>
          <w:b/>
          <w:color w:val="000000"/>
          <w:sz w:val="24"/>
          <w:szCs w:val="24"/>
        </w:rPr>
        <w:t>RECURRENTE</w:t>
      </w:r>
      <w:r>
        <w:rPr>
          <w:rFonts w:ascii="Palatino Linotype" w:eastAsia="Palatino Linotype" w:hAnsi="Palatino Linotype" w:cs="Palatino Linotype"/>
          <w:color w:val="000000"/>
          <w:sz w:val="24"/>
          <w:szCs w:val="24"/>
        </w:rPr>
        <w:t xml:space="preserve">; aunque ello haya sido de manera posterior a su respuesta inicial; dejando con ello sin materia el presente recurso de </w:t>
      </w:r>
      <w:r>
        <w:rPr>
          <w:rFonts w:ascii="Palatino Linotype" w:eastAsia="Palatino Linotype" w:hAnsi="Palatino Linotype" w:cs="Palatino Linotype"/>
          <w:color w:val="000000"/>
          <w:sz w:val="24"/>
          <w:szCs w:val="24"/>
        </w:rPr>
        <w:lastRenderedPageBreak/>
        <w:t>revisión, actualizándose en</w:t>
      </w:r>
      <w:r>
        <w:rPr>
          <w:rFonts w:ascii="Palatino Linotype" w:eastAsia="Palatino Linotype" w:hAnsi="Palatino Linotype" w:cs="Palatino Linotype"/>
          <w:color w:val="000000"/>
          <w:sz w:val="24"/>
          <w:szCs w:val="24"/>
        </w:rPr>
        <w:t xml:space="preserve">tonces la causal prevista en la fracción III del artículo 192 de la Ley de la Materia vigente en la Entidad, antes transcrita. </w:t>
      </w:r>
    </w:p>
    <w:p w:rsidR="00F8149C" w:rsidRDefault="006E49A1">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Así, siendo el </w:t>
      </w:r>
      <w:r>
        <w:rPr>
          <w:rFonts w:ascii="Palatino Linotype" w:eastAsia="Palatino Linotype" w:hAnsi="Palatino Linotype" w:cs="Palatino Linotype"/>
          <w:i/>
          <w:color w:val="000000"/>
          <w:sz w:val="24"/>
          <w:szCs w:val="24"/>
        </w:rPr>
        <w:t>sobreseimiento</w:t>
      </w:r>
      <w:r>
        <w:rPr>
          <w:rFonts w:ascii="Palatino Linotype" w:eastAsia="Palatino Linotype" w:hAnsi="Palatino Linotype" w:cs="Palatino Linotype"/>
          <w:color w:val="000000"/>
          <w:sz w:val="24"/>
          <w:szCs w:val="24"/>
        </w:rPr>
        <w:t xml:space="preserve"> un acto que da por terminado el procedimiento administrativo de impugnación por alguna causa sobreviniente en el juicio de que se trate, que impide a la autoridad referirse a lo sustancial de lo planteado por la parte Recurrente, este Instituto se encuent</w:t>
      </w:r>
      <w:r>
        <w:rPr>
          <w:rFonts w:ascii="Palatino Linotype" w:eastAsia="Palatino Linotype" w:hAnsi="Palatino Linotype" w:cs="Palatino Linotype"/>
          <w:color w:val="000000"/>
          <w:sz w:val="24"/>
          <w:szCs w:val="24"/>
        </w:rPr>
        <w:t xml:space="preserve">ra imposibilitado para entrar al estudio de fondo del recurso de revisión, lo anterior con apoyo en la Tesis Aislada del Segundo Tribunal Colegiado del Segundo Distrito, de la Suprema Corte de Justicia de la Nación, registrada con el rubro: </w:t>
      </w:r>
      <w:r>
        <w:rPr>
          <w:rFonts w:ascii="Palatino Linotype" w:eastAsia="Palatino Linotype" w:hAnsi="Palatino Linotype" w:cs="Palatino Linotype"/>
          <w:b/>
          <w:color w:val="000000"/>
          <w:sz w:val="24"/>
          <w:szCs w:val="24"/>
        </w:rPr>
        <w:t>SOBRESEIMIENTO,</w:t>
      </w:r>
      <w:r>
        <w:rPr>
          <w:rFonts w:ascii="Palatino Linotype" w:eastAsia="Palatino Linotype" w:hAnsi="Palatino Linotype" w:cs="Palatino Linotype"/>
          <w:b/>
          <w:color w:val="000000"/>
          <w:sz w:val="24"/>
          <w:szCs w:val="24"/>
        </w:rPr>
        <w:t xml:space="preserve"> NO PERMITE ENTRAR AL ESTUDIO DE LAS CUESTIONES DE FONDO.</w:t>
      </w:r>
    </w:p>
    <w:p w:rsidR="00F8149C" w:rsidRDefault="006E49A1">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Así, con fundamento en lo prescrito en los artículos 5 párrafos trigésimo, trigésimo primero y trigésimo segundo</w:t>
      </w:r>
      <w:r>
        <w:rPr>
          <w:rFonts w:ascii="Palatino Linotype" w:eastAsia="Palatino Linotype" w:hAnsi="Palatino Linotype" w:cs="Palatino Linotype"/>
          <w:color w:val="000000"/>
          <w:sz w:val="24"/>
          <w:szCs w:val="24"/>
          <w:highlight w:val="white"/>
        </w:rPr>
        <w:t xml:space="preserve"> fracciones IV y V de la </w:t>
      </w:r>
      <w:r>
        <w:rPr>
          <w:rFonts w:ascii="Palatino Linotype" w:eastAsia="Palatino Linotype" w:hAnsi="Palatino Linotype" w:cs="Palatino Linotype"/>
          <w:color w:val="000000"/>
          <w:sz w:val="24"/>
          <w:szCs w:val="24"/>
        </w:rPr>
        <w:t xml:space="preserve">Constitución Política del Estado Libre y Soberano de México; </w:t>
      </w:r>
      <w:r>
        <w:rPr>
          <w:rFonts w:ascii="Palatino Linotype" w:eastAsia="Palatino Linotype" w:hAnsi="Palatino Linotype" w:cs="Palatino Linotype"/>
          <w:color w:val="000000"/>
          <w:sz w:val="24"/>
          <w:szCs w:val="24"/>
        </w:rPr>
        <w:t>2, fracción II; 29, 36 fracciones I y II; 176, 178, 181, 185, fracción I, 186 y 188 de la Ley de Transparencia y Acceso a la Información Pública del Estado de México y Municipios, este Pleno:</w:t>
      </w:r>
    </w:p>
    <w:p w:rsidR="00F8149C" w:rsidRDefault="006E49A1">
      <w:pPr>
        <w:spacing w:line="360" w:lineRule="auto"/>
        <w:jc w:val="center"/>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RESUELVE</w:t>
      </w:r>
    </w:p>
    <w:p w:rsidR="00F8149C" w:rsidRDefault="006E49A1">
      <w:pPr>
        <w:spacing w:before="16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highlight w:val="white"/>
        </w:rPr>
        <w:t>PRIMERO</w:t>
      </w:r>
      <w:r>
        <w:rPr>
          <w:rFonts w:ascii="Palatino Linotype" w:eastAsia="Palatino Linotype" w:hAnsi="Palatino Linotype" w:cs="Palatino Linotype"/>
          <w:color w:val="000000"/>
          <w:sz w:val="24"/>
          <w:szCs w:val="24"/>
          <w:highlight w:val="white"/>
        </w:rPr>
        <w:t xml:space="preserve">. Se </w:t>
      </w:r>
      <w:r>
        <w:rPr>
          <w:rFonts w:ascii="Palatino Linotype" w:eastAsia="Palatino Linotype" w:hAnsi="Palatino Linotype" w:cs="Palatino Linotype"/>
          <w:b/>
          <w:color w:val="000000"/>
          <w:sz w:val="24"/>
          <w:szCs w:val="24"/>
          <w:highlight w:val="white"/>
        </w:rPr>
        <w:t>SOBRESEE</w:t>
      </w:r>
      <w:r>
        <w:rPr>
          <w:rFonts w:ascii="Palatino Linotype" w:eastAsia="Palatino Linotype" w:hAnsi="Palatino Linotype" w:cs="Palatino Linotype"/>
          <w:color w:val="000000"/>
          <w:sz w:val="24"/>
          <w:szCs w:val="24"/>
          <w:highlight w:val="white"/>
        </w:rPr>
        <w:t xml:space="preserve"> el recurso de revisión número </w:t>
      </w:r>
      <w:r>
        <w:rPr>
          <w:rFonts w:ascii="Palatino Linotype" w:eastAsia="Palatino Linotype" w:hAnsi="Palatino Linotype" w:cs="Palatino Linotype"/>
          <w:b/>
          <w:color w:val="000000"/>
          <w:sz w:val="24"/>
          <w:szCs w:val="24"/>
          <w:highlight w:val="white"/>
        </w:rPr>
        <w:t>0115</w:t>
      </w:r>
      <w:r>
        <w:rPr>
          <w:rFonts w:ascii="Palatino Linotype" w:eastAsia="Palatino Linotype" w:hAnsi="Palatino Linotype" w:cs="Palatino Linotype"/>
          <w:b/>
          <w:sz w:val="24"/>
          <w:szCs w:val="24"/>
          <w:highlight w:val="white"/>
        </w:rPr>
        <w:t>4</w:t>
      </w:r>
      <w:r>
        <w:rPr>
          <w:rFonts w:ascii="Palatino Linotype" w:eastAsia="Palatino Linotype" w:hAnsi="Palatino Linotype" w:cs="Palatino Linotype"/>
          <w:b/>
          <w:color w:val="000000"/>
          <w:sz w:val="24"/>
          <w:szCs w:val="24"/>
          <w:highlight w:val="white"/>
        </w:rPr>
        <w:t>/INFOEM/IP/RR/2022</w:t>
      </w:r>
      <w:r>
        <w:rPr>
          <w:rFonts w:ascii="Palatino Linotype" w:eastAsia="Palatino Linotype" w:hAnsi="Palatino Linotype" w:cs="Palatino Linotype"/>
          <w:b/>
          <w:color w:val="000000"/>
          <w:sz w:val="24"/>
          <w:szCs w:val="24"/>
        </w:rPr>
        <w:t>,</w:t>
      </w:r>
      <w:r>
        <w:rPr>
          <w:rFonts w:ascii="Palatino Linotype" w:eastAsia="Palatino Linotype" w:hAnsi="Palatino Linotype" w:cs="Palatino Linotype"/>
          <w:color w:val="000000"/>
          <w:sz w:val="24"/>
          <w:szCs w:val="24"/>
        </w:rPr>
        <w:t xml:space="preserve"> porque al modificar la respuesta el recurso de revisión quedó sin materia en términos del Considerando Tercero de la presente resolución.</w:t>
      </w:r>
    </w:p>
    <w:p w:rsidR="00F8149C" w:rsidRDefault="00F8149C">
      <w:pPr>
        <w:spacing w:after="0" w:line="360" w:lineRule="auto"/>
        <w:jc w:val="both"/>
        <w:rPr>
          <w:rFonts w:ascii="Palatino Linotype" w:eastAsia="Palatino Linotype" w:hAnsi="Palatino Linotype" w:cs="Palatino Linotype"/>
          <w:b/>
          <w:color w:val="000000"/>
          <w:sz w:val="24"/>
          <w:szCs w:val="24"/>
          <w:highlight w:val="white"/>
        </w:rPr>
      </w:pPr>
    </w:p>
    <w:p w:rsidR="00F8149C" w:rsidRDefault="006E49A1">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highlight w:val="white"/>
        </w:rPr>
        <w:lastRenderedPageBreak/>
        <w:t xml:space="preserve">SEGUNDO. </w:t>
      </w:r>
      <w:r>
        <w:rPr>
          <w:rFonts w:ascii="Palatino Linotype" w:eastAsia="Palatino Linotype" w:hAnsi="Palatino Linotype" w:cs="Palatino Linotype"/>
          <w:b/>
          <w:color w:val="000000"/>
          <w:sz w:val="24"/>
          <w:szCs w:val="24"/>
        </w:rPr>
        <w:t xml:space="preserve">Notifíquese, </w:t>
      </w:r>
      <w:r>
        <w:rPr>
          <w:rFonts w:ascii="Palatino Linotype" w:eastAsia="Palatino Linotype" w:hAnsi="Palatino Linotype" w:cs="Palatino Linotype"/>
          <w:color w:val="000000"/>
          <w:sz w:val="24"/>
          <w:szCs w:val="24"/>
        </w:rPr>
        <w:t xml:space="preserve">vía </w:t>
      </w:r>
      <w:r>
        <w:rPr>
          <w:rFonts w:ascii="Palatino Linotype" w:eastAsia="Palatino Linotype" w:hAnsi="Palatino Linotype" w:cs="Palatino Linotype"/>
          <w:b/>
          <w:color w:val="000000"/>
          <w:sz w:val="24"/>
          <w:szCs w:val="24"/>
        </w:rPr>
        <w:t xml:space="preserve">SAIMEX, </w:t>
      </w:r>
      <w:r>
        <w:rPr>
          <w:rFonts w:ascii="Palatino Linotype" w:eastAsia="Palatino Linotype" w:hAnsi="Palatino Linotype" w:cs="Palatino Linotype"/>
          <w:color w:val="000000"/>
          <w:sz w:val="24"/>
          <w:szCs w:val="24"/>
        </w:rPr>
        <w:t xml:space="preserve">al Responsable de la Unidad de Transparencia del </w:t>
      </w:r>
      <w:r>
        <w:rPr>
          <w:rFonts w:ascii="Palatino Linotype" w:eastAsia="Palatino Linotype" w:hAnsi="Palatino Linotype" w:cs="Palatino Linotype"/>
          <w:b/>
          <w:color w:val="000000"/>
          <w:sz w:val="24"/>
          <w:szCs w:val="24"/>
        </w:rPr>
        <w:t>SUJETO OBLIGADO</w:t>
      </w:r>
      <w:r>
        <w:rPr>
          <w:rFonts w:ascii="Palatino Linotype" w:eastAsia="Palatino Linotype" w:hAnsi="Palatino Linotype" w:cs="Palatino Linotype"/>
          <w:color w:val="000000"/>
          <w:sz w:val="24"/>
          <w:szCs w:val="24"/>
        </w:rPr>
        <w:t xml:space="preserve"> la presente resolución, para su conocimiento.</w:t>
      </w:r>
    </w:p>
    <w:p w:rsidR="00F8149C" w:rsidRDefault="00F8149C">
      <w:pPr>
        <w:spacing w:after="0" w:line="360" w:lineRule="auto"/>
        <w:jc w:val="both"/>
        <w:rPr>
          <w:rFonts w:ascii="Palatino Linotype" w:eastAsia="Palatino Linotype" w:hAnsi="Palatino Linotype" w:cs="Palatino Linotype"/>
          <w:color w:val="000000"/>
          <w:sz w:val="24"/>
          <w:szCs w:val="24"/>
        </w:rPr>
      </w:pPr>
    </w:p>
    <w:p w:rsidR="00F8149C" w:rsidRDefault="006E49A1">
      <w:pPr>
        <w:spacing w:after="24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 xml:space="preserve">TERCERO. Notifíquese </w:t>
      </w:r>
      <w:r>
        <w:rPr>
          <w:rFonts w:ascii="Palatino Linotype" w:eastAsia="Palatino Linotype" w:hAnsi="Palatino Linotype" w:cs="Palatino Linotype"/>
          <w:b/>
          <w:color w:val="000000"/>
          <w:sz w:val="24"/>
          <w:szCs w:val="24"/>
          <w:highlight w:val="white"/>
        </w:rPr>
        <w:t>vía SAIMEX</w:t>
      </w:r>
      <w:r>
        <w:rPr>
          <w:rFonts w:ascii="Palatino Linotype" w:eastAsia="Palatino Linotype" w:hAnsi="Palatino Linotype" w:cs="Palatino Linotype"/>
          <w:color w:val="000000"/>
          <w:sz w:val="24"/>
          <w:szCs w:val="24"/>
        </w:rPr>
        <w:t>, a la</w:t>
      </w:r>
      <w:r>
        <w:rPr>
          <w:rFonts w:ascii="Palatino Linotype" w:eastAsia="Palatino Linotype" w:hAnsi="Palatino Linotype" w:cs="Palatino Linotype"/>
          <w:b/>
          <w:color w:val="000000"/>
          <w:sz w:val="24"/>
          <w:szCs w:val="24"/>
        </w:rPr>
        <w:t xml:space="preserve"> RECURRENTE</w:t>
      </w:r>
      <w:r>
        <w:rPr>
          <w:rFonts w:ascii="Palatino Linotype" w:eastAsia="Palatino Linotype" w:hAnsi="Palatino Linotype" w:cs="Palatino Linotype"/>
          <w:color w:val="000000"/>
          <w:sz w:val="24"/>
          <w:szCs w:val="24"/>
        </w:rPr>
        <w:t xml:space="preserve"> la presente resolución; así como, que de conformidad con lo establecido en el artículo 196 de la Ley de Transparencia y Acceso a la Información </w:t>
      </w:r>
      <w:r>
        <w:rPr>
          <w:rFonts w:ascii="Palatino Linotype" w:eastAsia="Palatino Linotype" w:hAnsi="Palatino Linotype" w:cs="Palatino Linotype"/>
          <w:color w:val="000000"/>
          <w:sz w:val="24"/>
          <w:szCs w:val="24"/>
        </w:rPr>
        <w:t xml:space="preserve">Pública del Estado de México y Municipios, podrá </w:t>
      </w:r>
      <w:r>
        <w:rPr>
          <w:rFonts w:ascii="Palatino Linotype" w:eastAsia="Palatino Linotype" w:hAnsi="Palatino Linotype" w:cs="Palatino Linotype"/>
          <w:sz w:val="24"/>
          <w:szCs w:val="24"/>
        </w:rPr>
        <w:t>impugnar vía</w:t>
      </w:r>
      <w:r>
        <w:rPr>
          <w:rFonts w:ascii="Palatino Linotype" w:eastAsia="Palatino Linotype" w:hAnsi="Palatino Linotype" w:cs="Palatino Linotype"/>
          <w:color w:val="000000"/>
          <w:sz w:val="24"/>
          <w:szCs w:val="24"/>
        </w:rPr>
        <w:t xml:space="preserve"> Juicio de Amparo en los términos de las leyes aplicables.</w:t>
      </w:r>
    </w:p>
    <w:p w:rsidR="00F8149C" w:rsidRDefault="006E49A1">
      <w:pPr>
        <w:spacing w:line="360" w:lineRule="auto"/>
        <w:ind w:right="49"/>
        <w:jc w:val="both"/>
        <w:rPr>
          <w:rFonts w:ascii="Palatino Linotype" w:eastAsia="Palatino Linotype" w:hAnsi="Palatino Linotype" w:cs="Palatino Linotype"/>
          <w:color w:val="000000"/>
          <w:sz w:val="24"/>
          <w:szCs w:val="24"/>
        </w:rPr>
      </w:pPr>
      <w:bookmarkStart w:id="1" w:name="_heading=h.gjdgxs" w:colFirst="0" w:colLast="0"/>
      <w:bookmarkEnd w:id="1"/>
      <w:r>
        <w:rPr>
          <w:rFonts w:ascii="Palatino Linotype" w:eastAsia="Palatino Linotype" w:hAnsi="Palatino Linotype" w:cs="Palatino Linotype"/>
          <w:color w:val="000000"/>
          <w:sz w:val="24"/>
          <w:szCs w:val="24"/>
        </w:rPr>
        <w:t>ASÍ LO RESUELVE, POR UNANIMIDAD DE VOTOS, EL PLENO DEL INSTITUTO DE TRANSPARENCIA, ACCESO A LA INFORMACIÓN PÚBLICA Y PROTECCIÓN DE DATOS</w:t>
      </w:r>
      <w:r>
        <w:rPr>
          <w:rFonts w:ascii="Palatino Linotype" w:eastAsia="Palatino Linotype" w:hAnsi="Palatino Linotype" w:cs="Palatino Linotype"/>
          <w:color w:val="000000"/>
          <w:sz w:val="24"/>
          <w:szCs w:val="24"/>
        </w:rPr>
        <w:t xml:space="preserve"> PERSONALES DEL ESTADO DE MÉXICO Y MUNICIPIOS, CONFORMADO POR LOS COMISIONADOS JOSÉ MARTÍNEZ VILCHIS, MARÍA DEL ROSARIO MEJÍA AYALA, SHARON CRISTINA MORALES MARTÍNEZ  CON VOTO PARTICULAR, LUIS GUSTAVO PARRA NORIEGA Y GUADALUPE RAMÍREZ PEÑA; EN LA DÉCIMO SE</w:t>
      </w:r>
      <w:r>
        <w:rPr>
          <w:rFonts w:ascii="Palatino Linotype" w:eastAsia="Palatino Linotype" w:hAnsi="Palatino Linotype" w:cs="Palatino Linotype"/>
          <w:color w:val="000000"/>
          <w:sz w:val="24"/>
          <w:szCs w:val="24"/>
        </w:rPr>
        <w:t>XTA SESIÓN ORDINARIA CELEBRADA EL CUATRO DE MAYO DEL DOS MIL VEINTIDÓS, ANTE EL SECRETARIO TÉCNICO DEL PLENO ALEXIS TAPIA RAMÍREZ.</w:t>
      </w:r>
    </w:p>
    <w:p w:rsidR="00F8149C" w:rsidRDefault="00F8149C">
      <w:pPr>
        <w:spacing w:line="360" w:lineRule="auto"/>
        <w:ind w:right="-93"/>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p w:rsidR="00F8149C" w:rsidRDefault="00F8149C">
      <w:pPr>
        <w:spacing w:line="360" w:lineRule="auto"/>
        <w:jc w:val="both"/>
        <w:rPr>
          <w:rFonts w:ascii="Palatino Linotype" w:eastAsia="Palatino Linotype" w:hAnsi="Palatino Linotype" w:cs="Palatino Linotype"/>
          <w:sz w:val="24"/>
          <w:szCs w:val="24"/>
        </w:rPr>
      </w:pPr>
    </w:p>
    <w:sectPr w:rsidR="00F8149C">
      <w:headerReference w:type="default" r:id="rId25"/>
      <w:footerReference w:type="default" r:id="rId26"/>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49A1" w:rsidRDefault="006E49A1">
      <w:pPr>
        <w:spacing w:after="0" w:line="240" w:lineRule="auto"/>
      </w:pPr>
      <w:r>
        <w:separator/>
      </w:r>
    </w:p>
  </w:endnote>
  <w:endnote w:type="continuationSeparator" w:id="0">
    <w:p w:rsidR="006E49A1" w:rsidRDefault="006E49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149C" w:rsidRDefault="006E49A1">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sidR="00D93604">
      <w:rPr>
        <w:rFonts w:ascii="Arial" w:eastAsia="Arial" w:hAnsi="Arial" w:cs="Arial"/>
        <w:b/>
        <w:color w:val="000000"/>
        <w:sz w:val="20"/>
        <w:szCs w:val="20"/>
      </w:rPr>
      <w:fldChar w:fldCharType="separate"/>
    </w:r>
    <w:r w:rsidR="00D93604">
      <w:rPr>
        <w:rFonts w:ascii="Arial" w:eastAsia="Arial" w:hAnsi="Arial" w:cs="Arial"/>
        <w:b/>
        <w:noProof/>
        <w:color w:val="000000"/>
        <w:sz w:val="20"/>
        <w:szCs w:val="20"/>
      </w:rPr>
      <w:t>2</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sidR="00D93604">
      <w:rPr>
        <w:rFonts w:ascii="Arial" w:eastAsia="Arial" w:hAnsi="Arial" w:cs="Arial"/>
        <w:b/>
        <w:color w:val="000000"/>
        <w:sz w:val="20"/>
        <w:szCs w:val="20"/>
      </w:rPr>
      <w:fldChar w:fldCharType="separate"/>
    </w:r>
    <w:r w:rsidR="00D93604">
      <w:rPr>
        <w:rFonts w:ascii="Arial" w:eastAsia="Arial" w:hAnsi="Arial" w:cs="Arial"/>
        <w:b/>
        <w:noProof/>
        <w:color w:val="000000"/>
        <w:sz w:val="20"/>
        <w:szCs w:val="20"/>
      </w:rPr>
      <w:t>31</w:t>
    </w:r>
    <w:r>
      <w:rPr>
        <w:rFonts w:ascii="Arial" w:eastAsia="Arial" w:hAnsi="Arial" w:cs="Arial"/>
        <w:b/>
        <w:color w:val="000000"/>
        <w:sz w:val="20"/>
        <w:szCs w:val="20"/>
      </w:rPr>
      <w:fldChar w:fldCharType="end"/>
    </w:r>
  </w:p>
  <w:p w:rsidR="00F8149C" w:rsidRDefault="00F8149C">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49A1" w:rsidRDefault="006E49A1">
      <w:pPr>
        <w:spacing w:after="0" w:line="240" w:lineRule="auto"/>
      </w:pPr>
      <w:r>
        <w:separator/>
      </w:r>
    </w:p>
  </w:footnote>
  <w:footnote w:type="continuationSeparator" w:id="0">
    <w:p w:rsidR="006E49A1" w:rsidRDefault="006E49A1">
      <w:pPr>
        <w:spacing w:after="0" w:line="240" w:lineRule="auto"/>
      </w:pPr>
      <w:r>
        <w:continuationSeparator/>
      </w:r>
    </w:p>
  </w:footnote>
  <w:footnote w:id="1">
    <w:p w:rsidR="00F8149C" w:rsidRDefault="006E49A1">
      <w:pPr>
        <w:pBdr>
          <w:top w:val="nil"/>
          <w:left w:val="nil"/>
          <w:bottom w:val="nil"/>
          <w:right w:val="nil"/>
          <w:between w:val="nil"/>
        </w:pBdr>
        <w:spacing w:after="0" w:line="240" w:lineRule="auto"/>
        <w:jc w:val="both"/>
        <w:rPr>
          <w:rFonts w:ascii="Palatino Linotype" w:eastAsia="Palatino Linotype" w:hAnsi="Palatino Linotype" w:cs="Palatino Linotype"/>
          <w:i/>
          <w:color w:val="000000"/>
          <w:sz w:val="16"/>
          <w:szCs w:val="16"/>
        </w:rPr>
      </w:pPr>
      <w:r>
        <w:rPr>
          <w:vertAlign w:val="superscript"/>
        </w:rPr>
        <w:footnoteRef/>
      </w:r>
      <w:r>
        <w:rPr>
          <w:color w:val="000000"/>
          <w:sz w:val="20"/>
          <w:szCs w:val="20"/>
        </w:rPr>
        <w:t xml:space="preserve"> </w:t>
      </w:r>
      <w:r>
        <w:rPr>
          <w:rFonts w:ascii="Palatino Linotype" w:eastAsia="Palatino Linotype" w:hAnsi="Palatino Linotype" w:cs="Palatino Linotype"/>
          <w:i/>
          <w:color w:val="000000"/>
          <w:sz w:val="16"/>
          <w:szCs w:val="16"/>
        </w:rPr>
        <w:t xml:space="preserve">Artículo 129. En la aplicación de la prueba de daño, el sujeto obligado deberá precisar las razones objetivas por las que la apertura de la información generaría una afectación, justificando que:  </w:t>
      </w:r>
    </w:p>
    <w:p w:rsidR="00F8149C" w:rsidRDefault="006E49A1">
      <w:pPr>
        <w:pBdr>
          <w:top w:val="nil"/>
          <w:left w:val="nil"/>
          <w:bottom w:val="nil"/>
          <w:right w:val="nil"/>
          <w:between w:val="nil"/>
        </w:pBdr>
        <w:spacing w:after="0" w:line="240" w:lineRule="auto"/>
        <w:jc w:val="both"/>
        <w:rPr>
          <w:rFonts w:ascii="Palatino Linotype" w:eastAsia="Palatino Linotype" w:hAnsi="Palatino Linotype" w:cs="Palatino Linotype"/>
          <w:i/>
          <w:color w:val="000000"/>
          <w:sz w:val="16"/>
          <w:szCs w:val="16"/>
        </w:rPr>
      </w:pPr>
      <w:r>
        <w:rPr>
          <w:rFonts w:ascii="Palatino Linotype" w:eastAsia="Palatino Linotype" w:hAnsi="Palatino Linotype" w:cs="Palatino Linotype"/>
          <w:i/>
          <w:color w:val="000000"/>
          <w:sz w:val="16"/>
          <w:szCs w:val="16"/>
        </w:rPr>
        <w:t>I. La divulgación de la información representa un riesgo r</w:t>
      </w:r>
      <w:r>
        <w:rPr>
          <w:rFonts w:ascii="Palatino Linotype" w:eastAsia="Palatino Linotype" w:hAnsi="Palatino Linotype" w:cs="Palatino Linotype"/>
          <w:i/>
          <w:color w:val="000000"/>
          <w:sz w:val="16"/>
          <w:szCs w:val="16"/>
        </w:rPr>
        <w:t xml:space="preserve">eal, demostrable e identificable del perjuicio significativo al interés público o a la seguridad pública;  </w:t>
      </w:r>
    </w:p>
    <w:p w:rsidR="00F8149C" w:rsidRDefault="006E49A1">
      <w:pPr>
        <w:pBdr>
          <w:top w:val="nil"/>
          <w:left w:val="nil"/>
          <w:bottom w:val="nil"/>
          <w:right w:val="nil"/>
          <w:between w:val="nil"/>
        </w:pBdr>
        <w:spacing w:after="0" w:line="240" w:lineRule="auto"/>
        <w:jc w:val="both"/>
        <w:rPr>
          <w:rFonts w:ascii="Palatino Linotype" w:eastAsia="Palatino Linotype" w:hAnsi="Palatino Linotype" w:cs="Palatino Linotype"/>
          <w:i/>
          <w:color w:val="000000"/>
          <w:sz w:val="16"/>
          <w:szCs w:val="16"/>
        </w:rPr>
      </w:pPr>
      <w:r>
        <w:rPr>
          <w:rFonts w:ascii="Palatino Linotype" w:eastAsia="Palatino Linotype" w:hAnsi="Palatino Linotype" w:cs="Palatino Linotype"/>
          <w:i/>
          <w:color w:val="000000"/>
          <w:sz w:val="16"/>
          <w:szCs w:val="16"/>
        </w:rPr>
        <w:t xml:space="preserve">II. El riesgo de perjuicio que supondría la divulgación supera el interés público general de que se difunda; y  </w:t>
      </w:r>
    </w:p>
    <w:p w:rsidR="00F8149C" w:rsidRDefault="006E49A1">
      <w:pPr>
        <w:pBdr>
          <w:top w:val="nil"/>
          <w:left w:val="nil"/>
          <w:bottom w:val="nil"/>
          <w:right w:val="nil"/>
          <w:between w:val="nil"/>
        </w:pBdr>
        <w:spacing w:after="0" w:line="240" w:lineRule="auto"/>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i/>
          <w:color w:val="000000"/>
          <w:sz w:val="16"/>
          <w:szCs w:val="16"/>
        </w:rPr>
        <w:t>III. La limitación se adecua al pri</w:t>
      </w:r>
      <w:r>
        <w:rPr>
          <w:rFonts w:ascii="Palatino Linotype" w:eastAsia="Palatino Linotype" w:hAnsi="Palatino Linotype" w:cs="Palatino Linotype"/>
          <w:i/>
          <w:color w:val="000000"/>
          <w:sz w:val="16"/>
          <w:szCs w:val="16"/>
        </w:rPr>
        <w:t>ncipio de proporcionalidad y representa el medio menos restrictivo disponible representa el medio menos restrictivo disponible para evitar el perjuicio.</w:t>
      </w:r>
      <w:r>
        <w:rPr>
          <w:rFonts w:ascii="Palatino Linotype" w:eastAsia="Palatino Linotype" w:hAnsi="Palatino Linotype" w:cs="Palatino Linotype"/>
          <w:color w:val="000000"/>
          <w:sz w:val="16"/>
          <w:szCs w:val="16"/>
        </w:rPr>
        <w:t xml:space="preserve"> Ley de Transparencia y Acceso a la Información Pública del Estado de México y Municipios.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149C" w:rsidRDefault="00F8149C">
    <w:pPr>
      <w:widowControl w:val="0"/>
      <w:pBdr>
        <w:top w:val="nil"/>
        <w:left w:val="nil"/>
        <w:bottom w:val="nil"/>
        <w:right w:val="nil"/>
        <w:between w:val="nil"/>
      </w:pBdr>
      <w:spacing w:after="0" w:line="276" w:lineRule="auto"/>
      <w:rPr>
        <w:rFonts w:ascii="Palatino Linotype" w:eastAsia="Palatino Linotype" w:hAnsi="Palatino Linotype" w:cs="Palatino Linotype"/>
        <w:color w:val="000000"/>
        <w:sz w:val="16"/>
        <w:szCs w:val="16"/>
      </w:rPr>
    </w:pPr>
  </w:p>
  <w:tbl>
    <w:tblPr>
      <w:tblStyle w:val="a0"/>
      <w:tblW w:w="10637" w:type="dxa"/>
      <w:tblInd w:w="-1281" w:type="dxa"/>
      <w:tblLayout w:type="fixed"/>
      <w:tblLook w:val="0400" w:firstRow="0" w:lastRow="0" w:firstColumn="0" w:lastColumn="0" w:noHBand="0" w:noVBand="1"/>
    </w:tblPr>
    <w:tblGrid>
      <w:gridCol w:w="5660"/>
      <w:gridCol w:w="4977"/>
    </w:tblGrid>
    <w:tr w:rsidR="00F8149C">
      <w:trPr>
        <w:trHeight w:val="260"/>
      </w:trPr>
      <w:tc>
        <w:tcPr>
          <w:tcW w:w="5660" w:type="dxa"/>
        </w:tcPr>
        <w:p w:rsidR="00F8149C" w:rsidRDefault="006E49A1">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Recurso de Revisión N°:</w:t>
          </w:r>
        </w:p>
      </w:tc>
      <w:tc>
        <w:tcPr>
          <w:tcW w:w="4977" w:type="dxa"/>
        </w:tcPr>
        <w:p w:rsidR="00F8149C" w:rsidRDefault="006E49A1">
          <w:pPr>
            <w:spacing w:after="120"/>
            <w:ind w:left="-486" w:right="214" w:firstLine="1408"/>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01154/INFOEM/IP/RR/2022</w:t>
          </w:r>
        </w:p>
      </w:tc>
    </w:tr>
    <w:tr w:rsidR="00F8149C">
      <w:trPr>
        <w:trHeight w:val="224"/>
      </w:trPr>
      <w:tc>
        <w:tcPr>
          <w:tcW w:w="5660" w:type="dxa"/>
        </w:tcPr>
        <w:p w:rsidR="00F8149C" w:rsidRDefault="006E49A1">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Recurrente:</w:t>
          </w:r>
        </w:p>
      </w:tc>
      <w:tc>
        <w:tcPr>
          <w:tcW w:w="4977" w:type="dxa"/>
        </w:tcPr>
        <w:p w:rsidR="00F8149C" w:rsidRDefault="00F8149C">
          <w:pPr>
            <w:spacing w:after="120"/>
            <w:ind w:left="-486" w:right="214" w:firstLine="567"/>
            <w:jc w:val="right"/>
            <w:rPr>
              <w:rFonts w:ascii="Palatino Linotype" w:eastAsia="Palatino Linotype" w:hAnsi="Palatino Linotype" w:cs="Palatino Linotype"/>
              <w:sz w:val="24"/>
              <w:szCs w:val="24"/>
            </w:rPr>
          </w:pPr>
        </w:p>
      </w:tc>
    </w:tr>
    <w:tr w:rsidR="00F8149C">
      <w:trPr>
        <w:trHeight w:val="278"/>
      </w:trPr>
      <w:tc>
        <w:tcPr>
          <w:tcW w:w="5660" w:type="dxa"/>
        </w:tcPr>
        <w:p w:rsidR="00F8149C" w:rsidRDefault="006E49A1">
          <w:pPr>
            <w:spacing w:after="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Sujeto Obligado:</w:t>
          </w:r>
        </w:p>
      </w:tc>
      <w:tc>
        <w:tcPr>
          <w:tcW w:w="4977" w:type="dxa"/>
        </w:tcPr>
        <w:p w:rsidR="00F8149C" w:rsidRDefault="006E49A1">
          <w:pPr>
            <w:pBdr>
              <w:top w:val="nil"/>
              <w:left w:val="nil"/>
              <w:bottom w:val="nil"/>
              <w:right w:val="nil"/>
              <w:between w:val="nil"/>
            </w:pBdr>
            <w:spacing w:after="0"/>
            <w:ind w:left="432" w:right="214"/>
            <w:jc w:val="right"/>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Ayuntamiento de Ixtlahuaca.</w:t>
          </w:r>
        </w:p>
      </w:tc>
    </w:tr>
    <w:tr w:rsidR="00F8149C">
      <w:trPr>
        <w:trHeight w:val="393"/>
      </w:trPr>
      <w:tc>
        <w:tcPr>
          <w:tcW w:w="5660" w:type="dxa"/>
        </w:tcPr>
        <w:p w:rsidR="00F8149C" w:rsidRDefault="006E49A1">
          <w:pPr>
            <w:tabs>
              <w:tab w:val="left" w:pos="4892"/>
            </w:tabs>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Comisionada Ponente:</w:t>
          </w:r>
        </w:p>
      </w:tc>
      <w:tc>
        <w:tcPr>
          <w:tcW w:w="4977" w:type="dxa"/>
        </w:tcPr>
        <w:p w:rsidR="00F8149C" w:rsidRDefault="006E49A1">
          <w:pPr>
            <w:spacing w:after="120"/>
            <w:ind w:left="-486" w:right="214" w:firstLine="567"/>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Guadalupe Ramírez Peña.</w:t>
          </w:r>
        </w:p>
      </w:tc>
    </w:tr>
  </w:tbl>
  <w:p w:rsidR="00F8149C" w:rsidRDefault="006E49A1">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8240" behindDoc="1" locked="0" layoutInCell="1" hidden="0" allowOverlap="1">
          <wp:simplePos x="0" y="0"/>
          <wp:positionH relativeFrom="column">
            <wp:posOffset>-1060449</wp:posOffset>
          </wp:positionH>
          <wp:positionV relativeFrom="paragraph">
            <wp:posOffset>-1559559</wp:posOffset>
          </wp:positionV>
          <wp:extent cx="7753350" cy="9942731"/>
          <wp:effectExtent l="0" t="0" r="0" b="0"/>
          <wp:wrapNone/>
          <wp:docPr id="4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
                  <a:srcRect/>
                  <a:stretch>
                    <a:fillRect/>
                  </a:stretch>
                </pic:blipFill>
                <pic:spPr>
                  <a:xfrm>
                    <a:off x="0" y="0"/>
                    <a:ext cx="7753350" cy="9942731"/>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7F7F1A"/>
    <w:multiLevelType w:val="multilevel"/>
    <w:tmpl w:val="9CEEC568"/>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149C"/>
    <w:rsid w:val="006E49A1"/>
    <w:rsid w:val="00D93604"/>
    <w:rsid w:val="00F8149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EDC5973-0FB5-4C43-BCEF-F06FA6ED0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7C56"/>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30097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00979"/>
  </w:style>
  <w:style w:type="paragraph" w:styleId="Piedepgina">
    <w:name w:val="footer"/>
    <w:basedOn w:val="Normal"/>
    <w:link w:val="PiedepginaCar"/>
    <w:uiPriority w:val="99"/>
    <w:unhideWhenUsed/>
    <w:rsid w:val="0030097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00979"/>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300979"/>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300979"/>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3F7798"/>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qFormat/>
    <w:rsid w:val="003F7798"/>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3F7798"/>
    <w:rPr>
      <w:vertAlign w:val="superscript"/>
    </w:rPr>
  </w:style>
  <w:style w:type="table" w:styleId="Tablaconcuadrcula">
    <w:name w:val="Table Grid"/>
    <w:basedOn w:val="Tablanormal"/>
    <w:uiPriority w:val="59"/>
    <w:rsid w:val="003F7798"/>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sz w:val="24"/>
      <w:szCs w:val="24"/>
    </w:rPr>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70" w:type="dxa"/>
        <w:bottom w:w="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0.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16.png"/><Relationship Id="rId22" Type="http://schemas.openxmlformats.org/officeDocument/2006/relationships/image" Target="media/image13.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ef0s1XhfR3v2a1VDlGJrkZCuMKw==">AMUW2mU81ngIjLInYfGcODkm5nzuXLUublQ2x1oZj7oEs8eh42VeRf6WvvsTjlIXOzX7jyMpmd6YDTka70lemJFGdOhuSNoz1AMsGO5HIkLcOZjEqbW4SsMf2bTGelbppEtXV1rnGQED</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5061</Words>
  <Characters>27837</Characters>
  <Application>Microsoft Office Word</Application>
  <DocSecurity>0</DocSecurity>
  <Lines>231</Lines>
  <Paragraphs>65</Paragraphs>
  <ScaleCrop>false</ScaleCrop>
  <Company/>
  <LinksUpToDate>false</LinksUpToDate>
  <CharactersWithSpaces>32833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dcterms:created xsi:type="dcterms:W3CDTF">2022-04-28T16:38:00Z</dcterms:created>
  <dcterms:modified xsi:type="dcterms:W3CDTF">2022-06-02T17:57:00Z</dcterms:modified>
</cp:coreProperties>
</file>