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91D83" w14:textId="4D1C88B0" w:rsidR="0014604A"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w:t>
      </w:r>
      <w:r w:rsidR="0014604A" w:rsidRPr="00F320D7">
        <w:rPr>
          <w:rFonts w:ascii="Palatino Linotype" w:hAnsi="Palatino Linotype"/>
          <w:b/>
          <w:sz w:val="24"/>
          <w:szCs w:val="24"/>
        </w:rPr>
        <w:t xml:space="preserve">PROTECCIÓN DE DATOS PERSONALES DEL ESTADO DE MÉXICO Y MUNICIPIOS, EN LA </w:t>
      </w:r>
      <w:r w:rsidR="00237BF2">
        <w:rPr>
          <w:rFonts w:ascii="Palatino Linotype" w:hAnsi="Palatino Linotype"/>
          <w:b/>
          <w:sz w:val="24"/>
          <w:szCs w:val="24"/>
        </w:rPr>
        <w:t>QUINTA</w:t>
      </w:r>
      <w:r w:rsidR="0014604A">
        <w:rPr>
          <w:rFonts w:ascii="Palatino Linotype" w:hAnsi="Palatino Linotype"/>
          <w:b/>
          <w:sz w:val="24"/>
          <w:szCs w:val="24"/>
        </w:rPr>
        <w:t xml:space="preserve"> SESIÓN ORDINARIA DEL PL</w:t>
      </w:r>
      <w:r w:rsidR="00237BF2">
        <w:rPr>
          <w:rFonts w:ascii="Palatino Linotype" w:hAnsi="Palatino Linotype"/>
          <w:b/>
          <w:sz w:val="24"/>
          <w:szCs w:val="24"/>
        </w:rPr>
        <w:t>ENO DE FECHA DIEZ DE FEBRERO</w:t>
      </w:r>
      <w:r w:rsidR="0014604A">
        <w:rPr>
          <w:rFonts w:ascii="Palatino Linotype" w:hAnsi="Palatino Linotype"/>
          <w:b/>
          <w:sz w:val="24"/>
          <w:szCs w:val="24"/>
        </w:rPr>
        <w:t xml:space="preserve"> DE DOS MIL VEINTIDÓS</w:t>
      </w:r>
      <w:r w:rsidR="00237BF2">
        <w:rPr>
          <w:rFonts w:ascii="Palatino Linotype" w:hAnsi="Palatino Linotype"/>
          <w:b/>
          <w:sz w:val="24"/>
          <w:szCs w:val="24"/>
        </w:rPr>
        <w:t>, EN EL RECURSO DE REVISIÓN 0584</w:t>
      </w:r>
      <w:r w:rsidR="0014604A">
        <w:rPr>
          <w:rFonts w:ascii="Palatino Linotype" w:hAnsi="Palatino Linotype"/>
          <w:b/>
          <w:sz w:val="24"/>
          <w:szCs w:val="24"/>
        </w:rPr>
        <w:t xml:space="preserve">7/INFOEM/IP/RR/2021. </w:t>
      </w:r>
    </w:p>
    <w:p w14:paraId="263E4BA7" w14:textId="77777777" w:rsidR="0014604A" w:rsidRDefault="0014604A" w:rsidP="00494F48">
      <w:pPr>
        <w:spacing w:after="0" w:line="360" w:lineRule="auto"/>
        <w:jc w:val="both"/>
        <w:rPr>
          <w:rFonts w:ascii="Palatino Linotype" w:hAnsi="Palatino Linotype"/>
          <w:b/>
          <w:sz w:val="24"/>
          <w:szCs w:val="24"/>
        </w:rPr>
      </w:pPr>
    </w:p>
    <w:p w14:paraId="6627C399" w14:textId="77777777" w:rsidR="0071133A" w:rsidRDefault="000F49C4" w:rsidP="004402F7">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05CB8FD5" w14:textId="77777777" w:rsidR="0014604A" w:rsidRDefault="0014604A" w:rsidP="004402F7">
      <w:pPr>
        <w:spacing w:after="0" w:line="360" w:lineRule="auto"/>
        <w:jc w:val="both"/>
        <w:rPr>
          <w:rFonts w:ascii="Palatino Linotype" w:hAnsi="Palatino Linotype"/>
          <w:sz w:val="24"/>
          <w:szCs w:val="24"/>
          <w:lang w:val="es-ES"/>
        </w:rPr>
      </w:pPr>
    </w:p>
    <w:p w14:paraId="55BB310D" w14:textId="4585E809" w:rsidR="00330955" w:rsidRPr="0014604A" w:rsidRDefault="00BB07F0" w:rsidP="00330955">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haya ordenado </w:t>
      </w:r>
      <w:r w:rsidR="004402F7" w:rsidRPr="0014604A">
        <w:rPr>
          <w:rFonts w:ascii="Palatino Linotype" w:hAnsi="Palatino Linotype"/>
          <w:b/>
          <w:sz w:val="24"/>
          <w:szCs w:val="24"/>
          <w:lang w:val="es-ES"/>
        </w:rPr>
        <w:t>eximir a</w:t>
      </w:r>
      <w:r w:rsidR="00F86EDD" w:rsidRPr="0014604A">
        <w:rPr>
          <w:rFonts w:ascii="Palatino Linotype" w:hAnsi="Palatino Linotype"/>
          <w:b/>
          <w:sz w:val="24"/>
          <w:szCs w:val="24"/>
          <w:lang w:val="es-ES"/>
        </w:rPr>
        <w:t xml:space="preserve"> la parte r</w:t>
      </w:r>
      <w:r w:rsidR="004402F7" w:rsidRPr="0014604A">
        <w:rPr>
          <w:rFonts w:ascii="Palatino Linotype" w:hAnsi="Palatino Linotype"/>
          <w:b/>
          <w:sz w:val="24"/>
          <w:szCs w:val="24"/>
          <w:lang w:val="es-ES"/>
        </w:rPr>
        <w:t>ecurrente del pago de derechos por la expedición de copias certificadas</w:t>
      </w:r>
      <w:r w:rsidR="004402F7" w:rsidRPr="0014604A">
        <w:rPr>
          <w:rFonts w:ascii="Palatino Linotype" w:hAnsi="Palatino Linotype"/>
          <w:sz w:val="24"/>
          <w:szCs w:val="24"/>
          <w:lang w:val="es-ES"/>
        </w:rPr>
        <w:t>, por las siguientes precisiones:</w:t>
      </w:r>
    </w:p>
    <w:p w14:paraId="09559332" w14:textId="77777777" w:rsidR="00330955" w:rsidRPr="00F86EDD" w:rsidRDefault="00330955" w:rsidP="00330955">
      <w:pPr>
        <w:spacing w:after="0" w:line="360" w:lineRule="auto"/>
        <w:jc w:val="both"/>
        <w:rPr>
          <w:rFonts w:ascii="Palatino Linotype" w:hAnsi="Palatino Linotype"/>
          <w:sz w:val="24"/>
          <w:szCs w:val="24"/>
          <w:lang w:val="es-ES"/>
        </w:rPr>
      </w:pPr>
    </w:p>
    <w:p w14:paraId="32FCA5FA" w14:textId="61AE9E6F" w:rsidR="00330955" w:rsidRPr="00F86EDD" w:rsidRDefault="00494F48" w:rsidP="00330955">
      <w:pPr>
        <w:spacing w:after="0" w:line="360" w:lineRule="auto"/>
        <w:jc w:val="both"/>
        <w:rPr>
          <w:rFonts w:ascii="Palatino Linotype" w:hAnsi="Palatino Linotype"/>
          <w:sz w:val="24"/>
          <w:lang w:val="es-ES"/>
        </w:rPr>
      </w:pPr>
      <w:r>
        <w:rPr>
          <w:rFonts w:ascii="Palatino Linotype" w:hAnsi="Palatino Linotype"/>
          <w:sz w:val="24"/>
          <w:lang w:val="es-ES"/>
        </w:rPr>
        <w:t>En una aproximación inicial</w:t>
      </w:r>
      <w:r w:rsidR="00237BF2">
        <w:rPr>
          <w:rFonts w:ascii="Palatino Linotype" w:hAnsi="Palatino Linotype"/>
          <w:sz w:val="24"/>
          <w:lang w:val="es-ES"/>
        </w:rPr>
        <w:t>, con base en el artículo 155</w:t>
      </w:r>
      <w:r w:rsidR="00330955" w:rsidRPr="00F86EDD">
        <w:rPr>
          <w:rFonts w:ascii="Palatino Linotype" w:hAnsi="Palatino Linotype"/>
          <w:sz w:val="24"/>
          <w:lang w:val="es-ES"/>
        </w:rPr>
        <w:t xml:space="preserve"> de la Ley de Transparencia local, para presentar una solicitud por escrito, no se podrán exigir mayores requisitos que los siguientes:</w:t>
      </w:r>
    </w:p>
    <w:p w14:paraId="2178463B" w14:textId="77777777" w:rsidR="00330955" w:rsidRPr="00F86EDD" w:rsidRDefault="00330955" w:rsidP="00330955">
      <w:pPr>
        <w:pStyle w:val="Sinespaciado"/>
        <w:rPr>
          <w:lang w:val="es-ES"/>
        </w:rPr>
      </w:pPr>
    </w:p>
    <w:p w14:paraId="1E2B1A2E"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330955">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F86EDD" w:rsidRDefault="00330955" w:rsidP="00330955">
      <w:pPr>
        <w:pStyle w:val="Sinespaciado"/>
        <w:rPr>
          <w:lang w:val="es-ES"/>
        </w:rPr>
      </w:pPr>
    </w:p>
    <w:p w14:paraId="00993BDC"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F86EDD" w:rsidRDefault="00330955" w:rsidP="00330955">
      <w:pPr>
        <w:tabs>
          <w:tab w:val="left" w:pos="709"/>
        </w:tabs>
        <w:spacing w:after="0" w:line="360" w:lineRule="auto"/>
        <w:jc w:val="both"/>
        <w:rPr>
          <w:rFonts w:ascii="Palatino Linotype" w:hAnsi="Palatino Linotype"/>
          <w:sz w:val="24"/>
          <w:szCs w:val="24"/>
          <w:lang w:val="es-ES"/>
        </w:rPr>
      </w:pPr>
    </w:p>
    <w:p w14:paraId="47D0B715" w14:textId="4D626637" w:rsidR="0014604A" w:rsidRPr="0014604A" w:rsidRDefault="004402F7" w:rsidP="005251CB">
      <w:pPr>
        <w:tabs>
          <w:tab w:val="left" w:pos="709"/>
        </w:tabs>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Al respecto, tal y como quedó debidamente asentado en la resolución materia del presente</w:t>
      </w:r>
      <w:r w:rsidR="005251CB" w:rsidRPr="00F86EDD">
        <w:rPr>
          <w:rFonts w:ascii="Palatino Linotype" w:hAnsi="Palatino Linotype"/>
          <w:sz w:val="24"/>
          <w:szCs w:val="24"/>
          <w:lang w:val="es-ES"/>
        </w:rPr>
        <w:t xml:space="preserve"> voto, el particular requirió al</w:t>
      </w:r>
      <w:r w:rsidRPr="00F86EDD">
        <w:rPr>
          <w:rFonts w:ascii="Palatino Linotype" w:hAnsi="Palatino Linotype"/>
          <w:sz w:val="24"/>
          <w:szCs w:val="24"/>
          <w:lang w:val="es-ES"/>
        </w:rPr>
        <w:t xml:space="preserve"> </w:t>
      </w:r>
      <w:r w:rsidR="00237BF2" w:rsidRPr="00237BF2">
        <w:rPr>
          <w:rFonts w:ascii="Palatino Linotype" w:hAnsi="Palatino Linotype"/>
          <w:b/>
          <w:sz w:val="24"/>
          <w:szCs w:val="24"/>
          <w:lang w:val="es-ES"/>
        </w:rPr>
        <w:t>Organismo Público Descentralizado para la Prestación de Los Servicios de Agua Potable Alcantarillado y Saneamiento de Atizapán de Zaragoza por sus siglas S.A.P.A.S.A.</w:t>
      </w:r>
      <w:r w:rsidR="0014604A">
        <w:rPr>
          <w:rFonts w:ascii="Palatino Linotype" w:hAnsi="Palatino Linotype"/>
          <w:b/>
          <w:sz w:val="24"/>
          <w:szCs w:val="24"/>
          <w:lang w:val="es-ES"/>
        </w:rPr>
        <w:t xml:space="preserve">, </w:t>
      </w:r>
      <w:r w:rsidR="0014604A">
        <w:rPr>
          <w:rFonts w:ascii="Palatino Linotype" w:hAnsi="Palatino Linotype"/>
          <w:sz w:val="24"/>
          <w:szCs w:val="24"/>
          <w:lang w:val="es-ES"/>
        </w:rPr>
        <w:t xml:space="preserve">copia certificada de lo siguiente: </w:t>
      </w:r>
    </w:p>
    <w:p w14:paraId="518CAD3B" w14:textId="4DF23FDC" w:rsidR="0014604A" w:rsidRPr="0014604A" w:rsidRDefault="0014604A" w:rsidP="0014604A">
      <w:pPr>
        <w:pStyle w:val="Citas"/>
        <w:spacing w:line="240" w:lineRule="auto"/>
        <w:rPr>
          <w:b/>
          <w:sz w:val="24"/>
          <w:szCs w:val="24"/>
          <w:lang w:val="es-ES"/>
        </w:rPr>
      </w:pPr>
      <w:r>
        <w:t>“</w:t>
      </w:r>
      <w:r w:rsidR="00237BF2" w:rsidRPr="00237BF2">
        <w:rPr>
          <w:iCs/>
        </w:rPr>
        <w:t xml:space="preserve">A quien corresponda. Por medio del presente, con fundamento en los artículos 150, 152 y 153 de la LEY DE TRANSPARENCIA Y ACCESO A LA INFORMACIÓN PÚBLICA DEL ESTADO DE MÉXICO Y MUNICIPIOS, solicito a este Organismo se sirva emitir COPIAS CERTIFICADAS del Contrato de Obra Pública Número SAPASA/I3P/OB/PRODDER/RFYPP/05/19 celebrado </w:t>
      </w:r>
      <w:r w:rsidR="00237BF2" w:rsidRPr="00237BF2">
        <w:rPr>
          <w:iCs/>
        </w:rPr>
        <w:lastRenderedPageBreak/>
        <w:t>el día once de septiembre de dos mil diecinueve entre este organismo y URBANIZACIONES Y DESARROLLOS URDES S.A DE C.V</w:t>
      </w:r>
      <w:r w:rsidR="00237BF2" w:rsidRPr="00237BF2">
        <w:rPr>
          <w:iCs/>
          <w:lang w:val="es-ES"/>
        </w:rPr>
        <w:t>.</w:t>
      </w:r>
      <w:r w:rsidR="00237BF2">
        <w:rPr>
          <w:iCs/>
          <w:lang w:val="es-ES"/>
        </w:rPr>
        <w:t>”</w:t>
      </w:r>
      <w:r>
        <w:t xml:space="preserve"> </w:t>
      </w:r>
      <w:r w:rsidR="00237BF2">
        <w:t>(Sic)</w:t>
      </w:r>
    </w:p>
    <w:p w14:paraId="3FE1A5F8" w14:textId="4F0CF380" w:rsidR="00D040F5" w:rsidRPr="00D040F5" w:rsidRDefault="00D040F5" w:rsidP="00D040F5">
      <w:pPr>
        <w:pStyle w:val="Citas"/>
        <w:spacing w:line="240" w:lineRule="auto"/>
        <w:rPr>
          <w:b/>
        </w:rPr>
      </w:pPr>
    </w:p>
    <w:p w14:paraId="553447BC" w14:textId="34B724BB" w:rsidR="00E86269" w:rsidRPr="00607EC4" w:rsidRDefault="004402F7" w:rsidP="00607EC4">
      <w:pPr>
        <w:spacing w:after="0" w:line="360" w:lineRule="auto"/>
        <w:ind w:right="-3"/>
        <w:jc w:val="both"/>
        <w:rPr>
          <w:rFonts w:ascii="Palatino Linotype" w:hAnsi="Palatino Linotype"/>
          <w:sz w:val="24"/>
          <w:szCs w:val="24"/>
        </w:rPr>
      </w:pPr>
      <w:r w:rsidRPr="00F86EDD">
        <w:rPr>
          <w:rFonts w:ascii="Palatino Linotype" w:hAnsi="Palatino Linotype"/>
          <w:sz w:val="24"/>
          <w:szCs w:val="23"/>
          <w:lang w:val="es-ES"/>
        </w:rPr>
        <w:t xml:space="preserve">Así, de las constancias que obran en el </w:t>
      </w:r>
      <w:r w:rsidRPr="00F86EDD">
        <w:rPr>
          <w:rFonts w:ascii="Palatino Linotype" w:hAnsi="Palatino Linotype"/>
          <w:b/>
          <w:bCs/>
          <w:sz w:val="24"/>
          <w:szCs w:val="23"/>
          <w:lang w:val="es-ES"/>
        </w:rPr>
        <w:t>S</w:t>
      </w:r>
      <w:r w:rsidR="005251CB" w:rsidRPr="00F86EDD">
        <w:rPr>
          <w:rFonts w:ascii="Palatino Linotype" w:hAnsi="Palatino Linotype"/>
          <w:b/>
          <w:bCs/>
          <w:sz w:val="24"/>
          <w:szCs w:val="23"/>
          <w:lang w:val="es-ES"/>
        </w:rPr>
        <w:t>AIMEX</w:t>
      </w:r>
      <w:r w:rsidRPr="00F86EDD">
        <w:rPr>
          <w:rFonts w:ascii="Palatino Linotype" w:hAnsi="Palatino Linotype"/>
          <w:bCs/>
          <w:sz w:val="24"/>
          <w:szCs w:val="23"/>
          <w:lang w:val="es-ES"/>
        </w:rPr>
        <w:t>,</w:t>
      </w:r>
      <w:r w:rsidRPr="00F86EDD">
        <w:rPr>
          <w:rFonts w:ascii="Palatino Linotype" w:hAnsi="Palatino Linotype"/>
          <w:b/>
          <w:bCs/>
          <w:sz w:val="24"/>
          <w:szCs w:val="23"/>
          <w:lang w:val="es-ES"/>
        </w:rPr>
        <w:t xml:space="preserve"> </w:t>
      </w:r>
      <w:r w:rsidRPr="00F86EDD">
        <w:rPr>
          <w:rFonts w:ascii="Palatino Linotype" w:hAnsi="Palatino Linotype"/>
          <w:sz w:val="24"/>
          <w:szCs w:val="23"/>
          <w:lang w:val="es-ES"/>
        </w:rPr>
        <w:t xml:space="preserve">se advierte que </w:t>
      </w:r>
      <w:r w:rsidRPr="00F86EDD">
        <w:rPr>
          <w:rFonts w:ascii="Palatino Linotype" w:hAnsi="Palatino Linotype"/>
          <w:bCs/>
          <w:sz w:val="24"/>
          <w:szCs w:val="23"/>
          <w:lang w:val="es-ES"/>
        </w:rPr>
        <w:t xml:space="preserve">el </w:t>
      </w:r>
      <w:r w:rsidRPr="00607EC4">
        <w:rPr>
          <w:rFonts w:ascii="Palatino Linotype" w:hAnsi="Palatino Linotype"/>
          <w:bCs/>
          <w:sz w:val="24"/>
          <w:szCs w:val="23"/>
          <w:lang w:val="es-ES"/>
        </w:rPr>
        <w:t>Sujeto Obligado</w:t>
      </w:r>
      <w:r w:rsidR="00607EC4">
        <w:rPr>
          <w:rFonts w:ascii="Palatino Linotype" w:hAnsi="Palatino Linotype"/>
          <w:bCs/>
          <w:sz w:val="24"/>
          <w:szCs w:val="23"/>
          <w:lang w:val="es-ES"/>
        </w:rPr>
        <w:t xml:space="preserve"> manifestó en un primer momento que el documento solicitado había sido clasificado como información reservada </w:t>
      </w:r>
      <w:r w:rsidR="00607EC4" w:rsidRPr="00607EC4">
        <w:rPr>
          <w:rFonts w:ascii="Palatino Linotype" w:hAnsi="Palatino Linotype"/>
          <w:bCs/>
          <w:sz w:val="24"/>
          <w:szCs w:val="23"/>
        </w:rPr>
        <w:t>con número</w:t>
      </w:r>
      <w:r w:rsidR="00607EC4">
        <w:rPr>
          <w:rFonts w:ascii="Palatino Linotype" w:hAnsi="Palatino Linotype"/>
          <w:bCs/>
          <w:sz w:val="24"/>
          <w:szCs w:val="23"/>
        </w:rPr>
        <w:t xml:space="preserve"> 004/SAPASA/UT/CT/RV/SCyOH/2021, </w:t>
      </w:r>
      <w:r w:rsidR="00607EC4" w:rsidRPr="00607EC4">
        <w:rPr>
          <w:rFonts w:ascii="Palatino Linotype" w:hAnsi="Palatino Linotype"/>
          <w:bCs/>
          <w:sz w:val="24"/>
          <w:szCs w:val="23"/>
        </w:rPr>
        <w:t xml:space="preserve">derivado de la Décima Novena Sesión Extraordinaria del Comité de Transparencia, y mediante el cual a propuesta de la Subdirección de Construcción y Operación Hidráulica del </w:t>
      </w:r>
      <w:r w:rsidR="00E36C2C">
        <w:rPr>
          <w:rFonts w:ascii="Palatino Linotype" w:hAnsi="Palatino Linotype"/>
          <w:bCs/>
          <w:sz w:val="24"/>
          <w:szCs w:val="23"/>
        </w:rPr>
        <w:t xml:space="preserve">Sujeto Obligado, </w:t>
      </w:r>
      <w:r w:rsidR="00607EC4" w:rsidRPr="00607EC4">
        <w:rPr>
          <w:rFonts w:ascii="Palatino Linotype" w:hAnsi="Palatino Linotype"/>
          <w:bCs/>
          <w:sz w:val="24"/>
          <w:szCs w:val="23"/>
        </w:rPr>
        <w:t xml:space="preserve">propuso que el Comité de Transparencia resolviera lo conducente a efecto de Clasificar como Reservada por el periodo de un año, la información que solicitó el hoy </w:t>
      </w:r>
      <w:r w:rsidR="00F34543">
        <w:rPr>
          <w:rFonts w:ascii="Palatino Linotype" w:hAnsi="Palatino Linotype"/>
          <w:bCs/>
          <w:sz w:val="24"/>
          <w:szCs w:val="23"/>
        </w:rPr>
        <w:t xml:space="preserve">Recurrente, </w:t>
      </w:r>
      <w:r w:rsidR="00607EC4" w:rsidRPr="00607EC4">
        <w:rPr>
          <w:rFonts w:ascii="Palatino Linotype" w:hAnsi="Palatino Linotype"/>
          <w:bCs/>
          <w:sz w:val="24"/>
          <w:szCs w:val="23"/>
        </w:rPr>
        <w:t xml:space="preserve">toda vez que refieren los suscritos de dicho acuerdo que la documentación referente al contrato </w:t>
      </w:r>
      <w:r w:rsidR="00607EC4" w:rsidRPr="00F34543">
        <w:rPr>
          <w:rFonts w:ascii="Palatino Linotype" w:hAnsi="Palatino Linotype"/>
          <w:bCs/>
          <w:sz w:val="24"/>
          <w:szCs w:val="23"/>
        </w:rPr>
        <w:t>SAPASA/13P/OB/PRODDER/RFYPP/05/19</w:t>
      </w:r>
      <w:r w:rsidR="00607EC4" w:rsidRPr="00607EC4">
        <w:rPr>
          <w:rFonts w:ascii="Palatino Linotype" w:hAnsi="Palatino Linotype"/>
          <w:b/>
          <w:bCs/>
          <w:sz w:val="24"/>
          <w:szCs w:val="23"/>
        </w:rPr>
        <w:t xml:space="preserve"> </w:t>
      </w:r>
      <w:r w:rsidR="00607EC4" w:rsidRPr="00607EC4">
        <w:rPr>
          <w:rFonts w:ascii="Palatino Linotype" w:hAnsi="Palatino Linotype"/>
          <w:bCs/>
          <w:sz w:val="24"/>
          <w:szCs w:val="23"/>
        </w:rPr>
        <w:t xml:space="preserve">se encuentra bajo proceso de Auditoría realizada por el Órgano Superior de Fiscalización del Estado de México, motivo por </w:t>
      </w:r>
      <w:r w:rsidR="00607EC4" w:rsidRPr="00607EC4">
        <w:rPr>
          <w:rFonts w:ascii="Palatino Linotype" w:hAnsi="Palatino Linotype"/>
          <w:bCs/>
          <w:sz w:val="24"/>
          <w:szCs w:val="24"/>
        </w:rPr>
        <w:t xml:space="preserve">el cual Contralora Interna y Presidenta; el Titular de la Unidad de Transparencia y Acceso a la Información Pública y Secretario y el Titular de la Unidad del archivo general y Vocal todos del Comité de Transparencia y Acceso a la Información Pública del Sujeto Obligado </w:t>
      </w:r>
      <w:r w:rsidR="00607EC4" w:rsidRPr="00607EC4">
        <w:rPr>
          <w:rFonts w:ascii="Palatino Linotype" w:hAnsi="Palatino Linotype"/>
          <w:sz w:val="24"/>
          <w:szCs w:val="24"/>
        </w:rPr>
        <w:t>aprobaron por unanimidad de votos la información reservada derivada de las solicitudes de i</w:t>
      </w:r>
      <w:r w:rsidR="00607EC4">
        <w:rPr>
          <w:rFonts w:ascii="Palatino Linotype" w:hAnsi="Palatino Linotype"/>
          <w:sz w:val="24"/>
          <w:szCs w:val="24"/>
        </w:rPr>
        <w:t>nformación con números de folio</w:t>
      </w:r>
      <w:r w:rsidR="00607EC4" w:rsidRPr="00607EC4">
        <w:rPr>
          <w:rFonts w:ascii="Palatino Linotype" w:hAnsi="Palatino Linotype"/>
          <w:sz w:val="24"/>
          <w:szCs w:val="24"/>
        </w:rPr>
        <w:t xml:space="preserve"> 00079/OASATIZARA/IP/</w:t>
      </w:r>
      <w:r w:rsidR="009F225F">
        <w:rPr>
          <w:rFonts w:ascii="Palatino Linotype" w:hAnsi="Palatino Linotype"/>
          <w:sz w:val="24"/>
          <w:szCs w:val="24"/>
        </w:rPr>
        <w:t>2021 y 00080/OASATIZARA/IP/2021, siendo ésta última materia del recurso de revisión.</w:t>
      </w:r>
    </w:p>
    <w:p w14:paraId="54DFC7E1" w14:textId="77777777" w:rsidR="005251CB" w:rsidRPr="00607EC4" w:rsidRDefault="005251CB" w:rsidP="004402F7">
      <w:pPr>
        <w:spacing w:after="0" w:line="360" w:lineRule="auto"/>
        <w:ind w:right="-3"/>
        <w:jc w:val="both"/>
        <w:rPr>
          <w:rFonts w:ascii="Palatino Linotype" w:hAnsi="Palatino Linotype"/>
          <w:sz w:val="24"/>
          <w:szCs w:val="24"/>
          <w:lang w:val="es-ES"/>
        </w:rPr>
      </w:pPr>
    </w:p>
    <w:p w14:paraId="2A64CBD3" w14:textId="22631F50" w:rsidR="009F225F" w:rsidRDefault="004402F7" w:rsidP="004402F7">
      <w:pPr>
        <w:spacing w:after="0" w:line="360" w:lineRule="auto"/>
        <w:ind w:right="-3"/>
        <w:jc w:val="both"/>
        <w:rPr>
          <w:rFonts w:ascii="Palatino Linotype" w:eastAsia="Times New Roman" w:hAnsi="Palatino Linotype" w:cs="Times New Roman"/>
          <w:sz w:val="24"/>
          <w:szCs w:val="24"/>
          <w:lang w:val="es-ES" w:eastAsia="es-ES"/>
        </w:rPr>
      </w:pPr>
      <w:r w:rsidRPr="00F86EDD">
        <w:rPr>
          <w:rFonts w:ascii="Palatino Linotype" w:eastAsia="Times New Roman" w:hAnsi="Palatino Linotype" w:cs="Times New Roman"/>
          <w:sz w:val="24"/>
          <w:szCs w:val="24"/>
          <w:lang w:val="es-ES" w:eastAsia="es-ES"/>
        </w:rPr>
        <w:lastRenderedPageBreak/>
        <w:t xml:space="preserve">Inconforme con la respuesta </w:t>
      </w:r>
      <w:r w:rsidRPr="009E2ED0">
        <w:rPr>
          <w:rFonts w:ascii="Palatino Linotype" w:eastAsia="Times New Roman" w:hAnsi="Palatino Linotype" w:cs="Times New Roman"/>
          <w:sz w:val="24"/>
          <w:szCs w:val="24"/>
          <w:lang w:val="es-ES" w:eastAsia="es-ES"/>
        </w:rPr>
        <w:t xml:space="preserve">proporcionada, </w:t>
      </w:r>
      <w:r w:rsidR="009E2ED0" w:rsidRPr="009E2ED0">
        <w:rPr>
          <w:rFonts w:ascii="Palatino Linotype" w:eastAsia="Times New Roman" w:hAnsi="Palatino Linotype" w:cs="Times New Roman"/>
          <w:sz w:val="24"/>
          <w:szCs w:val="24"/>
          <w:lang w:val="es-ES" w:eastAsia="es-ES"/>
        </w:rPr>
        <w:t>e</w:t>
      </w:r>
      <w:r w:rsidRPr="009E2ED0">
        <w:rPr>
          <w:rFonts w:ascii="Palatino Linotype" w:eastAsia="Times New Roman" w:hAnsi="Palatino Linotype" w:cs="Times New Roman"/>
          <w:sz w:val="24"/>
          <w:szCs w:val="24"/>
          <w:lang w:val="es-ES" w:eastAsia="es-ES"/>
        </w:rPr>
        <w:t>l Recurrente</w:t>
      </w:r>
      <w:r w:rsidRPr="00F86EDD">
        <w:rPr>
          <w:rFonts w:ascii="Palatino Linotype" w:eastAsia="Times New Roman" w:hAnsi="Palatino Linotype" w:cs="Times New Roman"/>
          <w:sz w:val="24"/>
          <w:szCs w:val="24"/>
          <w:lang w:val="es-ES" w:eastAsia="es-ES"/>
        </w:rPr>
        <w:t xml:space="preserve"> interpuso el recurso de r</w:t>
      </w:r>
      <w:r w:rsidR="009F225F">
        <w:rPr>
          <w:rFonts w:ascii="Palatino Linotype" w:eastAsia="Times New Roman" w:hAnsi="Palatino Linotype" w:cs="Times New Roman"/>
          <w:sz w:val="24"/>
          <w:szCs w:val="24"/>
          <w:lang w:val="es-ES" w:eastAsia="es-ES"/>
        </w:rPr>
        <w:t xml:space="preserve">evisión de mérito, únicamente señalando </w:t>
      </w:r>
      <w:r w:rsidRPr="00F86EDD">
        <w:rPr>
          <w:rFonts w:ascii="Palatino Linotype" w:eastAsia="Times New Roman" w:hAnsi="Palatino Linotype" w:cs="Times New Roman"/>
          <w:sz w:val="24"/>
          <w:szCs w:val="24"/>
          <w:lang w:val="es-ES" w:eastAsia="es-ES"/>
        </w:rPr>
        <w:t xml:space="preserve">como acto impugnado </w:t>
      </w:r>
      <w:r w:rsidR="009F225F">
        <w:rPr>
          <w:rFonts w:ascii="Palatino Linotype" w:eastAsia="Times New Roman" w:hAnsi="Palatino Linotype" w:cs="Times New Roman"/>
          <w:sz w:val="24"/>
          <w:szCs w:val="24"/>
          <w:lang w:val="es-ES" w:eastAsia="es-ES"/>
        </w:rPr>
        <w:t xml:space="preserve">la respuesta del Sujeto Obligado y el acuerdo de información reservada; dando como motivos de inconformidad, </w:t>
      </w:r>
      <w:r w:rsidR="009E2ED0">
        <w:rPr>
          <w:rFonts w:ascii="Palatino Linotype" w:eastAsia="Times New Roman" w:hAnsi="Palatino Linotype" w:cs="Times New Roman"/>
          <w:sz w:val="24"/>
          <w:szCs w:val="24"/>
          <w:lang w:val="es-ES" w:eastAsia="es-ES"/>
        </w:rPr>
        <w:t>sustancialmente,</w:t>
      </w:r>
      <w:r w:rsidR="009F225F">
        <w:rPr>
          <w:rFonts w:ascii="Palatino Linotype" w:eastAsia="Times New Roman" w:hAnsi="Palatino Linotype" w:cs="Times New Roman"/>
          <w:sz w:val="24"/>
          <w:szCs w:val="24"/>
          <w:lang w:val="es-ES" w:eastAsia="es-ES"/>
        </w:rPr>
        <w:t xml:space="preserve"> </w:t>
      </w:r>
      <w:r w:rsidR="009E2ED0">
        <w:rPr>
          <w:rFonts w:ascii="Palatino Linotype" w:eastAsia="Times New Roman" w:hAnsi="Palatino Linotype" w:cs="Times New Roman"/>
          <w:sz w:val="24"/>
          <w:szCs w:val="24"/>
          <w:lang w:val="es-ES" w:eastAsia="es-ES"/>
        </w:rPr>
        <w:t>que el análisis realizado por el Sujeto Obligado no es idóneo, por lo que el acuerdo debe ser revocado y ordenarse la entrega de la información solicitada.</w:t>
      </w:r>
    </w:p>
    <w:p w14:paraId="3A704196" w14:textId="77777777" w:rsidR="009F225F" w:rsidRDefault="009F225F" w:rsidP="004402F7">
      <w:pPr>
        <w:spacing w:after="0" w:line="360" w:lineRule="auto"/>
        <w:ind w:right="-3"/>
        <w:jc w:val="both"/>
        <w:rPr>
          <w:rFonts w:ascii="Palatino Linotype" w:eastAsia="Times New Roman" w:hAnsi="Palatino Linotype" w:cs="Times New Roman"/>
          <w:sz w:val="24"/>
          <w:szCs w:val="24"/>
          <w:lang w:val="es-ES" w:eastAsia="es-ES"/>
        </w:rPr>
      </w:pPr>
    </w:p>
    <w:p w14:paraId="4642BA8A" w14:textId="01801FF3" w:rsidR="00494F48" w:rsidRDefault="009F225F" w:rsidP="009F225F">
      <w:pPr>
        <w:tabs>
          <w:tab w:val="left" w:pos="709"/>
        </w:tabs>
        <w:spacing w:after="0" w:line="360" w:lineRule="auto"/>
        <w:ind w:right="-3"/>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Sin embargo, al momento de rendir el Informe Justificado, el Sujeto Obligado manifest</w:t>
      </w:r>
      <w:r w:rsidR="009E2ED0">
        <w:rPr>
          <w:rFonts w:ascii="Palatino Linotype" w:eastAsia="Times New Roman" w:hAnsi="Palatino Linotype" w:cs="Times New Roman"/>
          <w:sz w:val="24"/>
          <w:szCs w:val="24"/>
          <w:lang w:val="es-ES" w:eastAsia="es-ES"/>
        </w:rPr>
        <w:t xml:space="preserve">ó que, </w:t>
      </w:r>
      <w:r w:rsidR="009E2ED0" w:rsidRPr="009E2ED0">
        <w:rPr>
          <w:rFonts w:ascii="Palatino Linotype" w:eastAsia="Times New Roman" w:hAnsi="Palatino Linotype" w:cs="Times New Roman"/>
          <w:sz w:val="24"/>
          <w:szCs w:val="24"/>
          <w:lang w:eastAsia="es-ES"/>
        </w:rPr>
        <w:t>derivado de un error administrativo se generó una confusión con el número de contrato de obra pública solicitado, emitiendo un ac</w:t>
      </w:r>
      <w:bookmarkStart w:id="0" w:name="_GoBack"/>
      <w:bookmarkEnd w:id="0"/>
      <w:r w:rsidR="009E2ED0" w:rsidRPr="009E2ED0">
        <w:rPr>
          <w:rFonts w:ascii="Palatino Linotype" w:eastAsia="Times New Roman" w:hAnsi="Palatino Linotype" w:cs="Times New Roman"/>
          <w:sz w:val="24"/>
          <w:szCs w:val="24"/>
          <w:lang w:eastAsia="es-ES"/>
        </w:rPr>
        <w:t>uerdo de reserva por parte del Comité de Transparencia del ente recurrido sobre un número de Contrato Público que no se encuentra bajo audito</w:t>
      </w:r>
      <w:r w:rsidR="009E2ED0">
        <w:rPr>
          <w:rFonts w:ascii="Palatino Linotype" w:eastAsia="Times New Roman" w:hAnsi="Palatino Linotype" w:cs="Times New Roman"/>
          <w:sz w:val="24"/>
          <w:szCs w:val="24"/>
          <w:lang w:eastAsia="es-ES"/>
        </w:rPr>
        <w:t xml:space="preserve">ria por la autoridad competente, por lo que el expediente </w:t>
      </w:r>
      <w:r w:rsidR="00E36C2C">
        <w:rPr>
          <w:rFonts w:ascii="Palatino Linotype" w:eastAsia="Times New Roman" w:hAnsi="Palatino Linotype" w:cs="Times New Roman"/>
          <w:sz w:val="24"/>
          <w:szCs w:val="24"/>
          <w:lang w:eastAsia="es-ES"/>
        </w:rPr>
        <w:t xml:space="preserve">solicitado </w:t>
      </w:r>
      <w:r w:rsidR="00211602">
        <w:rPr>
          <w:rFonts w:ascii="Palatino Linotype" w:eastAsia="Times New Roman" w:hAnsi="Palatino Linotype" w:cs="Times New Roman"/>
          <w:sz w:val="24"/>
          <w:szCs w:val="24"/>
          <w:lang w:eastAsia="es-ES"/>
        </w:rPr>
        <w:t>se enco</w:t>
      </w:r>
      <w:r w:rsidR="00E36C2C">
        <w:rPr>
          <w:rFonts w:ascii="Palatino Linotype" w:eastAsia="Times New Roman" w:hAnsi="Palatino Linotype" w:cs="Times New Roman"/>
          <w:sz w:val="24"/>
          <w:szCs w:val="24"/>
          <w:lang w:eastAsia="es-ES"/>
        </w:rPr>
        <w:t>ntraba</w:t>
      </w:r>
      <w:r w:rsidR="009E2ED0" w:rsidRPr="009E2ED0">
        <w:rPr>
          <w:rFonts w:ascii="Palatino Linotype" w:eastAsia="Times New Roman" w:hAnsi="Palatino Linotype" w:cs="Times New Roman"/>
          <w:sz w:val="24"/>
          <w:szCs w:val="24"/>
          <w:lang w:eastAsia="es-ES"/>
        </w:rPr>
        <w:t xml:space="preserve"> disponible para efectuar el procedimiento de expedición de copias certificadas.</w:t>
      </w:r>
    </w:p>
    <w:p w14:paraId="7F90ED22" w14:textId="77777777" w:rsidR="009F225F" w:rsidRDefault="009F225F" w:rsidP="00E36C2C">
      <w:pPr>
        <w:tabs>
          <w:tab w:val="left" w:pos="709"/>
        </w:tabs>
        <w:spacing w:after="0" w:line="360" w:lineRule="auto"/>
        <w:ind w:right="-3"/>
        <w:jc w:val="both"/>
        <w:rPr>
          <w:rFonts w:ascii="Palatino Linotype" w:hAnsi="Palatino Linotype"/>
          <w:sz w:val="24"/>
          <w:szCs w:val="23"/>
          <w:lang w:val="es-ES"/>
        </w:rPr>
      </w:pPr>
    </w:p>
    <w:p w14:paraId="08FB11F5" w14:textId="28EC3463" w:rsidR="00494F48" w:rsidRDefault="004402F7" w:rsidP="00E36C2C">
      <w:pPr>
        <w:tabs>
          <w:tab w:val="left" w:pos="709"/>
        </w:tabs>
        <w:spacing w:after="0"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Así, del estudio al expediente ele</w:t>
      </w:r>
      <w:r w:rsidR="009E2ED0">
        <w:rPr>
          <w:rFonts w:ascii="Palatino Linotype" w:hAnsi="Palatino Linotype"/>
          <w:sz w:val="24"/>
          <w:szCs w:val="23"/>
          <w:lang w:val="es-ES"/>
        </w:rPr>
        <w:t>ctrónico, se</w:t>
      </w:r>
      <w:r w:rsidRPr="00F86EDD">
        <w:rPr>
          <w:rFonts w:ascii="Palatino Linotype" w:hAnsi="Palatino Linotype"/>
          <w:sz w:val="24"/>
          <w:szCs w:val="23"/>
          <w:lang w:val="es-ES"/>
        </w:rPr>
        <w:t xml:space="preserve"> determinó </w:t>
      </w:r>
      <w:r w:rsidR="00494F48">
        <w:rPr>
          <w:rFonts w:ascii="Palatino Linotype" w:hAnsi="Palatino Linotype"/>
          <w:b/>
          <w:sz w:val="24"/>
          <w:szCs w:val="23"/>
          <w:lang w:val="es-ES"/>
        </w:rPr>
        <w:t xml:space="preserve">MODIFICAR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en </w:t>
      </w:r>
      <w:r w:rsidR="00494F48">
        <w:rPr>
          <w:rFonts w:ascii="Palatino Linotype" w:hAnsi="Palatino Linotype"/>
          <w:b/>
          <w:sz w:val="24"/>
          <w:szCs w:val="23"/>
          <w:lang w:val="es-ES"/>
        </w:rPr>
        <w:t>c</w:t>
      </w:r>
      <w:r w:rsidR="00D040F5">
        <w:rPr>
          <w:rFonts w:ascii="Palatino Linotype" w:hAnsi="Palatino Linotype"/>
          <w:b/>
          <w:sz w:val="24"/>
          <w:szCs w:val="23"/>
          <w:lang w:val="es-ES"/>
        </w:rPr>
        <w:t>opias certificadas sin costo,</w:t>
      </w:r>
      <w:r w:rsidR="00D040F5">
        <w:rPr>
          <w:rFonts w:ascii="Palatino Linotype" w:hAnsi="Palatino Linotype"/>
          <w:sz w:val="24"/>
          <w:szCs w:val="23"/>
          <w:lang w:val="es-ES"/>
        </w:rPr>
        <w:t xml:space="preserve"> </w:t>
      </w:r>
      <w:r w:rsidR="00E86269">
        <w:rPr>
          <w:rFonts w:ascii="Palatino Linotype" w:hAnsi="Palatino Linotype"/>
          <w:sz w:val="24"/>
          <w:szCs w:val="23"/>
          <w:lang w:val="es-ES"/>
        </w:rPr>
        <w:t xml:space="preserve">en versión pública de ser procedente, </w:t>
      </w:r>
      <w:r w:rsidR="00403FFD">
        <w:rPr>
          <w:rFonts w:ascii="Palatino Linotype" w:hAnsi="Palatino Linotype"/>
          <w:sz w:val="24"/>
          <w:szCs w:val="23"/>
          <w:lang w:val="es-ES"/>
        </w:rPr>
        <w:t xml:space="preserve">de </w:t>
      </w:r>
      <w:r w:rsidR="00E36C2C">
        <w:rPr>
          <w:rFonts w:ascii="Palatino Linotype" w:hAnsi="Palatino Linotype"/>
          <w:sz w:val="24"/>
          <w:szCs w:val="23"/>
          <w:lang w:val="es-ES"/>
        </w:rPr>
        <w:t>lo siguiente:</w:t>
      </w:r>
    </w:p>
    <w:p w14:paraId="2D5B76E0" w14:textId="77777777" w:rsidR="00E36C2C" w:rsidRDefault="00E36C2C" w:rsidP="00E36C2C">
      <w:pPr>
        <w:tabs>
          <w:tab w:val="left" w:pos="709"/>
        </w:tabs>
        <w:spacing w:after="0" w:line="360" w:lineRule="auto"/>
        <w:ind w:right="-3"/>
        <w:jc w:val="both"/>
        <w:rPr>
          <w:rFonts w:ascii="Palatino Linotype" w:hAnsi="Palatino Linotype"/>
          <w:sz w:val="24"/>
          <w:szCs w:val="23"/>
          <w:lang w:val="es-ES"/>
        </w:rPr>
      </w:pPr>
    </w:p>
    <w:p w14:paraId="74AFCD35" w14:textId="340C6D7B" w:rsidR="009E2ED0" w:rsidRPr="009E2ED0" w:rsidRDefault="009E2ED0" w:rsidP="009E2ED0">
      <w:pPr>
        <w:pStyle w:val="Prrafodelista"/>
        <w:numPr>
          <w:ilvl w:val="0"/>
          <w:numId w:val="12"/>
        </w:numPr>
        <w:ind w:right="899"/>
        <w:jc w:val="both"/>
        <w:rPr>
          <w:rFonts w:ascii="Palatino Linotype" w:hAnsi="Palatino Linotype"/>
          <w:i/>
        </w:rPr>
      </w:pPr>
      <w:r w:rsidRPr="009E2ED0">
        <w:rPr>
          <w:rFonts w:ascii="Palatino Linotype" w:hAnsi="Palatino Linotype"/>
          <w:i/>
          <w:iCs/>
        </w:rPr>
        <w:t>Copias certificadas del contrato de obra pública número SAPASA/I3P/OB/PRODDER/RFYPP/05/19.</w:t>
      </w:r>
    </w:p>
    <w:p w14:paraId="176070AE" w14:textId="77777777" w:rsidR="009E2ED0" w:rsidRDefault="009E2ED0" w:rsidP="009E2ED0">
      <w:pPr>
        <w:spacing w:after="0"/>
        <w:ind w:left="850" w:right="899"/>
        <w:jc w:val="both"/>
        <w:rPr>
          <w:rFonts w:ascii="Palatino Linotype" w:hAnsi="Palatino Linotype"/>
          <w:i/>
        </w:rPr>
      </w:pPr>
    </w:p>
    <w:p w14:paraId="1911283D" w14:textId="1C7F75A3" w:rsidR="009E2ED0" w:rsidRDefault="009E2ED0" w:rsidP="009E2ED0">
      <w:pPr>
        <w:spacing w:after="0"/>
        <w:ind w:left="850" w:right="899"/>
        <w:jc w:val="both"/>
        <w:rPr>
          <w:rFonts w:ascii="Palatino Linotype" w:hAnsi="Palatino Linotype"/>
          <w:i/>
        </w:rPr>
      </w:pPr>
      <w:r w:rsidRPr="009E2ED0">
        <w:rPr>
          <w:rFonts w:ascii="Palatino Linotype" w:hAnsi="Palatino Linotype"/>
          <w:i/>
          <w:lang w:val="es-ES"/>
        </w:rPr>
        <w:t xml:space="preserve">A efecto de que </w:t>
      </w:r>
      <w:r w:rsidRPr="009E2ED0">
        <w:rPr>
          <w:rFonts w:ascii="Palatino Linotype" w:hAnsi="Palatino Linotype"/>
          <w:b/>
          <w:i/>
          <w:lang w:val="es-ES"/>
        </w:rPr>
        <w:t>EL SUJETO OBLIGADO</w:t>
      </w:r>
      <w:r w:rsidRPr="009E2ED0">
        <w:rPr>
          <w:rFonts w:ascii="Palatino Linotype" w:hAnsi="Palatino Linotype"/>
          <w:i/>
          <w:lang w:val="es-ES"/>
        </w:rPr>
        <w:t xml:space="preserve"> entregue las copias certificadas, deberá informar al </w:t>
      </w:r>
      <w:r w:rsidRPr="009E2ED0">
        <w:rPr>
          <w:rFonts w:ascii="Palatino Linotype" w:hAnsi="Palatino Linotype"/>
          <w:b/>
          <w:bCs/>
          <w:i/>
          <w:lang w:val="es-ES"/>
        </w:rPr>
        <w:t>RECURRENTE</w:t>
      </w:r>
      <w:r w:rsidRPr="009E2ED0">
        <w:rPr>
          <w:rFonts w:ascii="Palatino Linotype" w:hAnsi="Palatino Linotype"/>
          <w:i/>
          <w:lang w:val="es-ES"/>
        </w:rPr>
        <w:t xml:space="preserve">, mediante el Sistema de Acceso a la Información </w:t>
      </w:r>
      <w:r w:rsidRPr="009E2ED0">
        <w:rPr>
          <w:rFonts w:ascii="Palatino Linotype" w:hAnsi="Palatino Linotype"/>
          <w:i/>
          <w:lang w:val="es-ES"/>
        </w:rPr>
        <w:lastRenderedPageBreak/>
        <w:t>Mexiquense (SAIMEX), el procedimiento para indicar el lugar, día y horario, así como el nombre del servidor público que le hará entrega de las mismas.</w:t>
      </w:r>
    </w:p>
    <w:p w14:paraId="0347CF8A" w14:textId="77777777" w:rsidR="00494F48" w:rsidRPr="00494F48" w:rsidRDefault="00494F48" w:rsidP="009E2ED0">
      <w:pPr>
        <w:tabs>
          <w:tab w:val="left" w:pos="709"/>
        </w:tabs>
        <w:spacing w:after="0" w:line="360" w:lineRule="auto"/>
        <w:ind w:right="-3"/>
        <w:jc w:val="both"/>
        <w:rPr>
          <w:rFonts w:ascii="Palatino Linotype" w:hAnsi="Palatino Linotype"/>
          <w:sz w:val="24"/>
          <w:szCs w:val="23"/>
          <w:lang w:val="es-ES"/>
        </w:rPr>
      </w:pPr>
    </w:p>
    <w:p w14:paraId="49AD6CE7" w14:textId="63C94CC7" w:rsidR="00330955" w:rsidRDefault="00330955" w:rsidP="0033095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se debe ordenar la entrega de la información </w:t>
      </w:r>
      <w:r w:rsidRPr="00DC4B81">
        <w:rPr>
          <w:rFonts w:ascii="Palatino Linotype" w:hAnsi="Palatino Linotype"/>
          <w:lang w:val="es-ES"/>
        </w:rPr>
        <w:t xml:space="preserve">solicitada por </w:t>
      </w:r>
      <w:r w:rsidR="00F86EDD" w:rsidRPr="00DC4B81">
        <w:rPr>
          <w:rFonts w:ascii="Palatino Linotype" w:hAnsi="Palatino Linotype"/>
          <w:bCs/>
          <w:lang w:val="es-ES"/>
        </w:rPr>
        <w:t>la parte r</w:t>
      </w:r>
      <w:r w:rsidRPr="00DC4B81">
        <w:rPr>
          <w:rFonts w:ascii="Palatino Linotype" w:hAnsi="Palatino Linotype"/>
          <w:lang w:val="es-ES"/>
        </w:rPr>
        <w:t xml:space="preserve">ecurrente en </w:t>
      </w:r>
      <w:r w:rsidRPr="00F86EDD">
        <w:rPr>
          <w:rFonts w:ascii="Palatino Linotype" w:hAnsi="Palatino Linotype"/>
          <w:lang w:val="es-ES"/>
        </w:rPr>
        <w:t xml:space="preserve">la modalidad solicitada, </w:t>
      </w:r>
      <w:r w:rsidRPr="00F86EDD">
        <w:rPr>
          <w:rFonts w:ascii="Palatino Linotype" w:hAnsi="Palatino Linotype"/>
          <w:b/>
          <w:u w:val="single"/>
          <w:lang w:val="es-ES"/>
        </w:rPr>
        <w:t>esto es vía copias certificadas</w:t>
      </w:r>
      <w:r w:rsidRPr="00F86EDD">
        <w:rPr>
          <w:rFonts w:ascii="Palatino Linotype" w:hAnsi="Palatino Linotype"/>
          <w:lang w:val="es-ES"/>
        </w:rPr>
        <w:t xml:space="preserve">, éstas últimas tendrían que ser entregadas con costo conforme a las consideraciones que se exponen a continuación: </w:t>
      </w:r>
    </w:p>
    <w:p w14:paraId="3C934ECD" w14:textId="77777777" w:rsidR="00D040F5" w:rsidRPr="00F86EDD" w:rsidRDefault="00D040F5" w:rsidP="00330955">
      <w:pPr>
        <w:pStyle w:val="Sinespaciado"/>
        <w:spacing w:line="360" w:lineRule="auto"/>
        <w:jc w:val="both"/>
        <w:rPr>
          <w:rFonts w:ascii="Palatino Linotype" w:hAnsi="Palatino Linotype"/>
          <w:lang w:val="es-ES"/>
        </w:rPr>
      </w:pPr>
    </w:p>
    <w:p w14:paraId="07645F4C" w14:textId="77777777" w:rsidR="00E36C2C"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primer término, desde una perspectiva etimológica la  palabra certificar proviene del latín </w:t>
      </w:r>
      <w:r w:rsidRPr="00F86EDD">
        <w:rPr>
          <w:rFonts w:ascii="Palatino Linotype" w:hAnsi="Palatino Linotype"/>
          <w:b/>
          <w:i/>
          <w:sz w:val="24"/>
          <w:lang w:val="es-ES"/>
        </w:rPr>
        <w:t xml:space="preserve">certificare, </w:t>
      </w:r>
      <w:r w:rsidRPr="00F86EDD">
        <w:rPr>
          <w:rFonts w:ascii="Palatino Linotype" w:hAnsi="Palatino Linotype"/>
          <w:sz w:val="24"/>
          <w:lang w:val="es-ES"/>
        </w:rPr>
        <w:t xml:space="preserve">forma verbal de </w:t>
      </w:r>
      <w:r w:rsidRPr="00F86EDD">
        <w:rPr>
          <w:rFonts w:ascii="Palatino Linotype" w:hAnsi="Palatino Linotype"/>
          <w:b/>
          <w:i/>
          <w:sz w:val="24"/>
          <w:lang w:val="es-ES"/>
        </w:rPr>
        <w:t xml:space="preserve">certus </w:t>
      </w:r>
      <w:r w:rsidRPr="00F86EDD">
        <w:rPr>
          <w:rFonts w:ascii="Palatino Linotype" w:hAnsi="Palatino Linotype"/>
          <w:sz w:val="24"/>
          <w:lang w:val="es-ES"/>
        </w:rPr>
        <w:t xml:space="preserve">(cierto, decidido, resuelto, seguro, real) y </w:t>
      </w:r>
      <w:r w:rsidRPr="00F86EDD">
        <w:rPr>
          <w:rFonts w:ascii="Palatino Linotype" w:hAnsi="Palatino Linotype"/>
          <w:b/>
          <w:i/>
          <w:sz w:val="24"/>
          <w:lang w:val="es-ES"/>
        </w:rPr>
        <w:t xml:space="preserve">facere </w:t>
      </w:r>
      <w:r w:rsidRPr="00F86EDD">
        <w:rPr>
          <w:rFonts w:ascii="Palatino Linotype" w:hAnsi="Palatino Linotype"/>
          <w:sz w:val="24"/>
          <w:lang w:val="es-ES"/>
        </w:rPr>
        <w:t xml:space="preserve"> (hacer). Asimismo, la Real Academia Española la define como:</w:t>
      </w:r>
    </w:p>
    <w:p w14:paraId="1D37C5F8" w14:textId="51E3B05E" w:rsidR="00330955" w:rsidRPr="00F86EDD" w:rsidRDefault="00330955" w:rsidP="00330955">
      <w:pPr>
        <w:tabs>
          <w:tab w:val="left" w:pos="709"/>
        </w:tabs>
        <w:spacing w:after="0" w:line="360" w:lineRule="auto"/>
        <w:ind w:right="51"/>
        <w:jc w:val="both"/>
        <w:rPr>
          <w:rFonts w:ascii="Palatino Linotype" w:hAnsi="Palatino Linotype"/>
          <w:sz w:val="24"/>
          <w:lang w:val="es-ES"/>
        </w:rPr>
      </w:pPr>
    </w:p>
    <w:p w14:paraId="7ADB6D9F" w14:textId="77777777" w:rsidR="00330955" w:rsidRPr="00F86EDD" w:rsidRDefault="00330955" w:rsidP="00D040F5">
      <w:pPr>
        <w:pStyle w:val="Citas"/>
        <w:spacing w:before="0" w:after="0" w:line="240" w:lineRule="auto"/>
        <w:ind w:left="567" w:right="425"/>
        <w:rPr>
          <w:lang w:val="es-ES"/>
        </w:rPr>
      </w:pPr>
      <w:r w:rsidRPr="00F86EDD">
        <w:rPr>
          <w:lang w:val="es-ES"/>
        </w:rPr>
        <w:t xml:space="preserve">“1. Asegurar, afirmar, dar por cierto algo. </w:t>
      </w:r>
    </w:p>
    <w:p w14:paraId="4F096FA9" w14:textId="77777777" w:rsidR="00330955" w:rsidRPr="00F86EDD" w:rsidRDefault="00330955" w:rsidP="00D040F5">
      <w:pPr>
        <w:pStyle w:val="Citas"/>
        <w:spacing w:before="0" w:after="0" w:line="240" w:lineRule="auto"/>
        <w:ind w:left="567" w:right="425"/>
        <w:rPr>
          <w:lang w:val="es-ES"/>
        </w:rPr>
      </w:pPr>
      <w:r w:rsidRPr="00F86EDD">
        <w:rPr>
          <w:lang w:val="es-ES"/>
        </w:rPr>
        <w:t xml:space="preserve">2. Obtener, mediante pago, un certificado o resguardo por el cual el servicio de correos se obliga a hacer llegar a su destino una carta o un paquete que se ha de remitir por esa vía. </w:t>
      </w:r>
    </w:p>
    <w:p w14:paraId="380D8CD3" w14:textId="77777777" w:rsidR="00330955" w:rsidRPr="00F86EDD" w:rsidRDefault="00330955" w:rsidP="00D040F5">
      <w:pPr>
        <w:pStyle w:val="Citas"/>
        <w:spacing w:before="0" w:after="0" w:line="240" w:lineRule="auto"/>
        <w:ind w:left="567" w:right="425"/>
        <w:rPr>
          <w:lang w:val="es-ES"/>
        </w:rPr>
      </w:pPr>
      <w:r w:rsidRPr="00F86EDD">
        <w:rPr>
          <w:lang w:val="es-ES"/>
        </w:rPr>
        <w:t xml:space="preserve">3. Dicho de una autoridad competente: Hacer constar por escrito una realidad de hecho. </w:t>
      </w:r>
    </w:p>
    <w:p w14:paraId="7AE039BD" w14:textId="756E565B" w:rsidR="00330955" w:rsidRPr="00F86EDD" w:rsidRDefault="00330955" w:rsidP="00D040F5">
      <w:pPr>
        <w:pStyle w:val="Citas"/>
        <w:spacing w:before="0" w:after="0" w:line="240" w:lineRule="auto"/>
        <w:ind w:left="567" w:right="425"/>
        <w:rPr>
          <w:lang w:val="es-ES"/>
        </w:rPr>
      </w:pPr>
      <w:r w:rsidRPr="00F86EDD">
        <w:rPr>
          <w:lang w:val="es-ES"/>
        </w:rPr>
        <w:t xml:space="preserve">4. Fijar, señalar con certeza” </w:t>
      </w:r>
      <w:r w:rsidR="00E36C2C">
        <w:rPr>
          <w:lang w:val="es-ES"/>
        </w:rPr>
        <w:t>(Sic)</w:t>
      </w:r>
    </w:p>
    <w:p w14:paraId="0714059E" w14:textId="77777777" w:rsidR="00330955" w:rsidRPr="00F86EDD"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26283EEA" w14:textId="1DB0BB3D" w:rsidR="00330955"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sidRPr="00F86EDD">
        <w:rPr>
          <w:rFonts w:ascii="Palatino Linotype" w:hAnsi="Palatino Linotype" w:cs="Arial"/>
          <w:b/>
          <w:i/>
          <w:szCs w:val="22"/>
        </w:rPr>
        <w:t xml:space="preserve">certificación </w:t>
      </w:r>
      <w:r w:rsidR="00E36C2C">
        <w:rPr>
          <w:rFonts w:ascii="Palatino Linotype" w:hAnsi="Palatino Linotype" w:cs="Arial"/>
          <w:szCs w:val="22"/>
        </w:rPr>
        <w:t>en los siguientes términos:</w:t>
      </w:r>
    </w:p>
    <w:p w14:paraId="206A00E3" w14:textId="77777777" w:rsidR="00E36C2C" w:rsidRPr="00F86EDD" w:rsidRDefault="00E36C2C" w:rsidP="00330955">
      <w:pPr>
        <w:pStyle w:val="Prrafodelista"/>
        <w:autoSpaceDE w:val="0"/>
        <w:autoSpaceDN w:val="0"/>
        <w:adjustRightInd w:val="0"/>
        <w:spacing w:line="360" w:lineRule="auto"/>
        <w:ind w:left="0"/>
        <w:jc w:val="both"/>
        <w:rPr>
          <w:rFonts w:ascii="Palatino Linotype" w:hAnsi="Palatino Linotype" w:cs="Arial"/>
          <w:szCs w:val="22"/>
        </w:rPr>
      </w:pPr>
    </w:p>
    <w:p w14:paraId="02320EBA" w14:textId="3FF736F2" w:rsidR="00330955" w:rsidRPr="00D040F5" w:rsidRDefault="00330955" w:rsidP="00E36C2C">
      <w:pPr>
        <w:pStyle w:val="Citas"/>
        <w:spacing w:before="0" w:after="0" w:line="240" w:lineRule="auto"/>
      </w:pPr>
      <w:r w:rsidRPr="00D040F5">
        <w:t>“Acto jurídico por medio del cual un funcionario público, en el ejercicio de su cargo, da fe de la existencia de un hecho, acto o calidad personal de alguien, que le consta de manera indubitable, por razón de su oficio”</w:t>
      </w:r>
      <w:r w:rsidRPr="00E36C2C">
        <w:t xml:space="preserve"> </w:t>
      </w:r>
      <w:r w:rsidR="00E36C2C">
        <w:t>(Sic)</w:t>
      </w:r>
    </w:p>
    <w:p w14:paraId="556BB855" w14:textId="77777777" w:rsidR="00330955" w:rsidRPr="00F86EDD" w:rsidRDefault="00330955" w:rsidP="00FF10CB">
      <w:pPr>
        <w:spacing w:after="0" w:line="360" w:lineRule="auto"/>
        <w:jc w:val="both"/>
        <w:rPr>
          <w:rFonts w:ascii="Palatino Linotype" w:hAnsi="Palatino Linotype"/>
          <w:sz w:val="24"/>
          <w:szCs w:val="24"/>
          <w:lang w:val="es-ES"/>
        </w:rPr>
      </w:pPr>
    </w:p>
    <w:p w14:paraId="208B68A7"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1F3A9BF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p>
    <w:p w14:paraId="267F4A7F" w14:textId="77777777" w:rsidR="005E2445"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Una vez sentado lo anterior, resulta oportuno traer a colación el artículo 31, fracción IV, de la Constitución Política de los Estados Unidos Mexicanos cuyo contenido literal es el siguiente:</w:t>
      </w:r>
    </w:p>
    <w:p w14:paraId="200BE489" w14:textId="77777777" w:rsidR="00E36C2C" w:rsidRPr="00F86EDD" w:rsidRDefault="00E36C2C" w:rsidP="005E2445">
      <w:pPr>
        <w:tabs>
          <w:tab w:val="left" w:pos="709"/>
        </w:tabs>
        <w:spacing w:after="0" w:line="360" w:lineRule="auto"/>
        <w:ind w:right="51"/>
        <w:jc w:val="both"/>
        <w:rPr>
          <w:rFonts w:ascii="Palatino Linotype" w:hAnsi="Palatino Linotype"/>
          <w:sz w:val="24"/>
          <w:lang w:val="es-ES"/>
        </w:rPr>
      </w:pPr>
    </w:p>
    <w:p w14:paraId="7C59C133" w14:textId="77777777" w:rsidR="005E2445" w:rsidRPr="00F86EDD" w:rsidRDefault="005E2445" w:rsidP="00E36C2C">
      <w:pPr>
        <w:pStyle w:val="Citas"/>
        <w:spacing w:before="0" w:after="0" w:line="240" w:lineRule="auto"/>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E36C2C">
      <w:pPr>
        <w:pStyle w:val="Citas"/>
        <w:spacing w:before="0" w:after="0" w:line="240" w:lineRule="auto"/>
        <w:rPr>
          <w:lang w:val="es-ES"/>
        </w:rPr>
      </w:pPr>
      <w:r w:rsidRPr="00F86EDD">
        <w:rPr>
          <w:lang w:val="es-ES"/>
        </w:rPr>
        <w:t>(…)</w:t>
      </w:r>
    </w:p>
    <w:p w14:paraId="6757B048" w14:textId="77777777" w:rsidR="005E2445" w:rsidRPr="00F86EDD" w:rsidRDefault="005E2445" w:rsidP="00E36C2C">
      <w:pPr>
        <w:pStyle w:val="Citas"/>
        <w:spacing w:before="0" w:after="0" w:line="240" w:lineRule="auto"/>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5E1C5A96" w:rsidR="005E2445" w:rsidRPr="00BC3046" w:rsidRDefault="005E2445" w:rsidP="00BC3046">
      <w:pPr>
        <w:pStyle w:val="Citas"/>
        <w:spacing w:before="0" w:after="0" w:line="240" w:lineRule="auto"/>
        <w:rPr>
          <w:bCs/>
          <w:lang w:val="es-ES"/>
        </w:rPr>
      </w:pPr>
      <w:r w:rsidRPr="00F86EDD">
        <w:rPr>
          <w:lang w:val="es-ES"/>
        </w:rPr>
        <w:t xml:space="preserve">(…)” </w:t>
      </w:r>
      <w:r w:rsidR="00BC3046">
        <w:rPr>
          <w:bCs/>
          <w:lang w:val="es-ES"/>
        </w:rPr>
        <w:t>(Sic)</w:t>
      </w:r>
    </w:p>
    <w:p w14:paraId="7A42E683" w14:textId="77777777" w:rsidR="00D040F5" w:rsidRPr="00BC3046" w:rsidRDefault="00D040F5" w:rsidP="00BC3046">
      <w:pPr>
        <w:spacing w:after="0" w:line="360" w:lineRule="auto"/>
        <w:ind w:right="851"/>
        <w:jc w:val="both"/>
        <w:rPr>
          <w:rFonts w:ascii="Palatino Linotype" w:hAnsi="Palatino Linotype"/>
          <w:bCs/>
          <w:iCs/>
          <w:sz w:val="24"/>
          <w:szCs w:val="24"/>
          <w:lang w:val="es-ES"/>
        </w:rPr>
      </w:pPr>
    </w:p>
    <w:p w14:paraId="22D2A01E" w14:textId="77777777" w:rsidR="005E2445" w:rsidRPr="00F86EDD" w:rsidRDefault="005E2445" w:rsidP="005E2445">
      <w:pPr>
        <w:spacing w:after="0" w:line="360" w:lineRule="auto"/>
        <w:jc w:val="both"/>
        <w:rPr>
          <w:rFonts w:ascii="Palatino Linotype" w:hAnsi="Palatino Linotype"/>
          <w:sz w:val="24"/>
          <w:lang w:val="es-ES"/>
        </w:rPr>
      </w:pPr>
      <w:r w:rsidRPr="00F86EDD">
        <w:rPr>
          <w:rFonts w:ascii="Palatino Linotype" w:hAnsi="Palatino Linotype"/>
          <w:sz w:val="24"/>
          <w:lang w:val="es-ES"/>
        </w:rPr>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BC3046" w:rsidRDefault="005E2445" w:rsidP="005E2445">
      <w:pPr>
        <w:spacing w:after="0" w:line="360" w:lineRule="auto"/>
        <w:jc w:val="both"/>
        <w:rPr>
          <w:rFonts w:ascii="Palatino Linotype" w:hAnsi="Palatino Linotype"/>
          <w:sz w:val="24"/>
          <w:szCs w:val="24"/>
          <w:lang w:val="es-ES"/>
        </w:rPr>
      </w:pPr>
    </w:p>
    <w:p w14:paraId="36E9ABAB" w14:textId="77777777" w:rsidR="005E2445" w:rsidRPr="00BC3046" w:rsidRDefault="005E2445" w:rsidP="005E2445">
      <w:pPr>
        <w:pStyle w:val="Prrafodelista"/>
        <w:numPr>
          <w:ilvl w:val="0"/>
          <w:numId w:val="6"/>
        </w:numPr>
        <w:spacing w:line="360" w:lineRule="auto"/>
        <w:contextualSpacing w:val="0"/>
        <w:jc w:val="both"/>
        <w:rPr>
          <w:rFonts w:ascii="Palatino Linotype" w:hAnsi="Palatino Linotype"/>
        </w:rPr>
      </w:pPr>
      <w:r w:rsidRPr="00BC3046">
        <w:rPr>
          <w:rFonts w:ascii="Palatino Linotype" w:hAnsi="Palatino Linotype"/>
          <w:b/>
        </w:rPr>
        <w:t>Proporcionalidad:</w:t>
      </w:r>
      <w:r w:rsidRPr="00BC3046">
        <w:rPr>
          <w:rFonts w:ascii="Palatino Linotype" w:hAnsi="Palatino Linotype"/>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BC3046" w:rsidRDefault="005E2445" w:rsidP="005E2445">
      <w:pPr>
        <w:pStyle w:val="Prrafodelista"/>
        <w:numPr>
          <w:ilvl w:val="0"/>
          <w:numId w:val="6"/>
        </w:numPr>
        <w:spacing w:line="360" w:lineRule="auto"/>
        <w:contextualSpacing w:val="0"/>
        <w:jc w:val="both"/>
        <w:rPr>
          <w:rFonts w:ascii="Palatino Linotype" w:hAnsi="Palatino Linotype"/>
        </w:rPr>
      </w:pPr>
      <w:r w:rsidRPr="00BC3046">
        <w:rPr>
          <w:rFonts w:ascii="Palatino Linotype" w:hAnsi="Palatino Linotype"/>
        </w:rPr>
        <w:lastRenderedPageBreak/>
        <w:t xml:space="preserve"> </w:t>
      </w:r>
      <w:r w:rsidRPr="00BC3046">
        <w:rPr>
          <w:rFonts w:ascii="Palatino Linotype" w:hAnsi="Palatino Linotype"/>
          <w:b/>
        </w:rPr>
        <w:t>Equidad:</w:t>
      </w:r>
      <w:r w:rsidRPr="00BC3046">
        <w:rPr>
          <w:rFonts w:ascii="Palatino Linotype" w:hAnsi="Palatino Linotype"/>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BC3046" w:rsidRDefault="005E2445" w:rsidP="005E2445">
      <w:pPr>
        <w:pStyle w:val="Prrafodelista"/>
        <w:numPr>
          <w:ilvl w:val="0"/>
          <w:numId w:val="6"/>
        </w:numPr>
        <w:spacing w:line="360" w:lineRule="auto"/>
        <w:contextualSpacing w:val="0"/>
        <w:jc w:val="both"/>
        <w:rPr>
          <w:rFonts w:ascii="Palatino Linotype" w:hAnsi="Palatino Linotype"/>
        </w:rPr>
      </w:pPr>
      <w:r w:rsidRPr="00BC3046">
        <w:rPr>
          <w:rFonts w:ascii="Palatino Linotype" w:hAnsi="Palatino Linotype"/>
          <w:b/>
        </w:rPr>
        <w:t xml:space="preserve"> Destino:</w:t>
      </w:r>
      <w:r w:rsidRPr="00BC3046">
        <w:rPr>
          <w:rFonts w:ascii="Palatino Linotype" w:hAnsi="Palatino Linotype"/>
        </w:rPr>
        <w:t xml:space="preserve"> Para el sostenimiento de los gastos públicos. </w:t>
      </w:r>
    </w:p>
    <w:p w14:paraId="12DC02F3" w14:textId="77777777" w:rsidR="005E2445" w:rsidRPr="00BC3046" w:rsidRDefault="005E2445" w:rsidP="005E2445">
      <w:pPr>
        <w:pStyle w:val="Prrafodelista"/>
        <w:numPr>
          <w:ilvl w:val="0"/>
          <w:numId w:val="6"/>
        </w:numPr>
        <w:spacing w:line="360" w:lineRule="auto"/>
        <w:contextualSpacing w:val="0"/>
        <w:jc w:val="both"/>
        <w:rPr>
          <w:rFonts w:ascii="Palatino Linotype" w:hAnsi="Palatino Linotype"/>
        </w:rPr>
      </w:pPr>
      <w:r w:rsidRPr="00BC3046">
        <w:rPr>
          <w:rFonts w:ascii="Palatino Linotype" w:hAnsi="Palatino Linotype"/>
          <w:b/>
        </w:rPr>
        <w:t xml:space="preserve"> Legalidad:</w:t>
      </w:r>
      <w:r w:rsidRPr="00BC3046">
        <w:rPr>
          <w:rFonts w:ascii="Palatino Linotype" w:hAnsi="Palatino Linotype"/>
        </w:rPr>
        <w:t xml:space="preserve"> La contribución invariablemente debe de estar prevista en ley. </w:t>
      </w:r>
    </w:p>
    <w:p w14:paraId="1D69E039" w14:textId="77777777" w:rsidR="005E2445" w:rsidRPr="00BC3046" w:rsidRDefault="005E2445" w:rsidP="005E2445">
      <w:pPr>
        <w:pStyle w:val="Prrafodelista"/>
        <w:numPr>
          <w:ilvl w:val="0"/>
          <w:numId w:val="6"/>
        </w:numPr>
        <w:spacing w:line="360" w:lineRule="auto"/>
        <w:contextualSpacing w:val="0"/>
        <w:jc w:val="both"/>
        <w:rPr>
          <w:rFonts w:ascii="Palatino Linotype" w:hAnsi="Palatino Linotype"/>
        </w:rPr>
      </w:pPr>
      <w:r w:rsidRPr="00BC3046">
        <w:rPr>
          <w:rFonts w:ascii="Palatino Linotype" w:hAnsi="Palatino Linotype"/>
          <w:b/>
        </w:rPr>
        <w:t xml:space="preserve"> Época de pago:</w:t>
      </w:r>
      <w:r w:rsidRPr="00BC3046">
        <w:rPr>
          <w:rFonts w:ascii="Palatino Linotype" w:hAnsi="Palatino Linotype"/>
        </w:rPr>
        <w:t xml:space="preserve"> Conforme a lo establecido en la normatividad aplicable. </w:t>
      </w:r>
    </w:p>
    <w:p w14:paraId="01CBAA2D" w14:textId="77777777" w:rsidR="005E2445" w:rsidRPr="00BC3046" w:rsidRDefault="005E2445" w:rsidP="005E2445">
      <w:pPr>
        <w:pStyle w:val="Sinespaciado"/>
        <w:spacing w:line="360" w:lineRule="auto"/>
        <w:jc w:val="both"/>
        <w:rPr>
          <w:rFonts w:ascii="Palatino Linotype" w:hAnsi="Palatino Linotype"/>
          <w:lang w:val="es-ES"/>
        </w:rPr>
      </w:pPr>
    </w:p>
    <w:p w14:paraId="7D4C2E0D" w14:textId="77777777" w:rsidR="005E2445" w:rsidRPr="00F86EDD" w:rsidRDefault="005E2445" w:rsidP="005E244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estatal y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así como lo conducente a la transparencia y difusión de la información financiera relativa a la presupuestario, ejercicio, evaluación y rendición de cuentas, en apego a las disposiciones aplicables en la materia.</w:t>
      </w:r>
    </w:p>
    <w:p w14:paraId="6E8FA148" w14:textId="77777777" w:rsidR="005E2445" w:rsidRPr="00F86EDD" w:rsidRDefault="005E2445" w:rsidP="005E2445">
      <w:pPr>
        <w:pStyle w:val="Sinespaciado"/>
        <w:spacing w:line="360" w:lineRule="auto"/>
        <w:jc w:val="both"/>
        <w:rPr>
          <w:rFonts w:ascii="Palatino Linotype" w:hAnsi="Palatino Linotype"/>
          <w:lang w:val="es-ES"/>
        </w:rPr>
      </w:pPr>
    </w:p>
    <w:p w14:paraId="172B41F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005797DB" w14:textId="77777777" w:rsidR="005E2445" w:rsidRPr="00F86EDD" w:rsidRDefault="005E2445" w:rsidP="005E2445">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 xml:space="preserve">el artículo 9, en su fracción II, define a los derechos como las contraprestaciones establecidos en este Código que deben pagar las personas </w:t>
      </w:r>
      <w:r w:rsidRPr="00F86EDD">
        <w:rPr>
          <w:rFonts w:ascii="Palatino Linotype" w:hAnsi="Palatino Linotype"/>
          <w:b/>
          <w:u w:val="single"/>
          <w:lang w:val="es-ES"/>
        </w:rPr>
        <w:lastRenderedPageBreak/>
        <w:t>físicas y jurídicas colectivas</w:t>
      </w:r>
      <w:r w:rsidRPr="00F86EDD">
        <w:rPr>
          <w:rFonts w:ascii="Palatino Linotype" w:hAnsi="Palatino Linotype"/>
          <w:lang w:val="es-ES"/>
        </w:rPr>
        <w:t xml:space="preserve">, por el uso o aprovechamiento de los bienes del domino 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3B695BD7"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FA253AB" w14:textId="3C862E9E" w:rsidR="00E86269" w:rsidRPr="00297AF5" w:rsidRDefault="005E2445" w:rsidP="004402F7">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w:t>
      </w:r>
      <w:r w:rsidRPr="00F34543">
        <w:rPr>
          <w:rFonts w:ascii="Palatino Linotype" w:hAnsi="Palatino Linotype"/>
          <w:sz w:val="24"/>
          <w:szCs w:val="24"/>
          <w:lang w:val="es-ES"/>
        </w:rPr>
        <w:t xml:space="preserve">por </w:t>
      </w:r>
      <w:r w:rsidR="00F86EDD" w:rsidRPr="00F34543">
        <w:rPr>
          <w:rFonts w:ascii="Palatino Linotype" w:hAnsi="Palatino Linotype"/>
          <w:sz w:val="24"/>
          <w:szCs w:val="24"/>
          <w:lang w:val="es-ES"/>
        </w:rPr>
        <w:t>la parte</w:t>
      </w:r>
      <w:r w:rsidRPr="00F34543">
        <w:rPr>
          <w:rFonts w:ascii="Palatino Linotype" w:hAnsi="Palatino Linotype"/>
          <w:sz w:val="24"/>
          <w:szCs w:val="24"/>
          <w:lang w:val="es-ES"/>
        </w:rPr>
        <w:t xml:space="preserve"> </w:t>
      </w:r>
      <w:r w:rsidR="00F86EDD" w:rsidRPr="00F34543">
        <w:rPr>
          <w:rFonts w:ascii="Palatino Linotype" w:hAnsi="Palatino Linotype"/>
          <w:sz w:val="24"/>
          <w:szCs w:val="24"/>
          <w:lang w:val="es-ES"/>
        </w:rPr>
        <w:t>r</w:t>
      </w:r>
      <w:r w:rsidRPr="00F34543">
        <w:rPr>
          <w:rFonts w:ascii="Palatino Linotype" w:hAnsi="Palatino Linotype"/>
          <w:sz w:val="24"/>
          <w:szCs w:val="24"/>
          <w:lang w:val="es-ES"/>
        </w:rPr>
        <w:t xml:space="preserve">ecurrente se encuentra regulada por el Código Financiero del Estado de México y Municipios en su artículo </w:t>
      </w:r>
      <w:r w:rsidR="00297AF5" w:rsidRPr="00F34543">
        <w:rPr>
          <w:rFonts w:ascii="Palatino Linotype" w:hAnsi="Palatino Linotype"/>
          <w:sz w:val="24"/>
          <w:szCs w:val="24"/>
          <w:lang w:val="es-ES"/>
        </w:rPr>
        <w:t>148, fracción II, aplicable al Sujeto Obligado al estar incluido en el Títul</w:t>
      </w:r>
      <w:r w:rsidR="00297AF5">
        <w:rPr>
          <w:rFonts w:ascii="Palatino Linotype" w:hAnsi="Palatino Linotype"/>
          <w:sz w:val="24"/>
          <w:szCs w:val="24"/>
          <w:lang w:val="es-ES"/>
        </w:rPr>
        <w:t xml:space="preserve">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2F247F97" w14:textId="7108F558" w:rsidR="005E2445" w:rsidRPr="00F86EDD" w:rsidRDefault="00297AF5" w:rsidP="00D040F5">
      <w:pPr>
        <w:pStyle w:val="Citas"/>
        <w:spacing w:line="240" w:lineRule="auto"/>
      </w:pPr>
      <w:r>
        <w:rPr>
          <w:b/>
        </w:rPr>
        <w:t>“Artículo 148</w:t>
      </w:r>
      <w:r w:rsidR="005E2445" w:rsidRPr="00F86EDD">
        <w:rPr>
          <w:b/>
        </w:rPr>
        <w:t xml:space="preserve">.- </w:t>
      </w:r>
      <w:r w:rsidR="005E2445" w:rsidRPr="00F86EDD">
        <w:t xml:space="preserve">Por la expedición </w:t>
      </w:r>
      <w:r>
        <w:t xml:space="preserve">de documentos solicitados en el ejercicio del derecho de acceso a la información pública, se pagarán los derechos conforme a lo siguiente: </w:t>
      </w:r>
    </w:p>
    <w:p w14:paraId="263FA364" w14:textId="17D82E8D" w:rsidR="005E2445" w:rsidRPr="00CF4DE8" w:rsidRDefault="005E2445" w:rsidP="00CF4DE8">
      <w:pPr>
        <w:pStyle w:val="Citas"/>
        <w:spacing w:line="240" w:lineRule="auto"/>
        <w:jc w:val="center"/>
        <w:rPr>
          <w:b/>
        </w:rPr>
      </w:pPr>
      <w:r w:rsidRPr="00CF4DE8">
        <w:rPr>
          <w:b/>
        </w:rPr>
        <w:t>TARIFA</w:t>
      </w:r>
    </w:p>
    <w:p w14:paraId="51527A77" w14:textId="5B7E9D0E" w:rsidR="00CF4DE8" w:rsidRDefault="00CF4DE8" w:rsidP="00D040F5">
      <w:pPr>
        <w:pStyle w:val="Citas"/>
        <w:spacing w:line="240" w:lineRule="auto"/>
        <w:rPr>
          <w:b/>
        </w:rPr>
      </w:pPr>
      <w:r>
        <w:rPr>
          <w:b/>
          <w:noProof/>
          <w:lang w:eastAsia="es-MX"/>
        </w:rPr>
        <mc:AlternateContent>
          <mc:Choice Requires="wps">
            <w:drawing>
              <wp:anchor distT="0" distB="0" distL="114300" distR="114300" simplePos="0" relativeHeight="251660288" behindDoc="0" locked="0" layoutInCell="1" allowOverlap="1" wp14:anchorId="5A31C484" wp14:editId="749ED154">
                <wp:simplePos x="0" y="0"/>
                <wp:positionH relativeFrom="column">
                  <wp:posOffset>2803525</wp:posOffset>
                </wp:positionH>
                <wp:positionV relativeFrom="paragraph">
                  <wp:posOffset>259715</wp:posOffset>
                </wp:positionV>
                <wp:extent cx="2457450" cy="927100"/>
                <wp:effectExtent l="0" t="0" r="0" b="6350"/>
                <wp:wrapNone/>
                <wp:docPr id="5" name="Cuadro de texto 5"/>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7CB14" w14:textId="441848E0" w:rsidR="00CF4DE8" w:rsidRPr="00CF4DE8" w:rsidRDefault="00CF4DE8" w:rsidP="00CF4DE8">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1C484" id="_x0000_t202" coordsize="21600,21600" o:spt="202" path="m,l,21600r21600,l21600,xe">
                <v:stroke joinstyle="miter"/>
                <v:path gradientshapeok="t" o:connecttype="rect"/>
              </v:shapetype>
              <v:shape id="Cuadro de texto 5" o:spid="_x0000_s1026" type="#_x0000_t202" style="position:absolute;left:0;text-align:left;margin-left:220.75pt;margin-top:20.45pt;width:193.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" filled="f" stroked="f" strokeweight=".5pt">
                <v:textbox>
                  <w:txbxContent>
                    <w:p w14:paraId="1D27CB14" w14:textId="441848E0" w:rsidR="00CF4DE8" w:rsidRPr="00CF4DE8" w:rsidRDefault="00CF4DE8" w:rsidP="00CF4DE8">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64311200" w14:textId="77777777" w:rsidR="00CF4DE8" w:rsidRDefault="00CF4DE8" w:rsidP="00D040F5">
      <w:pPr>
        <w:pStyle w:val="Citas"/>
        <w:spacing w:line="240" w:lineRule="auto"/>
        <w:rPr>
          <w:b/>
        </w:rPr>
      </w:pPr>
    </w:p>
    <w:p w14:paraId="5F235BCE" w14:textId="4234CB7B" w:rsidR="00297AF5" w:rsidRDefault="005E2445" w:rsidP="00D040F5">
      <w:pPr>
        <w:pStyle w:val="Citas"/>
        <w:spacing w:line="240" w:lineRule="auto"/>
        <w:rPr>
          <w:b/>
        </w:rPr>
      </w:pPr>
      <w:r w:rsidRPr="00F86EDD">
        <w:rPr>
          <w:b/>
        </w:rPr>
        <w:t xml:space="preserve">Concepto           </w:t>
      </w:r>
      <w:r w:rsidR="00297AF5">
        <w:rPr>
          <w:b/>
        </w:rPr>
        <w:tab/>
      </w:r>
      <w:r w:rsidR="00297AF5">
        <w:rPr>
          <w:b/>
        </w:rPr>
        <w:tab/>
      </w:r>
      <w:r w:rsidR="00297AF5">
        <w:rPr>
          <w:b/>
        </w:rPr>
        <w:tab/>
      </w:r>
      <w:r w:rsidR="00297AF5">
        <w:rPr>
          <w:b/>
        </w:rPr>
        <w:tab/>
      </w:r>
      <w:r w:rsidR="00297AF5">
        <w:rPr>
          <w:b/>
        </w:rPr>
        <w:tab/>
        <w:t xml:space="preserve"> </w:t>
      </w:r>
    </w:p>
    <w:p w14:paraId="33E93753" w14:textId="762F1520" w:rsidR="005E2445" w:rsidRPr="00F86EDD" w:rsidRDefault="00297AF5" w:rsidP="00D040F5">
      <w:pPr>
        <w:pStyle w:val="Citas"/>
        <w:spacing w:line="240" w:lineRule="auto"/>
      </w:pPr>
      <w:r>
        <w:t>(…)</w:t>
      </w:r>
      <w:r w:rsidR="005E2445" w:rsidRPr="00F86EDD">
        <w:rPr>
          <w:b/>
        </w:rPr>
        <w:t xml:space="preserve">                                          </w:t>
      </w:r>
    </w:p>
    <w:p w14:paraId="14FC2F91" w14:textId="6BE22E9E" w:rsidR="005E2445" w:rsidRPr="00F86EDD" w:rsidRDefault="005E2445" w:rsidP="00D040F5">
      <w:pPr>
        <w:pStyle w:val="Citas"/>
        <w:spacing w:line="240" w:lineRule="auto"/>
      </w:pPr>
      <w:r w:rsidRPr="00F86EDD">
        <w:t>I</w:t>
      </w:r>
      <w:r w:rsidR="00297AF5">
        <w:t>I</w:t>
      </w:r>
      <w:r w:rsidRPr="00F86EDD">
        <w:t>. Por la expedición de copias certificadas:</w:t>
      </w:r>
    </w:p>
    <w:p w14:paraId="29B97AEF" w14:textId="7691108E" w:rsidR="005E2445" w:rsidRPr="00F86EDD" w:rsidRDefault="005E2445" w:rsidP="00D040F5">
      <w:pPr>
        <w:pStyle w:val="Citas"/>
        <w:spacing w:line="240" w:lineRule="auto"/>
        <w:rPr>
          <w:b/>
        </w:rPr>
      </w:pPr>
      <w:r w:rsidRPr="00F86EDD">
        <w:rPr>
          <w:b/>
        </w:rPr>
        <w:t xml:space="preserve">A). Por la primera hoja.                                                  </w:t>
      </w:r>
      <w:r w:rsidR="00297AF5">
        <w:rPr>
          <w:b/>
        </w:rPr>
        <w:t>0.850</w:t>
      </w:r>
    </w:p>
    <w:p w14:paraId="4BADF193" w14:textId="50778E3C" w:rsidR="005E2445" w:rsidRPr="00F86EDD" w:rsidRDefault="005E2445" w:rsidP="00D040F5">
      <w:pPr>
        <w:pStyle w:val="Citas"/>
        <w:spacing w:line="240" w:lineRule="auto"/>
      </w:pPr>
      <w:r w:rsidRPr="00F86EDD">
        <w:rPr>
          <w:b/>
        </w:rPr>
        <w:t xml:space="preserve">B). Por cada hoja subsecuente.                                      </w:t>
      </w:r>
      <w:r w:rsidR="00297AF5">
        <w:rPr>
          <w:b/>
        </w:rPr>
        <w:t>0.417</w:t>
      </w:r>
    </w:p>
    <w:p w14:paraId="6B196A91" w14:textId="4022771E" w:rsidR="005E2445" w:rsidRPr="00CF4DE8" w:rsidRDefault="005E2445" w:rsidP="00D040F5">
      <w:pPr>
        <w:pStyle w:val="Citas"/>
        <w:spacing w:line="240" w:lineRule="auto"/>
        <w:rPr>
          <w:b/>
        </w:rPr>
      </w:pPr>
      <w:r w:rsidRPr="00F86EDD">
        <w:lastRenderedPageBreak/>
        <w:t xml:space="preserve">(…)” </w:t>
      </w:r>
      <w:r w:rsidR="00BC3046">
        <w:t>(Sic)</w:t>
      </w:r>
      <w:r w:rsidR="00CF4DE8">
        <w:rPr>
          <w:b/>
        </w:rPr>
        <w:t xml:space="preserve"> </w:t>
      </w:r>
    </w:p>
    <w:p w14:paraId="491A3888" w14:textId="77777777" w:rsidR="005E2445" w:rsidRPr="00F86EDD" w:rsidRDefault="005E2445" w:rsidP="005E2445">
      <w:pPr>
        <w:pStyle w:val="Prrafodelista"/>
        <w:spacing w:line="360" w:lineRule="auto"/>
        <w:ind w:left="1418" w:right="564"/>
        <w:rPr>
          <w:rFonts w:ascii="Palatino Linotype" w:hAnsi="Palatino Linotype"/>
          <w:b/>
          <w:i/>
          <w:sz w:val="22"/>
          <w:szCs w:val="22"/>
        </w:rPr>
      </w:pPr>
    </w:p>
    <w:p w14:paraId="0DF79CFD" w14:textId="54E4717E"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Así, se tiene que el cobro por copias certi</w:t>
      </w:r>
      <w:r w:rsidR="00E34CA6">
        <w:rPr>
          <w:rFonts w:ascii="Palatino Linotype" w:hAnsi="Palatino Linotype"/>
          <w:lang w:val="es-ES"/>
        </w:rPr>
        <w:t>ficadas es un derecho que cobra</w:t>
      </w:r>
      <w:r w:rsidRPr="00F86EDD">
        <w:rPr>
          <w:rFonts w:ascii="Palatino Linotype" w:hAnsi="Palatino Linotype"/>
          <w:lang w:val="es-ES"/>
        </w:rPr>
        <w:t xml:space="preserve">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del solicitante a realizar el pa</w:t>
      </w:r>
      <w:r w:rsidR="00CF4DE8">
        <w:rPr>
          <w:rFonts w:ascii="Palatino Linotype" w:hAnsi="Palatino Linotype"/>
          <w:lang w:val="es-ES"/>
        </w:rPr>
        <w:t>go establecido en el artículo 148</w:t>
      </w:r>
      <w:r w:rsidRPr="00F86EDD">
        <w:rPr>
          <w:rFonts w:ascii="Palatino Linotype" w:hAnsi="Palatino Linotype"/>
          <w:lang w:val="es-ES"/>
        </w:rPr>
        <w:t>, del multicitado Código Financiero.</w:t>
      </w:r>
    </w:p>
    <w:p w14:paraId="6F4E58BE"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BAF7220" w14:textId="77777777" w:rsidR="005E2445" w:rsidRDefault="005E2445" w:rsidP="005E2445">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0EC77556" w14:textId="77777777" w:rsidR="00BC3046" w:rsidRPr="00F86EDD" w:rsidRDefault="00BC3046" w:rsidP="005E2445">
      <w:pPr>
        <w:spacing w:after="0" w:line="360" w:lineRule="auto"/>
        <w:contextualSpacing/>
        <w:jc w:val="both"/>
        <w:rPr>
          <w:rFonts w:ascii="Palatino Linotype" w:hAnsi="Palatino Linotype"/>
          <w:sz w:val="24"/>
          <w:szCs w:val="24"/>
          <w:lang w:val="es-ES"/>
        </w:rPr>
      </w:pPr>
    </w:p>
    <w:p w14:paraId="70C21BF8" w14:textId="77777777" w:rsidR="005E2445" w:rsidRPr="00F86EDD" w:rsidRDefault="005E2445" w:rsidP="00BC3046">
      <w:pPr>
        <w:pStyle w:val="Citas"/>
        <w:spacing w:before="0" w:after="0" w:line="240" w:lineRule="auto"/>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BC3046">
      <w:pPr>
        <w:pStyle w:val="Citas"/>
        <w:spacing w:before="0" w:after="0" w:line="240" w:lineRule="auto"/>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BC3046">
      <w:pPr>
        <w:pStyle w:val="Citas"/>
        <w:spacing w:before="0" w:after="0" w:line="240" w:lineRule="auto"/>
        <w:rPr>
          <w:rFonts w:eastAsia="Times New Roman"/>
          <w:color w:val="000000" w:themeColor="text1"/>
          <w:lang w:val="es-ES"/>
        </w:rPr>
      </w:pPr>
      <w:r w:rsidRPr="00F86EDD">
        <w:rPr>
          <w:rFonts w:eastAsia="Times New Roman"/>
          <w:color w:val="000000" w:themeColor="text1"/>
          <w:lang w:val="es-ES"/>
        </w:rPr>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Default="005E2445" w:rsidP="00BC3046">
      <w:pPr>
        <w:pStyle w:val="Citas"/>
        <w:spacing w:before="0" w:after="0" w:line="240" w:lineRule="auto"/>
        <w:rPr>
          <w:rFonts w:eastAsia="Times New Roman"/>
          <w:color w:val="000000" w:themeColor="text1"/>
          <w:lang w:val="es-ES"/>
        </w:rPr>
      </w:pPr>
      <w:r w:rsidRPr="00F86EDD">
        <w:rPr>
          <w:rFonts w:eastAsia="Times New Roman"/>
          <w:color w:val="000000" w:themeColor="text1"/>
          <w:lang w:val="es-ES"/>
        </w:rPr>
        <w:t>(…)</w:t>
      </w:r>
    </w:p>
    <w:p w14:paraId="77DE5DE7" w14:textId="77777777" w:rsidR="00BC3046" w:rsidRPr="00F86EDD" w:rsidRDefault="00BC3046" w:rsidP="00BC3046">
      <w:pPr>
        <w:pStyle w:val="Citas"/>
        <w:spacing w:before="0" w:after="0" w:line="240" w:lineRule="auto"/>
        <w:rPr>
          <w:rFonts w:eastAsia="Times New Roman"/>
          <w:color w:val="000000" w:themeColor="text1"/>
          <w:lang w:val="es-ES"/>
        </w:rPr>
      </w:pPr>
    </w:p>
    <w:p w14:paraId="02BBE590" w14:textId="77777777" w:rsidR="005E2445" w:rsidRDefault="005E2445" w:rsidP="00BC3046">
      <w:pPr>
        <w:pStyle w:val="Citas"/>
        <w:spacing w:before="0" w:after="0" w:line="240" w:lineRule="auto"/>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28C56014" w14:textId="77777777" w:rsidR="00BC3046" w:rsidRPr="00F86EDD" w:rsidRDefault="00BC3046" w:rsidP="00BC3046">
      <w:pPr>
        <w:pStyle w:val="Citas"/>
        <w:spacing w:before="0" w:after="0" w:line="240" w:lineRule="auto"/>
        <w:rPr>
          <w:rFonts w:eastAsia="Times New Roman"/>
          <w:b/>
          <w:bCs/>
          <w:color w:val="000000" w:themeColor="text1"/>
          <w:lang w:val="es-ES"/>
        </w:rPr>
      </w:pPr>
    </w:p>
    <w:p w14:paraId="481F33C5" w14:textId="77777777" w:rsidR="005E2445" w:rsidRDefault="005E2445" w:rsidP="00BC3046">
      <w:pPr>
        <w:pStyle w:val="Citas"/>
        <w:spacing w:before="0" w:after="0" w:line="240" w:lineRule="auto"/>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5F75873A" w14:textId="77777777" w:rsidR="00F34543" w:rsidRPr="00F86EDD" w:rsidRDefault="00F34543" w:rsidP="00BC3046">
      <w:pPr>
        <w:pStyle w:val="Citas"/>
        <w:spacing w:before="0" w:after="0" w:line="240" w:lineRule="auto"/>
        <w:rPr>
          <w:rFonts w:eastAsia="Times New Roman" w:cs="Times New Roman"/>
          <w:lang w:val="es-ES" w:eastAsia="es-ES"/>
        </w:rPr>
      </w:pPr>
    </w:p>
    <w:p w14:paraId="794DFA9F" w14:textId="77777777" w:rsidR="005E2445" w:rsidRPr="00F86EDD" w:rsidRDefault="005E2445" w:rsidP="00BC3046">
      <w:pPr>
        <w:pStyle w:val="Citas"/>
        <w:numPr>
          <w:ilvl w:val="0"/>
          <w:numId w:val="13"/>
        </w:numPr>
        <w:spacing w:before="0" w:after="0" w:line="240" w:lineRule="auto"/>
        <w:rPr>
          <w:rFonts w:eastAsia="Times New Roman"/>
          <w:bCs/>
        </w:rPr>
      </w:pPr>
      <w:r w:rsidRPr="00F86EDD">
        <w:rPr>
          <w:rFonts w:eastAsia="Times New Roman"/>
          <w:bCs/>
        </w:rPr>
        <w:t>El costo de los materiales utilizados en la reproducción de la información</w:t>
      </w:r>
    </w:p>
    <w:p w14:paraId="3F94B10E" w14:textId="7E9904EE" w:rsidR="005E2445" w:rsidRPr="00F86EDD" w:rsidRDefault="005E2445" w:rsidP="00BC3046">
      <w:pPr>
        <w:pStyle w:val="Citas"/>
        <w:numPr>
          <w:ilvl w:val="0"/>
          <w:numId w:val="13"/>
        </w:numPr>
        <w:spacing w:before="0" w:after="0" w:line="240" w:lineRule="auto"/>
        <w:rPr>
          <w:rFonts w:eastAsia="Times New Roman"/>
          <w:b/>
          <w:bCs/>
          <w:u w:val="single"/>
        </w:rPr>
      </w:pPr>
      <w:r w:rsidRPr="00F86EDD">
        <w:rPr>
          <w:rFonts w:eastAsia="Times New Roman"/>
        </w:rPr>
        <w:t>El costo de envío, en su caso; y</w:t>
      </w:r>
    </w:p>
    <w:p w14:paraId="46593356" w14:textId="4F5F0D6E" w:rsidR="005E2445" w:rsidRPr="00F86EDD" w:rsidRDefault="005E2445" w:rsidP="00BC3046">
      <w:pPr>
        <w:pStyle w:val="Citas"/>
        <w:numPr>
          <w:ilvl w:val="0"/>
          <w:numId w:val="13"/>
        </w:numPr>
        <w:spacing w:before="0" w:after="0" w:line="240" w:lineRule="auto"/>
        <w:rPr>
          <w:rFonts w:eastAsia="Times New Roman"/>
          <w:b/>
          <w:bCs/>
          <w:u w:val="single"/>
        </w:rPr>
      </w:pPr>
      <w:r w:rsidRPr="00F86EDD">
        <w:rPr>
          <w:rFonts w:eastAsia="Times New Roman"/>
          <w:b/>
          <w:bCs/>
          <w:u w:val="single"/>
        </w:rPr>
        <w:t>El pago de la certificación de los documentos, cuando proceda.</w:t>
      </w:r>
    </w:p>
    <w:p w14:paraId="3AD1A006" w14:textId="77777777" w:rsidR="00F34543" w:rsidRDefault="00F34543" w:rsidP="00BC3046">
      <w:pPr>
        <w:pStyle w:val="Citas"/>
        <w:spacing w:before="0" w:after="0" w:line="240" w:lineRule="auto"/>
        <w:rPr>
          <w:rFonts w:eastAsia="Times New Roman" w:cs="Times New Roman"/>
          <w:lang w:val="es-ES" w:eastAsia="es-ES"/>
        </w:rPr>
      </w:pPr>
    </w:p>
    <w:p w14:paraId="6AB73952" w14:textId="77777777" w:rsidR="005E2445" w:rsidRDefault="005E2445" w:rsidP="00BC3046">
      <w:pPr>
        <w:pStyle w:val="Citas"/>
        <w:spacing w:before="0" w:after="0" w:line="240" w:lineRule="auto"/>
        <w:rPr>
          <w:rFonts w:eastAsia="Times New Roman" w:cs="Times New Roman"/>
          <w:lang w:val="es-ES" w:eastAsia="es-ES"/>
        </w:rPr>
      </w:pPr>
      <w:r w:rsidRPr="00F86EDD">
        <w:rPr>
          <w:rFonts w:eastAsia="Times New Roman" w:cs="Times New Roman"/>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16F4EBDC" w14:textId="77777777" w:rsidR="00F34543" w:rsidRPr="00F86EDD" w:rsidRDefault="00F34543" w:rsidP="00BC3046">
      <w:pPr>
        <w:pStyle w:val="Citas"/>
        <w:spacing w:before="0" w:after="0" w:line="240" w:lineRule="auto"/>
        <w:rPr>
          <w:rFonts w:eastAsia="Times New Roman" w:cs="Times New Roman"/>
          <w:lang w:val="es-ES" w:eastAsia="es-ES"/>
        </w:rPr>
      </w:pPr>
    </w:p>
    <w:p w14:paraId="4A7C8432" w14:textId="77777777" w:rsidR="005E2445" w:rsidRDefault="005E2445" w:rsidP="00BC3046">
      <w:pPr>
        <w:pStyle w:val="Citas"/>
        <w:spacing w:before="0" w:after="0" w:line="240" w:lineRule="auto"/>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4D091D0E" w14:textId="77777777" w:rsidR="00F34543" w:rsidRPr="00F86EDD" w:rsidRDefault="00F34543" w:rsidP="00BC3046">
      <w:pPr>
        <w:pStyle w:val="Citas"/>
        <w:spacing w:before="0" w:after="0" w:line="240" w:lineRule="auto"/>
        <w:rPr>
          <w:rFonts w:eastAsia="Times New Roman" w:cs="Times New Roman"/>
          <w:lang w:val="es-ES" w:eastAsia="es-ES"/>
        </w:rPr>
      </w:pPr>
    </w:p>
    <w:p w14:paraId="25E84722" w14:textId="11B57076" w:rsidR="005E2445" w:rsidRDefault="005E2445" w:rsidP="00BC3046">
      <w:pPr>
        <w:pStyle w:val="Citas"/>
        <w:spacing w:before="0" w:after="0" w:line="240" w:lineRule="auto"/>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00F34543">
        <w:rPr>
          <w:rFonts w:eastAsia="Times New Roman" w:cs="Times New Roman"/>
          <w:bCs/>
          <w:lang w:val="es-ES" w:eastAsia="es-ES"/>
        </w:rPr>
        <w:t>(Sic)</w:t>
      </w:r>
    </w:p>
    <w:p w14:paraId="5AE2DE57" w14:textId="77777777" w:rsidR="00CF4DE8" w:rsidRPr="00F86EDD" w:rsidRDefault="00CF4DE8" w:rsidP="00F34543">
      <w:pPr>
        <w:pStyle w:val="Citas"/>
        <w:spacing w:before="0" w:after="0"/>
        <w:rPr>
          <w:rFonts w:eastAsia="Times New Roman" w:cs="Times New Roman"/>
          <w:b/>
          <w:bCs/>
          <w:lang w:val="es-ES" w:eastAsia="es-ES"/>
        </w:rPr>
      </w:pPr>
    </w:p>
    <w:p w14:paraId="533313C4"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r w:rsidRPr="00F86EDD">
        <w:rPr>
          <w:rFonts w:ascii="Palatino Linotype" w:hAnsi="Palatino Linotype"/>
          <w:lang w:val="es-ES"/>
        </w:rPr>
        <w:t>En virtud de lo anterior, resulta inconcuso que la certificación de documentos configura un servicio que presta el Estado en sus funciones de derecho público,</w:t>
      </w:r>
      <w:r w:rsidRPr="00F86EDD">
        <w:rPr>
          <w:rFonts w:ascii="Palatino Linotype" w:hAnsi="Palatino Linotype"/>
          <w:b/>
          <w:lang w:val="es-ES"/>
        </w:rPr>
        <w:t xml:space="preserve"> </w:t>
      </w:r>
      <w:r w:rsidRPr="00F86EDD">
        <w:rPr>
          <w:rFonts w:ascii="Palatino Linotype" w:hAnsi="Palatino Linotype"/>
          <w:lang w:val="es-ES"/>
        </w:rPr>
        <w:t xml:space="preserve">de ahí que resulte necesario la recuperación de tales gastos, en el caso en particular, mediante el pago de un derecho establecido en la normatividad aplicable, </w:t>
      </w:r>
      <w:r w:rsidRPr="00F86EDD">
        <w:rPr>
          <w:rFonts w:ascii="Palatino Linotype" w:hAnsi="Palatino Linotype"/>
          <w:b/>
          <w:u w:val="single"/>
          <w:lang w:val="es-ES"/>
        </w:rPr>
        <w:t xml:space="preserve">el cual invariablemente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lastRenderedPageBreak/>
        <w:t xml:space="preserve">Por ello, conviene señalar lo estipulado por el Poder Judicial de la Federación a través de la tesis aislada con número de registro </w:t>
      </w:r>
      <w:r w:rsidRPr="006C2358">
        <w:rPr>
          <w:rFonts w:ascii="Palatino Linotype" w:hAnsi="Palatino Linotype"/>
          <w:lang w:val="es-ES"/>
        </w:rPr>
        <w:t>2007573</w:t>
      </w:r>
      <w:r w:rsidRPr="00F86EDD">
        <w:rPr>
          <w:rFonts w:ascii="Palatino Linotype" w:hAnsi="Palatino Linotype"/>
          <w:lang w:val="es-ES"/>
        </w:rPr>
        <w:t xml:space="preserve"> de la Décima Época, sustentada por la Segunda Sala de la Suprema Corte de Justicia de la Nación, órgano colegiado que se ha pronunciado en cuanto al control constitucional concentrado o difuso en los términos siguientes: </w:t>
      </w:r>
    </w:p>
    <w:p w14:paraId="14F21104" w14:textId="77777777" w:rsidR="005E2445" w:rsidRPr="00F86EDD" w:rsidRDefault="005E2445" w:rsidP="005E2445">
      <w:pPr>
        <w:pStyle w:val="Sinespaciado"/>
        <w:rPr>
          <w:lang w:val="es-ES"/>
        </w:rPr>
      </w:pPr>
    </w:p>
    <w:p w14:paraId="25837A61" w14:textId="7676577F" w:rsidR="005E2445" w:rsidRPr="00F86EDD" w:rsidRDefault="005E2445" w:rsidP="005E2445">
      <w:pPr>
        <w:pStyle w:val="Citas"/>
        <w:spacing w:before="0" w:after="0" w:line="240" w:lineRule="auto"/>
        <w:rPr>
          <w:b/>
          <w:lang w:val="es-ES" w:eastAsia="es-MX"/>
        </w:rPr>
      </w:pPr>
      <w:r w:rsidRPr="00F86EDD">
        <w:rPr>
          <w:b/>
          <w:lang w:val="es-ES" w:eastAsia="es-MX"/>
        </w:rPr>
        <w:t>CONTROL CONSTITUCIONAL CONCENTRADO O DIFUSO. LAS AUTORIDADES ADMINISTRATIVAS NO ESTÁN FACULTADAS PARA REALIZARLO.</w:t>
      </w:r>
    </w:p>
    <w:p w14:paraId="0F4C7A17" w14:textId="437E44B5" w:rsidR="005E2445" w:rsidRPr="00F86EDD" w:rsidRDefault="00DC4B81" w:rsidP="005E2445">
      <w:pPr>
        <w:pStyle w:val="Citas"/>
        <w:spacing w:before="0" w:after="0" w:line="240" w:lineRule="auto"/>
        <w:rPr>
          <w:rFonts w:ascii="Times New Roman" w:hAnsi="Times New Roman" w:cs="Times New Roman"/>
          <w:sz w:val="24"/>
          <w:szCs w:val="24"/>
          <w:lang w:val="es-ES" w:eastAsia="es-MX"/>
        </w:rPr>
      </w:pPr>
      <w:r>
        <w:rPr>
          <w:lang w:val="es-ES" w:eastAsia="es-MX"/>
        </w:rPr>
        <w:t xml:space="preserve">El artículo </w:t>
      </w:r>
      <w:hyperlink r:id="rId8" w:history="1">
        <w:r w:rsidR="005E2445" w:rsidRPr="00F86EDD">
          <w:rPr>
            <w:color w:val="007BFF"/>
            <w:u w:val="single"/>
            <w:lang w:val="es-ES" w:eastAsia="es-MX"/>
          </w:rPr>
          <w:t>1o. de la Constitución Política de los Estados Unidos Mexicanos</w:t>
        </w:r>
      </w:hyperlink>
      <w:r>
        <w:rPr>
          <w:lang w:val="es-ES" w:eastAsia="es-MX"/>
        </w:rPr>
        <w:t xml:space="preserve"> </w:t>
      </w:r>
      <w:r w:rsidR="005E2445" w:rsidRPr="00F86EDD">
        <w:rPr>
          <w:lang w:val="es-ES" w:eastAsia="es-MX"/>
        </w:rPr>
        <w:t>establece que todas las autoridades, en el ámbito de sus competencias, deben cumplir con una serie de obligaciones en materia de derechos humanos. Sin e</w:t>
      </w:r>
      <w:r>
        <w:rPr>
          <w:lang w:val="es-ES" w:eastAsia="es-MX"/>
        </w:rPr>
        <w:t xml:space="preserve">mbargo, en términos de la tesis </w:t>
      </w:r>
      <w:hyperlink r:id="rId9" w:tgtFrame="_blank" w:history="1">
        <w:r w:rsidR="005E2445" w:rsidRPr="00F86EDD">
          <w:rPr>
            <w:color w:val="007BFF"/>
            <w:u w:val="single"/>
            <w:lang w:val="es-ES" w:eastAsia="es-MX"/>
          </w:rPr>
          <w:t>P. LXIX/2011 (9a.)</w:t>
        </w:r>
      </w:hyperlink>
      <w:r>
        <w:rPr>
          <w:lang w:val="es-ES" w:eastAsia="es-MX"/>
        </w:rPr>
        <w:t xml:space="preserve"> </w:t>
      </w:r>
      <w:r w:rsidR="005E2445" w:rsidRPr="00F86EDD">
        <w:rPr>
          <w:lang w:val="es-ES" w:eastAsia="es-MX"/>
        </w:rPr>
        <w:t xml:space="preserve">(*), del Tribunal Pleno de la Suprema Corte de Justicia de la Nación, </w:t>
      </w:r>
      <w:r w:rsidR="005E2445" w:rsidRPr="00F86EDD">
        <w:rPr>
          <w:b/>
          <w:u w:val="single"/>
          <w:lang w:val="es-ES" w:eastAsia="es-MX"/>
        </w:rPr>
        <w:t>las autoridades administrativas no están facultadas para realizar algún tipo de control constitucional, sea concentrado o difuso; es decir, no pueden declarar la invalidez de un determinado precepto e inaplicarlo, ni siquiera bajo el argumento de una reparación de derechos humanos,</w:t>
      </w:r>
      <w:r w:rsidR="005E2445" w:rsidRPr="00F86EDD">
        <w:rPr>
          <w:lang w:val="es-ES"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w:t>
      </w:r>
      <w:r>
        <w:rPr>
          <w:lang w:val="es-ES" w:eastAsia="es-MX"/>
        </w:rPr>
        <w:t xml:space="preserve">ica, previstos en los artículos </w:t>
      </w:r>
      <w:hyperlink r:id="rId10" w:history="1">
        <w:r w:rsidR="005E2445" w:rsidRPr="00F86EDD">
          <w:rPr>
            <w:color w:val="007BFF"/>
            <w:u w:val="single"/>
            <w:lang w:val="es-ES" w:eastAsia="es-MX"/>
          </w:rPr>
          <w:t>14 y 16 constitucionales</w:t>
        </w:r>
      </w:hyperlink>
      <w:r w:rsidR="005E2445" w:rsidRPr="00F86EDD">
        <w:rPr>
          <w:lang w:val="es-ES" w:eastAsia="es-MX"/>
        </w:rPr>
        <w:t>.</w:t>
      </w:r>
    </w:p>
    <w:p w14:paraId="03F46E78" w14:textId="77777777" w:rsidR="005E2445" w:rsidRPr="00F86EDD" w:rsidRDefault="005E2445" w:rsidP="005E2445">
      <w:pPr>
        <w:pStyle w:val="Citas"/>
        <w:spacing w:before="0" w:after="0" w:line="240" w:lineRule="auto"/>
        <w:rPr>
          <w:lang w:val="es-ES" w:eastAsia="es-MX"/>
        </w:rPr>
      </w:pPr>
    </w:p>
    <w:p w14:paraId="533EA837" w14:textId="7EBF0D0B" w:rsidR="005E2445" w:rsidRPr="00F86EDD" w:rsidRDefault="005E2445" w:rsidP="005E2445">
      <w:pPr>
        <w:pStyle w:val="Citas"/>
        <w:spacing w:before="0" w:after="0" w:line="240" w:lineRule="auto"/>
        <w:rPr>
          <w:b/>
          <w:lang w:val="es-ES" w:eastAsia="es-MX"/>
        </w:rPr>
      </w:pPr>
      <w:r w:rsidRPr="00F86EDD">
        <w:rPr>
          <w:lang w:val="es-ES" w:eastAsia="es-MX"/>
        </w:rPr>
        <w:t>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w:t>
      </w:r>
      <w:r w:rsidR="00DC4B81">
        <w:rPr>
          <w:lang w:val="es-ES" w:eastAsia="es-MX"/>
        </w:rPr>
        <w:t>artínez y Everardo Maya Arias.</w:t>
      </w:r>
    </w:p>
    <w:p w14:paraId="25C82FC8" w14:textId="77777777" w:rsidR="005E2445" w:rsidRPr="00F86EDD" w:rsidRDefault="005E2445" w:rsidP="004402F7">
      <w:pPr>
        <w:spacing w:after="0" w:line="360" w:lineRule="auto"/>
        <w:contextualSpacing/>
        <w:jc w:val="both"/>
        <w:rPr>
          <w:rFonts w:ascii="Palatino Linotype" w:hAnsi="Palatino Linotype"/>
          <w:sz w:val="24"/>
          <w:szCs w:val="24"/>
          <w:lang w:val="es-ES"/>
        </w:rPr>
      </w:pPr>
    </w:p>
    <w:p w14:paraId="0BDDD16B" w14:textId="3D1B953A" w:rsidR="005E2445" w:rsidRPr="00F86EDD" w:rsidRDefault="005E2445" w:rsidP="005E2445">
      <w:pPr>
        <w:pStyle w:val="Citas"/>
        <w:spacing w:before="0" w:after="0"/>
        <w:ind w:left="0" w:right="-3"/>
        <w:rPr>
          <w:sz w:val="24"/>
          <w:lang w:val="es-ES"/>
        </w:rPr>
      </w:pPr>
      <w:r w:rsidRPr="00F86EDD">
        <w:rPr>
          <w:i w:val="0"/>
          <w:sz w:val="24"/>
          <w:lang w:val="es-ES"/>
        </w:rPr>
        <w:t xml:space="preserve">Con base en lo anteriormente expuesto, a consideración de quien suscribe, en la resolución emitida </w:t>
      </w:r>
      <w:r w:rsidR="00CE335D">
        <w:rPr>
          <w:i w:val="0"/>
          <w:sz w:val="24"/>
          <w:lang w:val="es-ES"/>
        </w:rPr>
        <w:t xml:space="preserve">se debió haber considerado que en el caso en particular no obra </w:t>
      </w:r>
      <w:r w:rsidR="00D040F5">
        <w:rPr>
          <w:i w:val="0"/>
          <w:sz w:val="24"/>
          <w:lang w:val="es-ES"/>
        </w:rPr>
        <w:t xml:space="preserve">motivo suficiente para exceptuarle </w:t>
      </w:r>
      <w:r w:rsidR="00CE335D">
        <w:rPr>
          <w:i w:val="0"/>
          <w:sz w:val="24"/>
          <w:lang w:val="es-ES"/>
        </w:rPr>
        <w:t xml:space="preserve">al particular </w:t>
      </w:r>
      <w:r w:rsidR="00D040F5">
        <w:rPr>
          <w:i w:val="0"/>
          <w:sz w:val="24"/>
          <w:lang w:val="es-ES"/>
        </w:rPr>
        <w:t xml:space="preserve">del pago correspondiente a la expedición de las copias certificadas </w:t>
      </w:r>
      <w:r w:rsidRPr="00F86EDD">
        <w:rPr>
          <w:i w:val="0"/>
          <w:sz w:val="24"/>
          <w:lang w:val="es-ES"/>
        </w:rPr>
        <w:t>solicitadas, toda vez que este mismo así lo pidió en su solicitud de información, además de que es una obligación establecida por el Código Financiero, la Ley de Transparencia local y demás normatividad aplicable; lo cual, de no cumplirse, genera un perjuicio al municipio, pues representa una fuente de ingreso con la que se pretende cubrir su gasto público y demás obligaciones.</w:t>
      </w:r>
    </w:p>
    <w:p w14:paraId="57B7AD77" w14:textId="77777777" w:rsidR="005E2445" w:rsidRPr="00F86EDD" w:rsidRDefault="005E2445" w:rsidP="005E2445">
      <w:pPr>
        <w:pStyle w:val="Sinespaciado"/>
        <w:spacing w:line="360" w:lineRule="auto"/>
        <w:ind w:firstLine="1"/>
        <w:jc w:val="both"/>
        <w:rPr>
          <w:rFonts w:ascii="Palatino Linotype" w:hAnsi="Palatino Linotype"/>
          <w:sz w:val="16"/>
          <w:lang w:val="es-ES"/>
        </w:rPr>
      </w:pPr>
    </w:p>
    <w:p w14:paraId="5489F67D" w14:textId="281B834E" w:rsidR="006342FD" w:rsidRDefault="005E2445" w:rsidP="005E2445">
      <w:pPr>
        <w:spacing w:after="0" w:line="360" w:lineRule="auto"/>
        <w:contextualSpacing/>
        <w:jc w:val="both"/>
        <w:rPr>
          <w:rFonts w:ascii="Palatino Linotype" w:hAnsi="Palatino Linotype"/>
          <w:sz w:val="24"/>
          <w:lang w:val="es-ES"/>
        </w:rPr>
      </w:pPr>
      <w:r w:rsidRPr="00F86EDD">
        <w:rPr>
          <w:rFonts w:ascii="Palatino Linotype" w:hAnsi="Palatino Linotype"/>
          <w:sz w:val="24"/>
          <w:lang w:val="es-ES"/>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p>
    <w:p w14:paraId="234A600E" w14:textId="77777777" w:rsidR="00DC4B81" w:rsidRDefault="00DC4B81" w:rsidP="005E2445">
      <w:pPr>
        <w:spacing w:after="0" w:line="360" w:lineRule="auto"/>
        <w:contextualSpacing/>
        <w:jc w:val="both"/>
        <w:rPr>
          <w:rFonts w:ascii="Palatino Linotype" w:hAnsi="Palatino Linotype"/>
          <w:sz w:val="24"/>
          <w:szCs w:val="24"/>
          <w:lang w:val="es-ES"/>
        </w:rPr>
      </w:pPr>
    </w:p>
    <w:p w14:paraId="42B0710B" w14:textId="77777777" w:rsidR="00F34543" w:rsidRDefault="00F34543" w:rsidP="005E2445">
      <w:pPr>
        <w:spacing w:after="0" w:line="360" w:lineRule="auto"/>
        <w:contextualSpacing/>
        <w:jc w:val="both"/>
        <w:rPr>
          <w:rFonts w:ascii="Palatino Linotype" w:hAnsi="Palatino Linotype"/>
          <w:sz w:val="24"/>
          <w:szCs w:val="24"/>
          <w:lang w:val="es-ES"/>
        </w:rPr>
      </w:pPr>
    </w:p>
    <w:p w14:paraId="234B6860" w14:textId="77777777" w:rsidR="006C2358" w:rsidRDefault="006C2358" w:rsidP="005E2445">
      <w:pPr>
        <w:spacing w:after="0" w:line="360" w:lineRule="auto"/>
        <w:contextualSpacing/>
        <w:jc w:val="both"/>
        <w:rPr>
          <w:rFonts w:ascii="Palatino Linotype" w:hAnsi="Palatino Linotype"/>
          <w:sz w:val="24"/>
          <w:szCs w:val="24"/>
          <w:lang w:val="es-ES"/>
        </w:rPr>
      </w:pPr>
    </w:p>
    <w:p w14:paraId="1A88E58D" w14:textId="77777777" w:rsidR="00211602" w:rsidRDefault="00211602" w:rsidP="005E2445">
      <w:pPr>
        <w:spacing w:after="0" w:line="360" w:lineRule="auto"/>
        <w:contextualSpacing/>
        <w:jc w:val="both"/>
        <w:rPr>
          <w:rFonts w:ascii="Palatino Linotype" w:hAnsi="Palatino Linotype"/>
          <w:sz w:val="24"/>
          <w:szCs w:val="24"/>
          <w:lang w:val="es-ES"/>
        </w:rPr>
      </w:pPr>
    </w:p>
    <w:p w14:paraId="10DB1E81" w14:textId="77777777" w:rsidR="00211602" w:rsidRDefault="00211602" w:rsidP="005E2445">
      <w:pPr>
        <w:spacing w:after="0" w:line="360" w:lineRule="auto"/>
        <w:contextualSpacing/>
        <w:jc w:val="both"/>
        <w:rPr>
          <w:rFonts w:ascii="Palatino Linotype" w:hAnsi="Palatino Linotype"/>
          <w:sz w:val="24"/>
          <w:szCs w:val="24"/>
          <w:lang w:val="es-ES"/>
        </w:rPr>
      </w:pPr>
    </w:p>
    <w:p w14:paraId="3C86A5E4" w14:textId="500639A4" w:rsidR="005E2445" w:rsidRPr="00DC4B81" w:rsidRDefault="00DC4B81"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JMV/CCR/fzh</w:t>
      </w:r>
    </w:p>
    <w:p w14:paraId="1496F8BE" w14:textId="4C789B34"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1EEFE193" w14:textId="77777777" w:rsidR="006C2358" w:rsidRDefault="006C2358" w:rsidP="004402F7">
      <w:pPr>
        <w:spacing w:after="0" w:line="360" w:lineRule="auto"/>
        <w:contextualSpacing/>
        <w:jc w:val="both"/>
        <w:rPr>
          <w:rFonts w:ascii="Palatino Linotype" w:hAnsi="Palatino Linotype"/>
          <w:sz w:val="24"/>
          <w:szCs w:val="24"/>
          <w:lang w:val="es-ES"/>
        </w:rPr>
      </w:pPr>
    </w:p>
    <w:p w14:paraId="73AD8ECE" w14:textId="77777777" w:rsidR="006C2358" w:rsidRDefault="006C2358" w:rsidP="004402F7">
      <w:pPr>
        <w:spacing w:after="0" w:line="360" w:lineRule="auto"/>
        <w:contextualSpacing/>
        <w:jc w:val="both"/>
        <w:rPr>
          <w:rFonts w:ascii="Palatino Linotype" w:hAnsi="Palatino Linotype"/>
          <w:sz w:val="24"/>
          <w:szCs w:val="24"/>
          <w:lang w:val="es-ES"/>
        </w:rPr>
      </w:pPr>
    </w:p>
    <w:p w14:paraId="644C5CD6" w14:textId="77777777" w:rsidR="006C2358" w:rsidRDefault="006C2358" w:rsidP="004402F7">
      <w:pPr>
        <w:spacing w:after="0" w:line="360" w:lineRule="auto"/>
        <w:contextualSpacing/>
        <w:jc w:val="both"/>
        <w:rPr>
          <w:rFonts w:ascii="Palatino Linotype" w:hAnsi="Palatino Linotype"/>
          <w:sz w:val="24"/>
          <w:szCs w:val="24"/>
          <w:lang w:val="es-ES"/>
        </w:rPr>
      </w:pPr>
    </w:p>
    <w:p w14:paraId="60925C13" w14:textId="77777777" w:rsidR="006C2358" w:rsidRDefault="006C2358"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211602">
      <w:headerReference w:type="even" r:id="rId11"/>
      <w:headerReference w:type="default" r:id="rId12"/>
      <w:footerReference w:type="default" r:id="rId13"/>
      <w:pgSz w:w="12240" w:h="15840"/>
      <w:pgMar w:top="2410"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ABD00" w14:textId="77777777" w:rsidR="00890A82" w:rsidRDefault="00890A82" w:rsidP="004C1443">
      <w:pPr>
        <w:spacing w:after="0" w:line="240" w:lineRule="auto"/>
      </w:pPr>
      <w:r>
        <w:separator/>
      </w:r>
    </w:p>
  </w:endnote>
  <w:endnote w:type="continuationSeparator" w:id="0">
    <w:p w14:paraId="161B0386" w14:textId="77777777" w:rsidR="00890A82" w:rsidRDefault="00890A82"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02001"/>
      <w:docPartObj>
        <w:docPartGallery w:val="Page Numbers (Bottom of Page)"/>
        <w:docPartUnique/>
      </w:docPartObj>
    </w:sdtPr>
    <w:sdtEndPr/>
    <w:sdtContent>
      <w:sdt>
        <w:sdtPr>
          <w:id w:val="-1439836817"/>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211602">
              <w:rPr>
                <w:b/>
                <w:bCs/>
                <w:noProof/>
              </w:rPr>
              <w:t>13</w:t>
            </w:r>
            <w:r>
              <w:rPr>
                <w:b/>
                <w:bCs/>
              </w:rPr>
              <w:fldChar w:fldCharType="end"/>
            </w:r>
            <w:r>
              <w:t xml:space="preserve"> de </w:t>
            </w:r>
            <w:r>
              <w:rPr>
                <w:b/>
                <w:bCs/>
              </w:rPr>
              <w:fldChar w:fldCharType="begin"/>
            </w:r>
            <w:r>
              <w:rPr>
                <w:b/>
                <w:bCs/>
              </w:rPr>
              <w:instrText>NUMPAGES</w:instrText>
            </w:r>
            <w:r>
              <w:rPr>
                <w:b/>
                <w:bCs/>
              </w:rPr>
              <w:fldChar w:fldCharType="separate"/>
            </w:r>
            <w:r w:rsidR="00211602">
              <w:rPr>
                <w:b/>
                <w:bCs/>
                <w:noProof/>
              </w:rPr>
              <w:t>13</w:t>
            </w:r>
            <w:r>
              <w:rPr>
                <w:b/>
                <w:bCs/>
              </w:rPr>
              <w:fldChar w:fldCharType="end"/>
            </w:r>
          </w:p>
        </w:sdtContent>
      </w:sdt>
    </w:sdtContent>
  </w:sdt>
  <w:p w14:paraId="767F3B2E" w14:textId="77777777" w:rsidR="00DD7AD0" w:rsidRDefault="00890A82"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50D6F" w14:textId="77777777" w:rsidR="00890A82" w:rsidRDefault="00890A82" w:rsidP="004C1443">
      <w:pPr>
        <w:spacing w:after="0" w:line="240" w:lineRule="auto"/>
      </w:pPr>
      <w:r>
        <w:separator/>
      </w:r>
    </w:p>
  </w:footnote>
  <w:footnote w:type="continuationSeparator" w:id="0">
    <w:p w14:paraId="195800A4" w14:textId="77777777" w:rsidR="00890A82" w:rsidRDefault="00890A82"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7"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FE626AB" w:rsidR="006342FD" w:rsidRDefault="00DC4B81" w:rsidP="00DD7AD0">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2E95AD4" wp14:editId="240499A7">
          <wp:simplePos x="0" y="0"/>
          <wp:positionH relativeFrom="page">
            <wp:posOffset>45085</wp:posOffset>
          </wp:positionH>
          <wp:positionV relativeFrom="page">
            <wp:posOffset>57150</wp:posOffset>
          </wp:positionV>
          <wp:extent cx="7510145" cy="9883775"/>
          <wp:effectExtent l="0" t="0" r="0" b="3175"/>
          <wp:wrapNone/>
          <wp:docPr id="13" name="Imagen 1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59BC1FF" w14:textId="39B8C18E" w:rsidR="00DD7AD0" w:rsidRPr="004F50E3" w:rsidRDefault="00890A82" w:rsidP="00DD7AD0">
    <w:pPr>
      <w:pStyle w:val="Encabezado"/>
      <w:jc w:val="right"/>
      <w:rPr>
        <w:rFonts w:ascii="Palatino Linotype" w:hAnsi="Palatino Linotype" w:cs="Arial"/>
        <w:b/>
        <w:sz w:val="22"/>
        <w:szCs w:val="22"/>
      </w:rPr>
    </w:pPr>
    <w:sdt>
      <w:sdtPr>
        <w:rPr>
          <w:rFonts w:ascii="Arial" w:hAnsi="Arial" w:cs="Arial"/>
          <w:sz w:val="20"/>
          <w:szCs w:val="20"/>
        </w:rPr>
        <w:id w:val="-330680478"/>
        <w:docPartObj>
          <w:docPartGallery w:val="Watermarks"/>
          <w:docPartUnique/>
        </w:docPartObj>
      </w:sdtPr>
      <w:sdtEnd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00613A04" w:rsidRPr="004F50E3">
      <w:rPr>
        <w:rFonts w:ascii="Palatino Linotype" w:hAnsi="Palatino Linotype" w:cs="Arial"/>
        <w:b/>
        <w:sz w:val="22"/>
        <w:szCs w:val="22"/>
      </w:rPr>
      <w:t xml:space="preserve"> </w:t>
    </w:r>
  </w:p>
  <w:p w14:paraId="136E20AB" w14:textId="549D8794"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237BF2">
      <w:rPr>
        <w:rFonts w:ascii="Palatino Linotype" w:hAnsi="Palatino Linotype" w:cs="Arial"/>
        <w:b/>
        <w:bCs/>
        <w:sz w:val="22"/>
        <w:szCs w:val="22"/>
        <w:lang w:eastAsia="es-MX"/>
      </w:rPr>
      <w:t>584</w:t>
    </w:r>
    <w:r w:rsidR="0014604A">
      <w:rPr>
        <w:rFonts w:ascii="Palatino Linotype" w:hAnsi="Palatino Linotype" w:cs="Arial"/>
        <w:b/>
        <w:bCs/>
        <w:sz w:val="22"/>
        <w:szCs w:val="22"/>
        <w:lang w:eastAsia="es-MX"/>
      </w:rPr>
      <w:t>7</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5BD076BB"/>
    <w:multiLevelType w:val="hybridMultilevel"/>
    <w:tmpl w:val="EF04FF3C"/>
    <w:lvl w:ilvl="0" w:tplc="2D52117A">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9" w15:restartNumberingAfterBreak="0">
    <w:nsid w:val="5FBA2A8B"/>
    <w:multiLevelType w:val="hybridMultilevel"/>
    <w:tmpl w:val="B0E4AA6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0"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B962089"/>
    <w:multiLevelType w:val="hybridMultilevel"/>
    <w:tmpl w:val="992A6448"/>
    <w:lvl w:ilvl="0" w:tplc="BBFEAE58">
      <w:start w:val="1"/>
      <w:numFmt w:val="upperRoman"/>
      <w:lvlText w:val="%1."/>
      <w:lvlJc w:val="left"/>
      <w:pPr>
        <w:ind w:left="1701" w:hanging="425"/>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5"/>
  </w:num>
  <w:num w:numId="2">
    <w:abstractNumId w:val="0"/>
  </w:num>
  <w:num w:numId="3">
    <w:abstractNumId w:val="10"/>
  </w:num>
  <w:num w:numId="4">
    <w:abstractNumId w:val="6"/>
  </w:num>
  <w:num w:numId="5">
    <w:abstractNumId w:val="7"/>
  </w:num>
  <w:num w:numId="6">
    <w:abstractNumId w:val="11"/>
  </w:num>
  <w:num w:numId="7">
    <w:abstractNumId w:val="3"/>
  </w:num>
  <w:num w:numId="8">
    <w:abstractNumId w:val="1"/>
  </w:num>
  <w:num w:numId="9">
    <w:abstractNumId w:val="4"/>
  </w:num>
  <w:num w:numId="10">
    <w:abstractNumId w:val="2"/>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21E7"/>
    <w:rsid w:val="000E1ABA"/>
    <w:rsid w:val="000E517C"/>
    <w:rsid w:val="000F14DA"/>
    <w:rsid w:val="000F1B77"/>
    <w:rsid w:val="000F49C4"/>
    <w:rsid w:val="00105765"/>
    <w:rsid w:val="00137BCF"/>
    <w:rsid w:val="00145FED"/>
    <w:rsid w:val="0014604A"/>
    <w:rsid w:val="00186357"/>
    <w:rsid w:val="0019696B"/>
    <w:rsid w:val="001B3D19"/>
    <w:rsid w:val="00211602"/>
    <w:rsid w:val="002351CE"/>
    <w:rsid w:val="002374B9"/>
    <w:rsid w:val="00237BF2"/>
    <w:rsid w:val="00240D8D"/>
    <w:rsid w:val="00252976"/>
    <w:rsid w:val="00256512"/>
    <w:rsid w:val="002660DA"/>
    <w:rsid w:val="00297AF5"/>
    <w:rsid w:val="002C14F9"/>
    <w:rsid w:val="00307916"/>
    <w:rsid w:val="0031079C"/>
    <w:rsid w:val="00330955"/>
    <w:rsid w:val="00336332"/>
    <w:rsid w:val="00341093"/>
    <w:rsid w:val="003847F7"/>
    <w:rsid w:val="00384C8B"/>
    <w:rsid w:val="00396F4A"/>
    <w:rsid w:val="003C57A3"/>
    <w:rsid w:val="003D76A7"/>
    <w:rsid w:val="003F52D7"/>
    <w:rsid w:val="00403FFD"/>
    <w:rsid w:val="004269DC"/>
    <w:rsid w:val="004402F7"/>
    <w:rsid w:val="00491A04"/>
    <w:rsid w:val="00494F48"/>
    <w:rsid w:val="004C1443"/>
    <w:rsid w:val="004C5122"/>
    <w:rsid w:val="004D3A6E"/>
    <w:rsid w:val="004D5C09"/>
    <w:rsid w:val="004F50E3"/>
    <w:rsid w:val="004F5AE8"/>
    <w:rsid w:val="005251CB"/>
    <w:rsid w:val="00526C8E"/>
    <w:rsid w:val="00546280"/>
    <w:rsid w:val="005733EB"/>
    <w:rsid w:val="005D0EB7"/>
    <w:rsid w:val="005E2445"/>
    <w:rsid w:val="005E313C"/>
    <w:rsid w:val="005E760F"/>
    <w:rsid w:val="006069F7"/>
    <w:rsid w:val="00607EC4"/>
    <w:rsid w:val="00613A04"/>
    <w:rsid w:val="006342FD"/>
    <w:rsid w:val="00667D1F"/>
    <w:rsid w:val="006A51FD"/>
    <w:rsid w:val="006C2358"/>
    <w:rsid w:val="006D3740"/>
    <w:rsid w:val="006D627E"/>
    <w:rsid w:val="006F544E"/>
    <w:rsid w:val="006F7F79"/>
    <w:rsid w:val="00707558"/>
    <w:rsid w:val="0071133A"/>
    <w:rsid w:val="0071304D"/>
    <w:rsid w:val="007414AC"/>
    <w:rsid w:val="007518F5"/>
    <w:rsid w:val="00787CFE"/>
    <w:rsid w:val="007B5209"/>
    <w:rsid w:val="007B733E"/>
    <w:rsid w:val="007C0DCC"/>
    <w:rsid w:val="007C4507"/>
    <w:rsid w:val="007D1528"/>
    <w:rsid w:val="008037AF"/>
    <w:rsid w:val="00847B09"/>
    <w:rsid w:val="00852785"/>
    <w:rsid w:val="00860B45"/>
    <w:rsid w:val="00875FA7"/>
    <w:rsid w:val="0088608D"/>
    <w:rsid w:val="00890A82"/>
    <w:rsid w:val="008D6140"/>
    <w:rsid w:val="008E47B8"/>
    <w:rsid w:val="008F6B22"/>
    <w:rsid w:val="00900682"/>
    <w:rsid w:val="00911F00"/>
    <w:rsid w:val="00915E74"/>
    <w:rsid w:val="0099768F"/>
    <w:rsid w:val="009B46D0"/>
    <w:rsid w:val="009C651B"/>
    <w:rsid w:val="009E2ED0"/>
    <w:rsid w:val="009E6EF2"/>
    <w:rsid w:val="009F225F"/>
    <w:rsid w:val="00A16488"/>
    <w:rsid w:val="00A430F5"/>
    <w:rsid w:val="00A442A2"/>
    <w:rsid w:val="00A85CFE"/>
    <w:rsid w:val="00A9353F"/>
    <w:rsid w:val="00AF71C1"/>
    <w:rsid w:val="00B40E2E"/>
    <w:rsid w:val="00B6198B"/>
    <w:rsid w:val="00B71EFC"/>
    <w:rsid w:val="00B77C19"/>
    <w:rsid w:val="00BB07F0"/>
    <w:rsid w:val="00BC3046"/>
    <w:rsid w:val="00BC3297"/>
    <w:rsid w:val="00C42420"/>
    <w:rsid w:val="00C61583"/>
    <w:rsid w:val="00C96E88"/>
    <w:rsid w:val="00CE335D"/>
    <w:rsid w:val="00CF11A8"/>
    <w:rsid w:val="00CF4DE8"/>
    <w:rsid w:val="00D014A2"/>
    <w:rsid w:val="00D040F5"/>
    <w:rsid w:val="00D26D4E"/>
    <w:rsid w:val="00D675E4"/>
    <w:rsid w:val="00D875B1"/>
    <w:rsid w:val="00D953EF"/>
    <w:rsid w:val="00DB0A5B"/>
    <w:rsid w:val="00DB6F26"/>
    <w:rsid w:val="00DC4B81"/>
    <w:rsid w:val="00DC5F78"/>
    <w:rsid w:val="00DD13E2"/>
    <w:rsid w:val="00E34CA6"/>
    <w:rsid w:val="00E36C2C"/>
    <w:rsid w:val="00E448CD"/>
    <w:rsid w:val="00E554DC"/>
    <w:rsid w:val="00E6367E"/>
    <w:rsid w:val="00E86269"/>
    <w:rsid w:val="00E92686"/>
    <w:rsid w:val="00EC70B3"/>
    <w:rsid w:val="00EE051D"/>
    <w:rsid w:val="00F07361"/>
    <w:rsid w:val="00F2106C"/>
    <w:rsid w:val="00F34543"/>
    <w:rsid w:val="00F57C84"/>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E2A1-B926-4C4D-B796-1E7F282A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2771</Words>
  <Characters>15244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2021-11-29T17:40:00Z</cp:lastPrinted>
  <dcterms:created xsi:type="dcterms:W3CDTF">2022-02-14T21:12:00Z</dcterms:created>
  <dcterms:modified xsi:type="dcterms:W3CDTF">2022-02-14T21:14:00Z</dcterms:modified>
</cp:coreProperties>
</file>