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4C488" w14:textId="26109B36" w:rsidR="008F091A" w:rsidRDefault="00B2184D" w:rsidP="00F84B95">
      <w:pPr>
        <w:pStyle w:val="Encabezado"/>
        <w:spacing w:line="360" w:lineRule="auto"/>
        <w:ind w:right="-250"/>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Pr>
          <w:rFonts w:ascii="Palatino Linotype" w:eastAsia="MS Mincho" w:hAnsi="Palatino Linotype"/>
          <w:b/>
          <w:bCs/>
        </w:rPr>
        <w:t>00410/INFOEM/IP/RR/2022</w:t>
      </w:r>
      <w:r w:rsidRPr="006A7606">
        <w:rPr>
          <w:rFonts w:ascii="Palatino Linotype" w:hAnsi="Palatino Linotype" w:cs="Tahoma"/>
          <w:b/>
        </w:rPr>
        <w:t>, PROMOVIDO EN CONTRA DE</w:t>
      </w:r>
      <w:r>
        <w:rPr>
          <w:rFonts w:ascii="Palatino Linotype" w:hAnsi="Palatino Linotype" w:cs="Tahoma"/>
          <w:b/>
        </w:rPr>
        <w:t xml:space="preserve">L </w:t>
      </w:r>
      <w:r>
        <w:rPr>
          <w:rFonts w:ascii="Palatino Linotype" w:eastAsia="MS Mincho" w:hAnsi="Palatino Linotype"/>
          <w:b/>
          <w:lang w:val="es-ES_tradnl"/>
        </w:rPr>
        <w:t xml:space="preserve">AYUNTAMIENTO DE SAN MARTÍN DE LAS PIRÁMIDES. </w:t>
      </w:r>
    </w:p>
    <w:p w14:paraId="7ADB94FD" w14:textId="77777777" w:rsidR="00E17623" w:rsidRPr="006A7606" w:rsidRDefault="00E17623" w:rsidP="00F84B95">
      <w:pPr>
        <w:pStyle w:val="Encabezado"/>
        <w:spacing w:line="360" w:lineRule="auto"/>
        <w:ind w:right="-250"/>
        <w:jc w:val="both"/>
        <w:rPr>
          <w:rFonts w:ascii="Palatino Linotype" w:hAnsi="Palatino Linotype" w:cs="Tahoma"/>
        </w:rPr>
      </w:pPr>
    </w:p>
    <w:p w14:paraId="7703F9D5" w14:textId="0760DBAE" w:rsidR="00F34C61" w:rsidRDefault="00F34C61" w:rsidP="008F091A">
      <w:pPr>
        <w:tabs>
          <w:tab w:val="left" w:pos="1843"/>
        </w:tabs>
        <w:spacing w:after="0" w:line="360" w:lineRule="auto"/>
        <w:jc w:val="both"/>
        <w:rPr>
          <w:rFonts w:ascii="Palatino Linotype" w:eastAsia="MS Mincho" w:hAnsi="Palatino Linotype"/>
          <w:b/>
          <w:bCs/>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w:t>
      </w:r>
      <w:bookmarkStart w:id="0" w:name="_GoBack"/>
      <w:bookmarkEnd w:id="0"/>
      <w:r w:rsidRPr="00885189">
        <w:rPr>
          <w:rFonts w:ascii="Palatino Linotype" w:hAnsi="Palatino Linotype" w:cs="Tahoma"/>
        </w:rPr>
        <w:t xml:space="preserve">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B2184D">
        <w:rPr>
          <w:rFonts w:ascii="Palatino Linotype" w:eastAsia="MS Mincho" w:hAnsi="Palatino Linotype"/>
          <w:b/>
          <w:bCs/>
        </w:rPr>
        <w:t>00410/INFOEM/IP/RR/2022</w:t>
      </w:r>
      <w:r w:rsidR="008F091A">
        <w:rPr>
          <w:rFonts w:ascii="Palatino Linotype" w:eastAsia="MS Mincho" w:hAnsi="Palatino Linotype"/>
          <w:b/>
          <w:bCs/>
        </w:rPr>
        <w:t>.</w:t>
      </w:r>
    </w:p>
    <w:p w14:paraId="2484E9A4" w14:textId="77777777" w:rsidR="008F091A" w:rsidRPr="00885189" w:rsidRDefault="008F091A" w:rsidP="008F091A">
      <w:pPr>
        <w:tabs>
          <w:tab w:val="left" w:pos="1843"/>
        </w:tabs>
        <w:spacing w:after="0" w:line="360" w:lineRule="auto"/>
        <w:jc w:val="both"/>
        <w:rPr>
          <w:rFonts w:ascii="Palatino Linotype" w:hAnsi="Palatino Linotype" w:cs="Tahoma"/>
        </w:rPr>
      </w:pPr>
    </w:p>
    <w:p w14:paraId="6E9463A7" w14:textId="493AB2D9" w:rsidR="00F34C61" w:rsidRDefault="00F34C61" w:rsidP="00241A58">
      <w:pPr>
        <w:tabs>
          <w:tab w:val="left" w:pos="1843"/>
        </w:tabs>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000829A5">
        <w:rPr>
          <w:rFonts w:ascii="Palatino Linotype" w:hAnsi="Palatino Linotype" w:cs="Tahoma"/>
        </w:rPr>
        <w:t xml:space="preserve"> los recibos de nómina de todos los servidores públicos adscritos al </w:t>
      </w:r>
      <w:r w:rsidR="000829A5" w:rsidRPr="000829A5">
        <w:rPr>
          <w:rFonts w:ascii="Palatino Linotype" w:hAnsi="Palatino Linotype" w:cs="Tahoma"/>
          <w:lang w:val="es-MX"/>
        </w:rPr>
        <w:t>Ayuntamiento de San Martín de las Pirámides</w:t>
      </w:r>
      <w:r w:rsidR="00113108">
        <w:rPr>
          <w:rFonts w:ascii="Palatino Linotype" w:hAnsi="Palatino Linotype" w:cs="Tahoma"/>
          <w:lang w:val="es-MX"/>
        </w:rPr>
        <w:t>, de la primera quince de dos mil veintidós</w:t>
      </w:r>
      <w:r w:rsidR="00F67D99">
        <w:rPr>
          <w:rFonts w:ascii="Palatino Linotype" w:hAnsi="Palatino Linotype" w:cs="Tahoma"/>
          <w:lang w:val="es-MX"/>
        </w:rPr>
        <w:t xml:space="preserve">. Luego entonces, el Sujeto Obligado </w:t>
      </w:r>
      <w:r w:rsidR="00870420">
        <w:rPr>
          <w:rFonts w:ascii="Palatino Linotype" w:hAnsi="Palatino Linotype" w:cs="Tahoma"/>
          <w:lang w:val="es-MX"/>
        </w:rPr>
        <w:t xml:space="preserve">en su respuesta señaló </w:t>
      </w:r>
      <w:r w:rsidR="00F56AE6">
        <w:rPr>
          <w:rFonts w:ascii="Palatino Linotype" w:hAnsi="Palatino Linotype" w:cs="Tahoma"/>
          <w:lang w:val="es-MX"/>
        </w:rPr>
        <w:t>que no contaba con</w:t>
      </w:r>
      <w:r w:rsidR="00870420">
        <w:rPr>
          <w:rFonts w:ascii="Palatino Linotype" w:hAnsi="Palatino Linotype" w:cs="Tahoma"/>
          <w:lang w:val="es-MX"/>
        </w:rPr>
        <w:t xml:space="preserve"> una versión pública de los documentos solicitados</w:t>
      </w:r>
      <w:r w:rsidR="00E41DD5">
        <w:rPr>
          <w:rFonts w:ascii="Palatino Linotype" w:hAnsi="Palatino Linotype" w:cs="Tahoma"/>
          <w:lang w:val="es-MX"/>
        </w:rPr>
        <w:t xml:space="preserve">. Así las cosas, una vez interpuesto el Medio de Impugnación, la Ponencia </w:t>
      </w:r>
      <w:r w:rsidR="00F91A8F">
        <w:rPr>
          <w:rFonts w:ascii="Palatino Linotype" w:hAnsi="Palatino Linotype" w:cs="Tahoma"/>
          <w:lang w:val="es-MX"/>
        </w:rPr>
        <w:t>R</w:t>
      </w:r>
      <w:r w:rsidR="00E41DD5">
        <w:rPr>
          <w:rFonts w:ascii="Palatino Linotype" w:hAnsi="Palatino Linotype" w:cs="Tahoma"/>
          <w:lang w:val="es-MX"/>
        </w:rPr>
        <w:t xml:space="preserve">esolutora </w:t>
      </w:r>
      <w:r w:rsidR="00E61D6C">
        <w:rPr>
          <w:rFonts w:ascii="Palatino Linotype" w:hAnsi="Palatino Linotype" w:cs="Tahoma"/>
          <w:lang w:val="es-MX"/>
        </w:rPr>
        <w:t xml:space="preserve">estableció </w:t>
      </w:r>
      <w:r w:rsidR="003B571F">
        <w:rPr>
          <w:rFonts w:ascii="Palatino Linotype" w:hAnsi="Palatino Linotype" w:cs="Tahoma"/>
          <w:lang w:val="es-MX"/>
        </w:rPr>
        <w:t xml:space="preserve">que los </w:t>
      </w:r>
      <w:r>
        <w:rPr>
          <w:rFonts w:ascii="Palatino Linotype" w:hAnsi="Palatino Linotype" w:cs="Tahoma"/>
        </w:rPr>
        <w:t xml:space="preserve">documentos que </w:t>
      </w:r>
      <w:r w:rsidR="003B571F">
        <w:rPr>
          <w:rFonts w:ascii="Palatino Linotype" w:hAnsi="Palatino Linotype" w:cs="Tahoma"/>
        </w:rPr>
        <w:t xml:space="preserve">dan cuenta de lo solicitado, </w:t>
      </w:r>
      <w:r w:rsidR="00191220">
        <w:rPr>
          <w:rFonts w:ascii="Palatino Linotype" w:hAnsi="Palatino Linotype" w:cs="Tahoma"/>
        </w:rPr>
        <w:t>contienen</w:t>
      </w:r>
      <w:r w:rsidR="008F091A">
        <w:rPr>
          <w:rFonts w:ascii="Palatino Linotype" w:hAnsi="Palatino Linotype" w:cs="Tahoma"/>
        </w:rPr>
        <w:t xml:space="preserve"> </w:t>
      </w:r>
      <w:r>
        <w:rPr>
          <w:rFonts w:ascii="Palatino Linotype" w:hAnsi="Palatino Linotype" w:cs="Tahoma"/>
        </w:rPr>
        <w:t xml:space="preserve">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determinó que estos deben ser clasificados como reservados con fundamento en el artículo 140, fracción IV, de la Ley de Transparencia y Acceso a la Información Pública del Estado de México y Municipios y, ordenó la entrega </w:t>
      </w:r>
      <w:r w:rsidR="00F91A8F">
        <w:rPr>
          <w:rFonts w:ascii="Palatino Linotype" w:hAnsi="Palatino Linotype" w:cs="Tahoma"/>
        </w:rPr>
        <w:t xml:space="preserve">de los recibos de nómina de todos los servidores públicos </w:t>
      </w:r>
      <w:r w:rsidR="00F91A8F">
        <w:rPr>
          <w:rFonts w:ascii="Palatino Linotype" w:hAnsi="Palatino Linotype" w:cs="Tahoma"/>
        </w:rPr>
        <w:lastRenderedPageBreak/>
        <w:t xml:space="preserve">adscritos al Ente Recurrido </w:t>
      </w:r>
      <w:r w:rsidR="00BF0E4F">
        <w:rPr>
          <w:rFonts w:ascii="Palatino Linotype" w:hAnsi="Palatino Linotype" w:cs="Tahoma"/>
        </w:rPr>
        <w:t>de la primera quincena de dos mil veintidós</w:t>
      </w:r>
      <w:r>
        <w:rPr>
          <w:rFonts w:ascii="Palatino Linotype" w:hAnsi="Palatino Linotype" w:cs="Tahoma"/>
        </w:rPr>
        <w:t xml:space="preserve">, así como el acuerdo de clasificación emitido por el Comité de Transparencia.  </w:t>
      </w:r>
    </w:p>
    <w:p w14:paraId="4DBFE07F" w14:textId="77777777" w:rsidR="00F34C61" w:rsidRDefault="00F34C61" w:rsidP="00241A58">
      <w:pPr>
        <w:tabs>
          <w:tab w:val="left" w:pos="1843"/>
        </w:tabs>
        <w:spacing w:after="0" w:line="360" w:lineRule="auto"/>
        <w:jc w:val="both"/>
        <w:rPr>
          <w:rFonts w:ascii="Palatino Linotype" w:hAnsi="Palatino Linotype" w:cs="Tahoma"/>
        </w:rPr>
      </w:pPr>
    </w:p>
    <w:p w14:paraId="55145874" w14:textId="7E0EA60A" w:rsidR="00F34C61" w:rsidRDefault="00F34C61" w:rsidP="00241A58">
      <w:pPr>
        <w:tabs>
          <w:tab w:val="left" w:pos="1843"/>
        </w:tabs>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seguridad, </w:t>
      </w:r>
      <w:r w:rsidR="00CC3620">
        <w:rPr>
          <w:rFonts w:ascii="Palatino Linotype" w:hAnsi="Palatino Linotype" w:cs="Tahoma"/>
        </w:rPr>
        <w:t>por ello</w:t>
      </w:r>
      <w:r>
        <w:rPr>
          <w:rFonts w:ascii="Palatino Linotype" w:hAnsi="Palatino Linotype" w:cs="Tahoma"/>
        </w:rPr>
        <w:t xml:space="preserve">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F34C61">
      <w:pPr>
        <w:spacing w:after="0" w:line="360" w:lineRule="auto"/>
        <w:jc w:val="both"/>
        <w:rPr>
          <w:rFonts w:ascii="Palatino Linotype" w:hAnsi="Palatino Linotype" w:cs="Tahoma"/>
        </w:rPr>
      </w:pPr>
    </w:p>
    <w:p w14:paraId="6D7C035C"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999D250" w14:textId="77777777" w:rsidR="00F34C61" w:rsidRDefault="00F34C61" w:rsidP="00F34C61">
      <w:pPr>
        <w:spacing w:after="0" w:line="360" w:lineRule="auto"/>
        <w:jc w:val="both"/>
        <w:rPr>
          <w:rFonts w:ascii="Palatino Linotype" w:hAnsi="Palatino Linotype" w:cs="Tahoma"/>
        </w:rPr>
      </w:pPr>
    </w:p>
    <w:p w14:paraId="2D262480" w14:textId="77777777" w:rsidR="00F34C61" w:rsidRPr="006A7606" w:rsidRDefault="00F34C61" w:rsidP="00F34C61">
      <w:pPr>
        <w:spacing w:after="0" w:line="360" w:lineRule="auto"/>
        <w:jc w:val="both"/>
        <w:rPr>
          <w:rFonts w:ascii="Palatino Linotype" w:hAnsi="Palatino Linotype"/>
          <w:lang w:eastAsia="es-MX"/>
        </w:rPr>
      </w:pPr>
      <w:r>
        <w:rPr>
          <w:rFonts w:ascii="Palatino Linotype" w:hAnsi="Palatino Linotype" w:cs="Arial"/>
        </w:rPr>
        <w:lastRenderedPageBreak/>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2B530962" w14:textId="77777777" w:rsidR="00F34C61" w:rsidRPr="006A7606" w:rsidRDefault="00F34C61" w:rsidP="00F34C61">
      <w:pPr>
        <w:shd w:val="clear" w:color="auto" w:fill="FFFFFF"/>
        <w:spacing w:after="0" w:line="360" w:lineRule="auto"/>
        <w:jc w:val="both"/>
        <w:rPr>
          <w:lang w:eastAsia="es-MX"/>
        </w:rPr>
      </w:pPr>
    </w:p>
    <w:p w14:paraId="2B9BC800" w14:textId="77777777" w:rsidR="00F34C61" w:rsidRPr="006A7606" w:rsidRDefault="00F34C61" w:rsidP="00F34C61">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125461D9" w14:textId="77777777" w:rsidR="00F34C61" w:rsidRPr="006A7606" w:rsidRDefault="00F34C61" w:rsidP="00F34C61">
      <w:pPr>
        <w:shd w:val="clear" w:color="auto" w:fill="FFFFFF"/>
        <w:spacing w:after="0" w:line="360" w:lineRule="auto"/>
        <w:jc w:val="both"/>
        <w:rPr>
          <w:lang w:eastAsia="es-MX"/>
        </w:rPr>
      </w:pPr>
    </w:p>
    <w:p w14:paraId="4A3A7E00" w14:textId="77777777" w:rsidR="00F34C61" w:rsidRDefault="00F34C61" w:rsidP="00F34C61">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41009A5F" w14:textId="77777777" w:rsidR="00F34C61" w:rsidRPr="006A7606" w:rsidRDefault="00F34C61" w:rsidP="00F34C61">
      <w:pPr>
        <w:spacing w:after="0" w:line="360" w:lineRule="auto"/>
        <w:jc w:val="both"/>
        <w:rPr>
          <w:rFonts w:ascii="Palatino Linotype" w:eastAsia="MS Mincho" w:hAnsi="Palatino Linotype" w:cs="Arial"/>
        </w:rPr>
      </w:pPr>
    </w:p>
    <w:p w14:paraId="4F2EF638"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57A895A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98273FF"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64ABF08" w14:textId="3BE729DA" w:rsidR="00F34C61" w:rsidRDefault="00F34C61" w:rsidP="00E176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CBAA7BE" w14:textId="77777777" w:rsidR="009E6884" w:rsidRPr="00E17623" w:rsidRDefault="009E6884" w:rsidP="00E17623">
      <w:pPr>
        <w:spacing w:after="0" w:line="360" w:lineRule="auto"/>
        <w:ind w:left="567" w:right="567"/>
        <w:jc w:val="both"/>
        <w:rPr>
          <w:rFonts w:ascii="Palatino Linotype" w:eastAsia="MS Mincho" w:hAnsi="Palatino Linotype" w:cs="Arial"/>
          <w:i/>
          <w:sz w:val="20"/>
          <w:szCs w:val="20"/>
        </w:rPr>
      </w:pPr>
    </w:p>
    <w:p w14:paraId="4C8F48B5" w14:textId="77777777" w:rsidR="00F34C61" w:rsidRDefault="00F34C61" w:rsidP="00F34C61">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FE52770" w14:textId="77777777" w:rsidR="00F34C61" w:rsidRPr="006A7606" w:rsidRDefault="00F34C61" w:rsidP="00F34C61">
      <w:pPr>
        <w:spacing w:after="0" w:line="360" w:lineRule="auto"/>
        <w:jc w:val="both"/>
        <w:rPr>
          <w:rFonts w:ascii="Palatino Linotype" w:eastAsia="MS Mincho" w:hAnsi="Palatino Linotype" w:cs="Arial"/>
        </w:rPr>
      </w:pPr>
    </w:p>
    <w:p w14:paraId="0526CBCF" w14:textId="77777777" w:rsidR="00F34C61" w:rsidRPr="006A7606" w:rsidRDefault="00F34C61" w:rsidP="00F34C61">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3C6568B1" w14:textId="77777777" w:rsidR="00F34C61" w:rsidRPr="006A7606" w:rsidRDefault="00F34C61" w:rsidP="00F34C61">
      <w:pPr>
        <w:spacing w:after="0" w:line="360" w:lineRule="auto"/>
        <w:jc w:val="both"/>
        <w:rPr>
          <w:rFonts w:ascii="Palatino Linotype" w:eastAsia="MS Mincho" w:hAnsi="Palatino Linotype" w:cs="Arial"/>
          <w:lang w:val="es-ES_tradnl"/>
        </w:rPr>
      </w:pPr>
    </w:p>
    <w:p w14:paraId="196E1363" w14:textId="77777777" w:rsidR="00F34C61" w:rsidRPr="006A7606" w:rsidRDefault="00F34C61" w:rsidP="00F34C61">
      <w:pPr>
        <w:spacing w:after="0" w:line="360" w:lineRule="auto"/>
        <w:jc w:val="both"/>
        <w:rPr>
          <w:rFonts w:ascii="Palatino Linotype" w:eastAsia="MS Mincho" w:hAnsi="Palatino Linotype" w:cs="Arial"/>
        </w:rPr>
      </w:pPr>
      <w:r>
        <w:rPr>
          <w:rFonts w:ascii="Palatino Linotype" w:eastAsia="MS Mincho" w:hAnsi="Palatino Linotype" w:cs="Arial"/>
          <w:lang w:val="es-ES_tradnl"/>
        </w:rPr>
        <w:lastRenderedPageBreak/>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2EEA8293"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5A0116C"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8C95C24"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FE086F3"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3A6091E"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3B8B304"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FB8889B" w14:textId="77777777" w:rsidR="00F34C61" w:rsidRPr="006A7606" w:rsidRDefault="00F34C61" w:rsidP="00F34C61">
      <w:pPr>
        <w:spacing w:after="0" w:line="360" w:lineRule="auto"/>
        <w:jc w:val="both"/>
        <w:rPr>
          <w:rFonts w:ascii="Palatino Linotype" w:hAnsi="Palatino Linotype" w:cs="Arial"/>
        </w:rPr>
      </w:pPr>
    </w:p>
    <w:p w14:paraId="16DFC9EC" w14:textId="2E3D58F4" w:rsidR="00191220" w:rsidRDefault="00F34C61" w:rsidP="00E176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 xml:space="preserve">el artículo 13, fracción I de la ley de </w:t>
      </w:r>
      <w:r w:rsidRPr="006E2C84">
        <w:rPr>
          <w:rFonts w:ascii="Palatino Linotype" w:hAnsi="Palatino Linotype" w:cs="Arial"/>
          <w:b/>
          <w:bCs/>
          <w:i/>
          <w:sz w:val="20"/>
          <w:szCs w:val="20"/>
          <w:u w:val="single"/>
          <w:lang w:eastAsia="es-MX"/>
        </w:rPr>
        <w:lastRenderedPageBreak/>
        <w:t>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FA23F8E" w14:textId="77777777" w:rsidR="009E6884" w:rsidRPr="006E2C84" w:rsidRDefault="009E6884" w:rsidP="00E17623">
      <w:pPr>
        <w:autoSpaceDE w:val="0"/>
        <w:autoSpaceDN w:val="0"/>
        <w:adjustRightInd w:val="0"/>
        <w:spacing w:after="0" w:line="360" w:lineRule="auto"/>
        <w:ind w:left="567" w:right="567"/>
        <w:jc w:val="both"/>
        <w:rPr>
          <w:rFonts w:ascii="Palatino Linotype" w:hAnsi="Palatino Linotype" w:cs="Arial"/>
          <w:i/>
          <w:sz w:val="20"/>
          <w:szCs w:val="20"/>
          <w:lang w:eastAsia="es-MX"/>
        </w:rPr>
      </w:pPr>
    </w:p>
    <w:p w14:paraId="669FE193"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9DA2D0" w14:textId="77777777" w:rsidR="00F34C61" w:rsidRPr="006A7606" w:rsidRDefault="00F34C61" w:rsidP="00F34C61">
      <w:pPr>
        <w:spacing w:after="0" w:line="360" w:lineRule="auto"/>
        <w:jc w:val="both"/>
        <w:rPr>
          <w:rFonts w:ascii="Palatino Linotype" w:hAnsi="Palatino Linotype"/>
        </w:rPr>
      </w:pPr>
    </w:p>
    <w:p w14:paraId="207BDA4F" w14:textId="77777777" w:rsidR="00F34C61" w:rsidRPr="006A7606" w:rsidRDefault="00F34C61" w:rsidP="00F34C61">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A72CCE2" w14:textId="77777777" w:rsidR="00F34C61" w:rsidRPr="006A7606" w:rsidRDefault="00F34C61" w:rsidP="00F34C61">
      <w:pPr>
        <w:spacing w:after="0" w:line="360" w:lineRule="auto"/>
        <w:jc w:val="both"/>
        <w:rPr>
          <w:rFonts w:ascii="Palatino Linotype" w:hAnsi="Palatino Linotype" w:cs="Segoe UI"/>
        </w:rPr>
      </w:pPr>
    </w:p>
    <w:p w14:paraId="312ADF2E" w14:textId="77777777" w:rsidR="00F34C61" w:rsidRPr="006E2C84" w:rsidRDefault="00F34C61" w:rsidP="00F34C61">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w:t>
      </w:r>
      <w:r w:rsidRPr="006E2C84">
        <w:rPr>
          <w:rFonts w:ascii="Palatino Linotype" w:eastAsia="Calibri" w:hAnsi="Palatino Linotype" w:cs="Arial"/>
          <w:b/>
          <w:bCs/>
          <w:i/>
          <w:sz w:val="20"/>
          <w:szCs w:val="20"/>
        </w:rPr>
        <w:lastRenderedPageBreak/>
        <w:t xml:space="preserve">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4C0C2D3" w14:textId="77777777" w:rsidR="00F34C61" w:rsidRPr="006E2C84" w:rsidRDefault="00F34C61" w:rsidP="00F34C61">
      <w:pPr>
        <w:shd w:val="clear" w:color="auto" w:fill="FFFFFF"/>
        <w:spacing w:after="0" w:line="360" w:lineRule="auto"/>
        <w:ind w:left="567" w:right="567"/>
        <w:jc w:val="both"/>
        <w:rPr>
          <w:rFonts w:ascii="Palatino Linotype" w:hAnsi="Palatino Linotype"/>
          <w:b/>
          <w:bCs/>
          <w:i/>
          <w:iCs/>
          <w:sz w:val="20"/>
          <w:szCs w:val="20"/>
          <w:lang w:eastAsia="es-MX"/>
        </w:rPr>
      </w:pPr>
    </w:p>
    <w:p w14:paraId="01FEEDB3" w14:textId="77777777" w:rsidR="00F34C61" w:rsidRDefault="00F34C61" w:rsidP="00F34C61">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w:t>
      </w:r>
      <w:r w:rsidRPr="006E2C84">
        <w:rPr>
          <w:rFonts w:ascii="Palatino Linotype" w:hAnsi="Palatino Linotype"/>
          <w:i/>
          <w:iCs/>
          <w:sz w:val="20"/>
          <w:szCs w:val="20"/>
          <w:lang w:eastAsia="es-MX"/>
        </w:rPr>
        <w:lastRenderedPageBreak/>
        <w:t>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506E096" w14:textId="77777777" w:rsidR="00F34C61" w:rsidRPr="006E2C84" w:rsidRDefault="00F34C61" w:rsidP="00F34C61">
      <w:pPr>
        <w:shd w:val="clear" w:color="auto" w:fill="FFFFFF"/>
        <w:spacing w:after="0" w:line="360" w:lineRule="auto"/>
        <w:ind w:left="567" w:right="567"/>
        <w:jc w:val="both"/>
        <w:rPr>
          <w:sz w:val="20"/>
          <w:szCs w:val="20"/>
          <w:lang w:eastAsia="es-MX"/>
        </w:rPr>
      </w:pPr>
    </w:p>
    <w:p w14:paraId="2BF1A5B9" w14:textId="77777777" w:rsidR="00F34C61" w:rsidRDefault="00F34C61" w:rsidP="00F34C61">
      <w:pPr>
        <w:spacing w:after="0" w:line="360" w:lineRule="auto"/>
        <w:jc w:val="both"/>
        <w:rPr>
          <w:rFonts w:ascii="Palatino Linotype" w:hAnsi="Palatino Linotype" w:cs="Arial"/>
        </w:rPr>
      </w:pPr>
      <w:r w:rsidRPr="006A7606">
        <w:rPr>
          <w:rFonts w:ascii="Palatino Linotype" w:hAnsi="Palatino Linotype" w:cs="Arial"/>
        </w:rPr>
        <w:t xml:space="preserve">En efecto,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06F7ECD" w14:textId="77777777" w:rsidR="00F34C61" w:rsidRDefault="00F34C61" w:rsidP="00F34C61">
      <w:pPr>
        <w:spacing w:after="0" w:line="360" w:lineRule="auto"/>
        <w:jc w:val="both"/>
        <w:rPr>
          <w:rFonts w:ascii="Palatino Linotype" w:hAnsi="Palatino Linotype" w:cs="Arial"/>
        </w:rPr>
      </w:pPr>
    </w:p>
    <w:p w14:paraId="00607217"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w:t>
      </w:r>
      <w:r w:rsidRPr="00885189">
        <w:rPr>
          <w:rFonts w:ascii="Palatino Linotype" w:hAnsi="Palatino Linotype" w:cs="Tahoma"/>
        </w:rPr>
        <w:lastRenderedPageBreak/>
        <w:t xml:space="preserve">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0F059A53" w14:textId="77777777" w:rsidR="00F34C61" w:rsidRPr="00885189" w:rsidRDefault="00F34C61" w:rsidP="00F34C61">
      <w:pPr>
        <w:spacing w:after="0" w:line="360" w:lineRule="auto"/>
        <w:jc w:val="both"/>
        <w:rPr>
          <w:rFonts w:ascii="Palatino Linotype" w:hAnsi="Palatino Linotype" w:cs="Tahoma"/>
        </w:rPr>
      </w:pPr>
    </w:p>
    <w:p w14:paraId="64FE1DF2"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F34C61">
      <w:pPr>
        <w:spacing w:after="0" w:line="360" w:lineRule="auto"/>
        <w:jc w:val="both"/>
        <w:rPr>
          <w:rFonts w:ascii="Palatino Linotype" w:hAnsi="Palatino Linotype" w:cs="Tahoma"/>
        </w:rPr>
      </w:pPr>
    </w:p>
    <w:p w14:paraId="52197E5E" w14:textId="77777777"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3711BEC1" w14:textId="77777777" w:rsidR="00F34C61" w:rsidRPr="00885189" w:rsidRDefault="00F34C61" w:rsidP="00F34C61">
      <w:pPr>
        <w:spacing w:after="0" w:line="360" w:lineRule="auto"/>
        <w:jc w:val="both"/>
        <w:rPr>
          <w:rFonts w:ascii="Palatino Linotype" w:hAnsi="Palatino Linotype" w:cs="Tahoma"/>
        </w:rPr>
      </w:pPr>
    </w:p>
    <w:p w14:paraId="3ECFCD74"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Tahoma"/>
        </w:rPr>
        <w:lastRenderedPageBreak/>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5099EBA" w14:textId="77777777" w:rsidR="00F34C61" w:rsidRPr="00885189" w:rsidRDefault="00F34C61" w:rsidP="00F34C61">
      <w:pPr>
        <w:spacing w:after="0" w:line="360" w:lineRule="auto"/>
        <w:jc w:val="both"/>
        <w:rPr>
          <w:rFonts w:ascii="Palatino Linotype" w:hAnsi="Palatino Linotype" w:cs="Tahoma"/>
        </w:rPr>
      </w:pPr>
    </w:p>
    <w:p w14:paraId="1D1B1945"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33A51B6C" w14:textId="77777777" w:rsidR="00F34C61" w:rsidRDefault="00F34C61" w:rsidP="00F34C61">
      <w:pPr>
        <w:spacing w:after="0" w:line="360" w:lineRule="auto"/>
        <w:jc w:val="both"/>
        <w:rPr>
          <w:rFonts w:ascii="Palatino Linotype" w:hAnsi="Palatino Linotype" w:cs="Tahoma"/>
        </w:rPr>
      </w:pPr>
    </w:p>
    <w:p w14:paraId="6019D047"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9583006" w14:textId="77777777" w:rsidR="00F34C61" w:rsidRPr="00DF675F" w:rsidRDefault="00F34C61" w:rsidP="00F34C61">
      <w:pPr>
        <w:spacing w:after="0" w:line="360" w:lineRule="auto"/>
        <w:jc w:val="both"/>
        <w:rPr>
          <w:rFonts w:ascii="Palatino Linotype" w:hAnsi="Palatino Linotype" w:cs="Tahoma"/>
        </w:rPr>
      </w:pPr>
    </w:p>
    <w:p w14:paraId="502F15BA" w14:textId="230D0060" w:rsidR="009E6884" w:rsidRDefault="00F34C61" w:rsidP="009E6884">
      <w:pPr>
        <w:spacing w:after="0" w:line="360" w:lineRule="auto"/>
        <w:jc w:val="both"/>
        <w:rPr>
          <w:rFonts w:ascii="Palatino Linotype" w:hAnsi="Palatino Linotype" w:cs="Tahoma"/>
          <w:lang w:val="es-MX"/>
        </w:rPr>
      </w:pPr>
      <w:r w:rsidRPr="00DF675F">
        <w:rPr>
          <w:rFonts w:ascii="Palatino Linotype" w:hAnsi="Palatino Linotype" w:cs="Tahoma"/>
        </w:rPr>
        <w:t xml:space="preserve">Así, con base en los razonamientos expuestos, se emite el Presente </w:t>
      </w:r>
      <w:r w:rsidRPr="00191220">
        <w:rPr>
          <w:rFonts w:ascii="Palatino Linotype" w:hAnsi="Palatino Linotype" w:cs="Tahoma"/>
          <w:b/>
          <w:bCs/>
        </w:rPr>
        <w:t>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009E6884" w:rsidRPr="001514DB">
        <w:rPr>
          <w:rFonts w:ascii="Palatino Linotype" w:hAnsi="Palatino Linotype" w:cs="Tahoma"/>
          <w:lang w:val="es-MX"/>
        </w:rPr>
        <w:t>------------------------------------------------------------------------------------------------------------------------------------------------------------------------------------------------------------------------------------------------------------------------------------------------------------------------------------------------------------------------------------------------------------------------------------------------------------------------------------------------------------------------------------------------------------------------------------------------------------------------------------------------------------------------------------------------------------------------------------------------------------------------------------------------------------------------------------------------------------------------------------------------------------------------------------------------------------------------------------------------</w:t>
      </w:r>
      <w:r w:rsidR="009E6884">
        <w:rPr>
          <w:rFonts w:ascii="Palatino Linotype" w:hAnsi="Palatino Linotype" w:cs="Tahoma"/>
          <w:lang w:val="es-MX"/>
        </w:rPr>
        <w:br w:type="page"/>
      </w:r>
    </w:p>
    <w:p w14:paraId="15D81A1D" w14:textId="77777777" w:rsidR="00F84B95" w:rsidRDefault="00F84B95" w:rsidP="00F34C61">
      <w:pPr>
        <w:spacing w:after="0" w:line="360" w:lineRule="auto"/>
        <w:jc w:val="both"/>
      </w:pPr>
    </w:p>
    <w:sectPr w:rsidR="00F84B95" w:rsidSect="00950355">
      <w:headerReference w:type="even" r:id="rId6"/>
      <w:headerReference w:type="default" r:id="rId7"/>
      <w:footerReference w:type="default" r:id="rId8"/>
      <w:headerReference w:type="firs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C89FA" w14:textId="77777777" w:rsidR="008E5C43" w:rsidRDefault="008E5C43" w:rsidP="00A80C30">
      <w:pPr>
        <w:spacing w:after="0" w:line="240" w:lineRule="auto"/>
      </w:pPr>
      <w:r>
        <w:separator/>
      </w:r>
    </w:p>
  </w:endnote>
  <w:endnote w:type="continuationSeparator" w:id="0">
    <w:p w14:paraId="76B8044F" w14:textId="77777777" w:rsidR="008E5C43" w:rsidRDefault="008E5C43"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6A7CAA">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A7CAA">
              <w:rPr>
                <w:b/>
                <w:bCs/>
                <w:noProof/>
              </w:rPr>
              <w:t>11</w:t>
            </w:r>
            <w:r>
              <w:rPr>
                <w:b/>
                <w:bCs/>
                <w:sz w:val="24"/>
                <w:szCs w:val="24"/>
              </w:rPr>
              <w:fldChar w:fldCharType="end"/>
            </w:r>
          </w:p>
        </w:sdtContent>
      </w:sdt>
    </w:sdtContent>
  </w:sdt>
  <w:p w14:paraId="0581D3D8" w14:textId="77777777" w:rsidR="00AC333A" w:rsidRDefault="008E5C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BB351" w14:textId="77777777" w:rsidR="008E5C43" w:rsidRDefault="008E5C43" w:rsidP="00A80C30">
      <w:pPr>
        <w:spacing w:after="0" w:line="240" w:lineRule="auto"/>
      </w:pPr>
      <w:r>
        <w:separator/>
      </w:r>
    </w:p>
  </w:footnote>
  <w:footnote w:type="continuationSeparator" w:id="0">
    <w:p w14:paraId="23B4796D" w14:textId="77777777" w:rsidR="008E5C43" w:rsidRDefault="008E5C43"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F5E0F" w14:textId="680E46C1" w:rsidR="00A80C30" w:rsidRDefault="008E5C43">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3"/>
      <w:gridCol w:w="5159"/>
    </w:tblGrid>
    <w:tr w:rsidR="0077694E" w:rsidRPr="001106EA" w14:paraId="1FC3852C" w14:textId="77777777" w:rsidTr="00B2184D">
      <w:trPr>
        <w:trHeight w:val="2219"/>
      </w:trPr>
      <w:tc>
        <w:tcPr>
          <w:tcW w:w="3913"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4E0BF485" w:rsidR="00285C7B" w:rsidRDefault="00285C7B" w:rsidP="00285C7B">
          <w:pPr>
            <w:pStyle w:val="Encabezado"/>
            <w:tabs>
              <w:tab w:val="clear" w:pos="4252"/>
              <w:tab w:val="center" w:pos="2614"/>
            </w:tabs>
            <w:ind w:left="-255"/>
          </w:pPr>
        </w:p>
      </w:tc>
      <w:tc>
        <w:tcPr>
          <w:tcW w:w="5159" w:type="dxa"/>
          <w:vAlign w:val="center"/>
        </w:tcPr>
        <w:p w14:paraId="3C4C7CFE" w14:textId="77777777" w:rsidR="001106EA" w:rsidRPr="00B9745A" w:rsidRDefault="008E5C43" w:rsidP="00285C7B">
          <w:pPr>
            <w:pStyle w:val="Encabezado"/>
            <w:ind w:right="-250"/>
            <w:jc w:val="both"/>
            <w:rPr>
              <w:rFonts w:ascii="Palatino Linotype" w:hAnsi="Palatino Linotype" w:cs="Tahoma"/>
            </w:rPr>
          </w:pPr>
        </w:p>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CF15EB5" w14:textId="4EEE9326" w:rsidR="009D36B8" w:rsidRDefault="001F75E5" w:rsidP="00285C7B">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0E4672" w:rsidRPr="00C07EB9">
            <w:rPr>
              <w:rFonts w:ascii="Palatino Linotype" w:hAnsi="Palatino Linotype"/>
              <w:bCs/>
              <w:lang w:val="es-MX"/>
            </w:rPr>
            <w:t>00410/INFOEM/IP/RR/2022</w:t>
          </w:r>
        </w:p>
        <w:p w14:paraId="2336ABAD" w14:textId="5E27E775"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B2184D" w:rsidRPr="00B2184D">
            <w:rPr>
              <w:rFonts w:ascii="Palatino Linotype" w:hAnsi="Palatino Linotype"/>
              <w:lang w:val="es-MX"/>
            </w:rPr>
            <w:t>Ayuntamiento de San Martín de las Pirámides</w:t>
          </w:r>
        </w:p>
        <w:p w14:paraId="2404F005" w14:textId="07739DC0" w:rsidR="00285C7B" w:rsidRDefault="001F75E5" w:rsidP="00285C7B">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8F091A" w:rsidRPr="008F091A">
            <w:rPr>
              <w:rFonts w:ascii="Palatino Linotype" w:hAnsi="Palatino Linotype" w:cs="Arial"/>
              <w:szCs w:val="20"/>
            </w:rPr>
            <w:t>José Martínez Vilchis</w:t>
          </w:r>
        </w:p>
        <w:p w14:paraId="39702EE3" w14:textId="5A2DA44C" w:rsidR="00285C7B" w:rsidRPr="00285C7B" w:rsidRDefault="00285C7B" w:rsidP="00285C7B">
          <w:pPr>
            <w:pStyle w:val="Encabezado"/>
            <w:ind w:left="-108" w:right="-250"/>
            <w:jc w:val="both"/>
            <w:rPr>
              <w:rFonts w:ascii="Palatino Linotype" w:hAnsi="Palatino Linotype"/>
              <w:bCs/>
              <w:lang w:val="es-ES_tradnl"/>
            </w:rPr>
          </w:pPr>
        </w:p>
      </w:tc>
    </w:tr>
  </w:tbl>
  <w:p w14:paraId="2AD8A022" w14:textId="7C93B020" w:rsidR="00D55429" w:rsidRPr="001106EA" w:rsidRDefault="008E5C43">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EC72E" w14:textId="0BC76365" w:rsidR="00A80C30" w:rsidRDefault="008E5C43">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82310"/>
    <w:rsid w:val="000829A5"/>
    <w:rsid w:val="000E4672"/>
    <w:rsid w:val="00100065"/>
    <w:rsid w:val="00113108"/>
    <w:rsid w:val="00191220"/>
    <w:rsid w:val="001971A0"/>
    <w:rsid w:val="001F75E5"/>
    <w:rsid w:val="00241A58"/>
    <w:rsid w:val="00285C7B"/>
    <w:rsid w:val="002D6AB3"/>
    <w:rsid w:val="00304A0F"/>
    <w:rsid w:val="00314859"/>
    <w:rsid w:val="003B571F"/>
    <w:rsid w:val="003E56C5"/>
    <w:rsid w:val="004412C6"/>
    <w:rsid w:val="004738C3"/>
    <w:rsid w:val="00486BD3"/>
    <w:rsid w:val="00494387"/>
    <w:rsid w:val="004A7A76"/>
    <w:rsid w:val="004C0D87"/>
    <w:rsid w:val="004C7D91"/>
    <w:rsid w:val="004D26F6"/>
    <w:rsid w:val="00506560"/>
    <w:rsid w:val="00506AB5"/>
    <w:rsid w:val="00533E57"/>
    <w:rsid w:val="00541BAC"/>
    <w:rsid w:val="00543C9A"/>
    <w:rsid w:val="005974CA"/>
    <w:rsid w:val="00601591"/>
    <w:rsid w:val="006408E2"/>
    <w:rsid w:val="00684986"/>
    <w:rsid w:val="00690441"/>
    <w:rsid w:val="006A7CAA"/>
    <w:rsid w:val="006B7F16"/>
    <w:rsid w:val="006C2B09"/>
    <w:rsid w:val="00716333"/>
    <w:rsid w:val="00756729"/>
    <w:rsid w:val="007F32AC"/>
    <w:rsid w:val="007F48E1"/>
    <w:rsid w:val="00823E1B"/>
    <w:rsid w:val="0083177F"/>
    <w:rsid w:val="00833C20"/>
    <w:rsid w:val="00842979"/>
    <w:rsid w:val="00870420"/>
    <w:rsid w:val="008E2746"/>
    <w:rsid w:val="008E5C43"/>
    <w:rsid w:val="008F091A"/>
    <w:rsid w:val="008F78B8"/>
    <w:rsid w:val="00913F1E"/>
    <w:rsid w:val="00922026"/>
    <w:rsid w:val="0092789B"/>
    <w:rsid w:val="00940F06"/>
    <w:rsid w:val="00960C5A"/>
    <w:rsid w:val="00961702"/>
    <w:rsid w:val="009C6B45"/>
    <w:rsid w:val="009E6884"/>
    <w:rsid w:val="009F23B2"/>
    <w:rsid w:val="00A17F80"/>
    <w:rsid w:val="00A21473"/>
    <w:rsid w:val="00A54CCC"/>
    <w:rsid w:val="00A80C30"/>
    <w:rsid w:val="00A9782A"/>
    <w:rsid w:val="00AF77D3"/>
    <w:rsid w:val="00B2184D"/>
    <w:rsid w:val="00B43526"/>
    <w:rsid w:val="00B55282"/>
    <w:rsid w:val="00B80272"/>
    <w:rsid w:val="00BA54EE"/>
    <w:rsid w:val="00BF0E4F"/>
    <w:rsid w:val="00C00E77"/>
    <w:rsid w:val="00C07EB9"/>
    <w:rsid w:val="00C60C1A"/>
    <w:rsid w:val="00C75F6B"/>
    <w:rsid w:val="00CB36F3"/>
    <w:rsid w:val="00CC3620"/>
    <w:rsid w:val="00CD7937"/>
    <w:rsid w:val="00D51BFD"/>
    <w:rsid w:val="00D6254E"/>
    <w:rsid w:val="00DB121C"/>
    <w:rsid w:val="00DD5D61"/>
    <w:rsid w:val="00E17623"/>
    <w:rsid w:val="00E41DD5"/>
    <w:rsid w:val="00E43FEA"/>
    <w:rsid w:val="00E61D6C"/>
    <w:rsid w:val="00E67710"/>
    <w:rsid w:val="00E678EF"/>
    <w:rsid w:val="00E7322A"/>
    <w:rsid w:val="00E878DE"/>
    <w:rsid w:val="00EB135A"/>
    <w:rsid w:val="00F1426D"/>
    <w:rsid w:val="00F34C61"/>
    <w:rsid w:val="00F35BFB"/>
    <w:rsid w:val="00F56AE6"/>
    <w:rsid w:val="00F67D99"/>
    <w:rsid w:val="00F84B95"/>
    <w:rsid w:val="00F91A8F"/>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3043</Words>
  <Characters>16738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USER</cp:lastModifiedBy>
  <cp:revision>21</cp:revision>
  <cp:lastPrinted>2022-01-17T19:14:00Z</cp:lastPrinted>
  <dcterms:created xsi:type="dcterms:W3CDTF">2022-02-25T16:12:00Z</dcterms:created>
  <dcterms:modified xsi:type="dcterms:W3CDTF">2022-03-07T19:57:00Z</dcterms:modified>
</cp:coreProperties>
</file>