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CDA71" w14:textId="0D76EC6F" w:rsidR="00CC3DE8" w:rsidRDefault="00CC3DE8" w:rsidP="00CC3DE8">
      <w:pPr>
        <w:spacing w:line="360" w:lineRule="auto"/>
        <w:ind w:right="-93"/>
        <w:contextualSpacing/>
        <w:jc w:val="both"/>
        <w:rPr>
          <w:rFonts w:ascii="Palatino Linotype" w:hAnsi="Palatino Linotype"/>
          <w:b/>
          <w:bCs/>
        </w:rPr>
      </w:pPr>
      <w:r>
        <w:rPr>
          <w:rFonts w:ascii="Palatino Linotype" w:hAnsi="Palatino Linotype" w:cs="Tahoma"/>
          <w:b/>
        </w:rPr>
        <w:t>VOTO PARTICULAR QUE FORMULA</w:t>
      </w:r>
      <w:r>
        <w:rPr>
          <w:rFonts w:ascii="Palatino Linotype" w:hAnsi="Palatino Linotype" w:cs="Tahoma"/>
          <w:b/>
        </w:rPr>
        <w:t xml:space="preserve"> </w:t>
      </w:r>
      <w:r w:rsidRPr="00CF3F65">
        <w:rPr>
          <w:rFonts w:ascii="Palatino Linotype" w:hAnsi="Palatino Linotype" w:cs="Arial"/>
          <w:b/>
        </w:rPr>
        <w:t>DE LA COMISIONADA MARÍA DEL ROSARIO MEJÍA AYALA</w:t>
      </w:r>
      <w:r>
        <w:rPr>
          <w:rFonts w:ascii="Palatino Linotype" w:hAnsi="Palatino Linotype" w:cs="Tahoma"/>
          <w:b/>
        </w:rPr>
        <w:t xml:space="preserve">, CON RELACIÓN A LA RESOLUCIÓN EMITIDA POR EL PLENO DEL INSTITUTO DE TRANSPARENCIA, ACCESO A LA INFORMACIÓN PÚBLICA Y PROTECCIÓN DE DATOS PERSONALES DEL ESTADO DE MÉXICO Y MUNICIPIOS AL RECURSO DE REVISIÓN </w:t>
      </w:r>
      <w:r>
        <w:rPr>
          <w:b/>
        </w:rPr>
        <w:t>00224/INFOEM/IP/RR/2022</w:t>
      </w:r>
      <w:r>
        <w:rPr>
          <w:rFonts w:ascii="Palatino Linotype" w:hAnsi="Palatino Linotype" w:cs="Tahoma"/>
          <w:b/>
        </w:rPr>
        <w:t xml:space="preserve">, PROMOVIDO EN CONTRA DEL </w:t>
      </w:r>
      <w:r w:rsidRPr="00CC3DE8">
        <w:rPr>
          <w:rFonts w:ascii="Palatino Linotype" w:hAnsi="Palatino Linotype"/>
          <w:b/>
          <w:bCs/>
        </w:rPr>
        <w:t>SISTEMA DE TRANSPORTE MASIVO Y TELEFÉRICO DEL ESTADO DE MÉXICO</w:t>
      </w:r>
      <w:r>
        <w:rPr>
          <w:rFonts w:ascii="Palatino Linotype" w:hAnsi="Palatino Linotype"/>
          <w:b/>
          <w:bCs/>
        </w:rPr>
        <w:t>.</w:t>
      </w:r>
      <w:r w:rsidRPr="00CC3DE8">
        <w:rPr>
          <w:rFonts w:ascii="Palatino Linotype" w:hAnsi="Palatino Linotype"/>
          <w:b/>
          <w:bCs/>
        </w:rPr>
        <w:t xml:space="preserve"> </w:t>
      </w:r>
    </w:p>
    <w:p w14:paraId="475DCE38" w14:textId="77777777" w:rsidR="007B1CFA" w:rsidRPr="00CF3F65" w:rsidRDefault="007B1CF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D0152F6" w14:textId="77777777" w:rsidR="0071135E" w:rsidRDefault="00CF3F65" w:rsidP="0071135E">
      <w:pPr>
        <w:spacing w:line="360" w:lineRule="auto"/>
        <w:jc w:val="both"/>
        <w:rPr>
          <w:rFonts w:ascii="Palatino Linotype" w:eastAsia="Palatino Linotype" w:hAnsi="Palatino Linotype" w:cs="Palatino Linotype"/>
          <w:b/>
        </w:rPr>
      </w:pPr>
      <w:r w:rsidRPr="0024476F">
        <w:rPr>
          <w:rFonts w:ascii="Palatino Linotype" w:hAnsi="Palatino Linotype" w:cs="Arial"/>
        </w:rPr>
        <w:t xml:space="preserve">En términos de lo dispuesto por los artículos 189, párrafo primero, de la Ley de </w:t>
      </w:r>
      <w:bookmarkStart w:id="1" w:name="_GoBack"/>
      <w:bookmarkEnd w:id="1"/>
      <w:r w:rsidRPr="0024476F">
        <w:rPr>
          <w:rFonts w:ascii="Palatino Linotype" w:hAnsi="Palatino Linotype" w:cs="Arial"/>
        </w:rPr>
        <w:t>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CC3DE8">
        <w:rPr>
          <w:b/>
        </w:rPr>
        <w:t>00224/INFOEM/IP/RR/2022</w:t>
      </w:r>
      <w:r>
        <w:rPr>
          <w:rFonts w:ascii="Palatino Linotype" w:hAnsi="Palatino Linotype" w:cs="Arial"/>
          <w:b/>
        </w:rPr>
        <w:t xml:space="preserve">, </w:t>
      </w:r>
      <w:r w:rsidRPr="0024476F">
        <w:rPr>
          <w:rFonts w:ascii="Palatino Linotype" w:hAnsi="Palatino Linotype" w:cs="Arial"/>
        </w:rPr>
        <w:t>promovido en contra de</w:t>
      </w:r>
      <w:r>
        <w:rPr>
          <w:rFonts w:ascii="Palatino Linotype" w:hAnsi="Palatino Linotype" w:cs="Arial"/>
        </w:rPr>
        <w:t xml:space="preserve">l </w:t>
      </w:r>
      <w:r w:rsidR="00CC3DE8">
        <w:rPr>
          <w:b/>
        </w:rPr>
        <w:t>Sistema de Transporte Masivo y Teleférico del Estado de México</w:t>
      </w:r>
      <w:r w:rsidR="008F67BC">
        <w:rPr>
          <w:rFonts w:ascii="Palatino Linotype" w:eastAsia="Palatino Linotype" w:hAnsi="Palatino Linotype" w:cs="Palatino Linotype"/>
          <w:b/>
        </w:rPr>
        <w:t>.</w:t>
      </w:r>
    </w:p>
    <w:p w14:paraId="20E65AAF" w14:textId="77777777" w:rsidR="0071135E" w:rsidRDefault="0071135E" w:rsidP="0071135E">
      <w:pPr>
        <w:spacing w:line="360" w:lineRule="auto"/>
        <w:jc w:val="both"/>
        <w:rPr>
          <w:rFonts w:ascii="Palatino Linotype" w:eastAsia="Palatino Linotype" w:hAnsi="Palatino Linotype" w:cs="Palatino Linotype"/>
          <w:b/>
        </w:rPr>
      </w:pPr>
    </w:p>
    <w:p w14:paraId="6969C420" w14:textId="77777777" w:rsidR="0071135E" w:rsidRDefault="0071135E" w:rsidP="0071135E">
      <w:pPr>
        <w:spacing w:line="360" w:lineRule="auto"/>
        <w:jc w:val="both"/>
        <w:rPr>
          <w:rFonts w:ascii="Palatino Linotype" w:hAnsi="Palatino Linotype" w:cs="Arial"/>
          <w:lang w:val="es-ES_tradnl"/>
        </w:rPr>
      </w:pPr>
      <w:r>
        <w:rPr>
          <w:rFonts w:ascii="Palatino Linotype" w:hAnsi="Palatino Linotype" w:cs="Tahoma"/>
        </w:rPr>
        <w:t>E</w:t>
      </w:r>
      <w:r w:rsidRPr="00C569A8">
        <w:rPr>
          <w:rFonts w:ascii="Palatino Linotype" w:hAnsi="Palatino Linotype" w:cs="Tahoma"/>
        </w:rPr>
        <w:t xml:space="preserve">n la Resolución se determinó </w:t>
      </w:r>
      <w:r w:rsidRPr="0071135E">
        <w:rPr>
          <w:rFonts w:ascii="Palatino Linotype" w:hAnsi="Palatino Linotype" w:cs="Arial"/>
          <w:lang w:val="es-ES_tradnl"/>
        </w:rPr>
        <w:t>Ordena</w:t>
      </w:r>
      <w:r>
        <w:rPr>
          <w:rFonts w:ascii="Palatino Linotype" w:hAnsi="Palatino Linotype" w:cs="Arial"/>
          <w:lang w:val="es-ES_tradnl"/>
        </w:rPr>
        <w:t>r</w:t>
      </w:r>
      <w:r w:rsidRPr="0071135E">
        <w:rPr>
          <w:rFonts w:ascii="Palatino Linotype" w:hAnsi="Palatino Linotype" w:cs="Arial"/>
          <w:lang w:val="es-ES_tradnl"/>
        </w:rPr>
        <w:t xml:space="preserve"> al Sujeto Obligado</w:t>
      </w:r>
      <w:r w:rsidRPr="00C569A8">
        <w:rPr>
          <w:rFonts w:ascii="Palatino Linotype" w:hAnsi="Palatino Linotype" w:cs="Tahoma"/>
        </w:rPr>
        <w:t xml:space="preserve">, entregue en copias certificadas previo pago de los derechos correspondiente, </w:t>
      </w:r>
      <w:r w:rsidRPr="0071135E">
        <w:rPr>
          <w:rFonts w:ascii="Palatino Linotype" w:hAnsi="Palatino Linotype" w:cs="Arial"/>
          <w:lang w:val="es-ES_tradnl"/>
        </w:rPr>
        <w:t xml:space="preserve">el o los contratos respectivos que acrediten la legal adquisición del o los predios que ocupará el proyecto, en el municipio de Chalco, Estado de México, así como los anexos que lo </w:t>
      </w:r>
      <w:r w:rsidRPr="0071135E">
        <w:rPr>
          <w:rFonts w:ascii="Palatino Linotype" w:hAnsi="Palatino Linotype" w:cs="Arial"/>
          <w:lang w:val="es-ES_tradnl"/>
        </w:rPr>
        <w:lastRenderedPageBreak/>
        <w:t>integren</w:t>
      </w:r>
      <w:r w:rsidRPr="00C569A8">
        <w:rPr>
          <w:rFonts w:ascii="Palatino Linotype" w:hAnsi="Palatino Linotype" w:cs="Tahoma"/>
        </w:rPr>
        <w:t xml:space="preserve"> </w:t>
      </w:r>
      <w:r w:rsidRPr="00C569A8">
        <w:rPr>
          <w:rFonts w:ascii="Palatino Linotype" w:hAnsi="Palatino Linotype" w:cs="Tahoma"/>
        </w:rPr>
        <w:t xml:space="preserve">por lo que, </w:t>
      </w:r>
      <w:r>
        <w:rPr>
          <w:rFonts w:ascii="Palatino Linotype" w:hAnsi="Palatino Linotype" w:cs="Tahoma"/>
        </w:rPr>
        <w:t xml:space="preserve">previamente </w:t>
      </w:r>
      <w:r w:rsidRPr="0071135E">
        <w:rPr>
          <w:rFonts w:ascii="Palatino Linotype" w:hAnsi="Palatino Linotype" w:cs="Arial"/>
          <w:lang w:val="es-ES_tradnl"/>
        </w:rPr>
        <w:t>deberá hacer de conocimiento de la parte Recurrente, vía SAIMEX, el costo por la reproducción en su caso, el lugar, día y horarios en los que podrá acceder a la información, así como el nombre del o los servidores públicos que le atenderán.</w:t>
      </w:r>
    </w:p>
    <w:p w14:paraId="6D1A9E46" w14:textId="77777777" w:rsidR="0071135E" w:rsidRDefault="0071135E" w:rsidP="0071135E">
      <w:pPr>
        <w:spacing w:line="360" w:lineRule="auto"/>
        <w:jc w:val="both"/>
        <w:rPr>
          <w:rFonts w:ascii="Palatino Linotype" w:hAnsi="Palatino Linotype" w:cs="Arial"/>
          <w:lang w:val="es-ES_tradnl"/>
        </w:rPr>
      </w:pPr>
    </w:p>
    <w:p w14:paraId="6E347287" w14:textId="7B8AF91B" w:rsidR="0071135E" w:rsidRDefault="008F4AE6" w:rsidP="0071135E">
      <w:pPr>
        <w:spacing w:line="360" w:lineRule="auto"/>
        <w:jc w:val="both"/>
        <w:rPr>
          <w:rFonts w:ascii="Palatino Linotype" w:hAnsi="Palatino Linotype" w:cs="Arial"/>
          <w:lang w:val="es-ES_tradnl"/>
        </w:rPr>
      </w:pPr>
      <w:r>
        <w:rPr>
          <w:rFonts w:ascii="Palatino Linotype" w:hAnsi="Palatino Linotype" w:cs="Arial"/>
          <w:lang w:val="es-ES_tradnl"/>
        </w:rPr>
        <w:t>Al respecto, se indica que  el</w:t>
      </w:r>
      <w:r w:rsidR="0071135E">
        <w:rPr>
          <w:rFonts w:ascii="Palatino Linotype" w:hAnsi="Palatino Linotype" w:cs="Arial"/>
          <w:lang w:val="es-ES_tradnl"/>
        </w:rPr>
        <w:t xml:space="preserve"> artículo 6° de la Constitución Política de los Estados Unidos Mexicanos protege el derecho de acceso a la información bajo ciertos principios, entre los que se encuentra el que refiere que toda persona, sin necesidad de acreditar interés alguno o justificar su utilización, tendrá acceso gratuito a la información pública, a sus datos</w:t>
      </w:r>
      <w:r>
        <w:rPr>
          <w:rFonts w:ascii="Palatino Linotype" w:hAnsi="Palatino Linotype" w:cs="Arial"/>
          <w:lang w:val="es-ES_tradnl"/>
        </w:rPr>
        <w:t xml:space="preserve">  </w:t>
      </w:r>
      <w:r w:rsidR="0071135E">
        <w:rPr>
          <w:rFonts w:ascii="Palatino Linotype" w:hAnsi="Palatino Linotype" w:cs="Arial"/>
          <w:lang w:val="es-ES_tradnl"/>
        </w:rPr>
        <w:t>personales o a la rectificación de éstos.</w:t>
      </w:r>
    </w:p>
    <w:p w14:paraId="152E5F0F" w14:textId="77777777" w:rsidR="0071135E" w:rsidRDefault="0071135E" w:rsidP="0071135E">
      <w:pPr>
        <w:spacing w:line="360" w:lineRule="auto"/>
        <w:jc w:val="both"/>
        <w:rPr>
          <w:rFonts w:ascii="Palatino Linotype" w:hAnsi="Palatino Linotype" w:cs="Arial"/>
          <w:lang w:val="es-ES_tradnl"/>
        </w:rPr>
      </w:pPr>
    </w:p>
    <w:p w14:paraId="2C6C0540" w14:textId="73515FB6" w:rsidR="0071135E" w:rsidRPr="00C569A8" w:rsidRDefault="0071135E" w:rsidP="0071135E">
      <w:pPr>
        <w:spacing w:line="360" w:lineRule="auto"/>
        <w:jc w:val="both"/>
        <w:rPr>
          <w:rFonts w:ascii="Palatino Linotype" w:hAnsi="Palatino Linotype" w:cs="Tahoma"/>
        </w:rPr>
      </w:pPr>
      <w:r>
        <w:rPr>
          <w:rFonts w:ascii="Palatino Linotype" w:hAnsi="Palatino Linotype" w:cs="Tahoma"/>
        </w:rPr>
        <w:t xml:space="preserve">Asimismo, </w:t>
      </w:r>
      <w:r w:rsidRPr="00C569A8">
        <w:rPr>
          <w:rFonts w:ascii="Palatino Linotype" w:hAnsi="Palatino Linotype" w:cs="Tahoma"/>
        </w:rPr>
        <w:t xml:space="preserve">el artículo 17 de la Ley General de Transparencia y Acceso a la Información Pública, precisa </w:t>
      </w:r>
      <w:r w:rsidRPr="00C569A8">
        <w:rPr>
          <w:rFonts w:ascii="Palatino Linotype" w:hAnsi="Palatino Linotype" w:cs="Tahoma"/>
          <w:b/>
        </w:rPr>
        <w:t xml:space="preserve">que el ejercicio de acceso a la información será gratuito y solamente podrá requerirse un cobro, dependiendo la modalidad y entrega de la misma. </w:t>
      </w:r>
      <w:r w:rsidRPr="00C569A8">
        <w:rPr>
          <w:rFonts w:ascii="Palatino Linotype" w:hAnsi="Palatino Linotype" w:cs="Tahoma"/>
        </w:rPr>
        <w:t>De manera coincidente lo precisa el artículo 17 de la Ley de Transparencia y Acceso a la Información Pública del Estado y Municipios, al señalar que únicamente se cubrirán los gastos de reproducción.</w:t>
      </w:r>
    </w:p>
    <w:p w14:paraId="47123786" w14:textId="77777777" w:rsidR="0071135E" w:rsidRPr="00C569A8" w:rsidRDefault="0071135E" w:rsidP="0071135E">
      <w:pPr>
        <w:spacing w:line="360" w:lineRule="auto"/>
        <w:jc w:val="both"/>
        <w:rPr>
          <w:rFonts w:ascii="Palatino Linotype" w:hAnsi="Palatino Linotype" w:cs="Tahoma"/>
        </w:rPr>
      </w:pPr>
    </w:p>
    <w:p w14:paraId="20E8F044" w14:textId="77777777" w:rsidR="0071135E" w:rsidRPr="00C569A8" w:rsidRDefault="0071135E" w:rsidP="0071135E">
      <w:pPr>
        <w:spacing w:line="360" w:lineRule="auto"/>
        <w:jc w:val="both"/>
        <w:rPr>
          <w:rFonts w:ascii="Palatino Linotype" w:hAnsi="Palatino Linotype" w:cs="Tahoma"/>
        </w:rPr>
      </w:pPr>
      <w:r w:rsidRPr="00C569A8">
        <w:rPr>
          <w:rFonts w:ascii="Palatino Linotype" w:hAnsi="Palatino Linotype" w:cs="Tahoma"/>
        </w:rPr>
        <w:t xml:space="preserve">Asimismo, el artículo 9°, fracción III, de la Ley en cita, prevé que el Principio de Gratuidad consiste en que el acceso a la información pública no generará costo alguno para los solicitantes y sólo podrá requerirse el correspondiente a la modalidad de reproducción y entrega solicitada; lo anterior debe interpretarse que el sentido de la norma es eliminar cualquier barrera u obstáculo que imposibilite el </w:t>
      </w:r>
      <w:r w:rsidRPr="00C569A8">
        <w:rPr>
          <w:rFonts w:ascii="Palatino Linotype" w:hAnsi="Palatino Linotype" w:cs="Tahoma"/>
        </w:rPr>
        <w:lastRenderedPageBreak/>
        <w:t>derecho de acceso a la información o que este se garantice de manera discriminada; esto es, sólo para aquellos que tengan los medios económicos para cubrir el costo de la reproducción de información, lo que materializaría el impedimento de acceso a la información.</w:t>
      </w:r>
    </w:p>
    <w:p w14:paraId="2356195A" w14:textId="77777777" w:rsidR="0071135E" w:rsidRPr="00C569A8" w:rsidRDefault="0071135E" w:rsidP="0071135E">
      <w:pPr>
        <w:spacing w:line="360" w:lineRule="auto"/>
        <w:jc w:val="both"/>
        <w:rPr>
          <w:rFonts w:ascii="Palatino Linotype" w:hAnsi="Palatino Linotype" w:cs="Tahoma"/>
        </w:rPr>
      </w:pPr>
    </w:p>
    <w:p w14:paraId="39175176" w14:textId="77777777" w:rsidR="0071135E" w:rsidRPr="00C569A8" w:rsidRDefault="0071135E" w:rsidP="0071135E">
      <w:pPr>
        <w:spacing w:line="360" w:lineRule="auto"/>
        <w:jc w:val="both"/>
        <w:rPr>
          <w:rFonts w:ascii="Palatino Linotype" w:hAnsi="Palatino Linotype" w:cs="Tahoma"/>
        </w:rPr>
      </w:pPr>
      <w:r w:rsidRPr="00C569A8">
        <w:rPr>
          <w:rFonts w:ascii="Palatino Linotype" w:hAnsi="Palatino Linotype" w:cs="Tahoma"/>
        </w:rPr>
        <w:t>En ese orden de ideas, el artículo 174 de la Ley de la materia, establece que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14:paraId="4E9CE572" w14:textId="77777777" w:rsidR="0071135E" w:rsidRDefault="0071135E" w:rsidP="0071135E">
      <w:pPr>
        <w:spacing w:line="360" w:lineRule="auto"/>
        <w:jc w:val="both"/>
        <w:rPr>
          <w:rFonts w:ascii="Palatino Linotype" w:hAnsi="Palatino Linotype" w:cs="Tahoma"/>
        </w:rPr>
      </w:pPr>
    </w:p>
    <w:p w14:paraId="3119A98B" w14:textId="77777777" w:rsidR="00557273" w:rsidRDefault="00557273" w:rsidP="00557273">
      <w:pPr>
        <w:spacing w:line="360" w:lineRule="auto"/>
        <w:jc w:val="both"/>
      </w:pPr>
      <w:r w:rsidRPr="00557273">
        <w:rPr>
          <w:rFonts w:ascii="Palatino Linotype" w:hAnsi="Palatino Linotype" w:cs="Tahoma"/>
        </w:rPr>
        <w:t>Diversos trataditas se han referido al principio de gratuidad en función</w:t>
      </w:r>
      <w:r>
        <w:rPr>
          <w:rFonts w:ascii="Palatino Linotype" w:hAnsi="Palatino Linotype" w:cs="Tahoma"/>
        </w:rPr>
        <w:t xml:space="preserve"> </w:t>
      </w:r>
      <w:r w:rsidRPr="00557273">
        <w:rPr>
          <w:rFonts w:ascii="Palatino Linotype" w:hAnsi="Palatino Linotype" w:cs="Tahoma"/>
        </w:rPr>
        <w:t>de que el derecho de acceso a la información es un derecho</w:t>
      </w:r>
      <w:r>
        <w:rPr>
          <w:rFonts w:ascii="Palatino Linotype" w:hAnsi="Palatino Linotype" w:cs="Tahoma"/>
        </w:rPr>
        <w:t xml:space="preserve"> </w:t>
      </w:r>
      <w:r w:rsidRPr="00557273">
        <w:rPr>
          <w:rFonts w:ascii="Palatino Linotype" w:hAnsi="Palatino Linotype" w:cs="Tahoma"/>
        </w:rPr>
        <w:t>fundamental.</w:t>
      </w:r>
      <w:r w:rsidRPr="00557273">
        <w:t xml:space="preserve"> </w:t>
      </w:r>
    </w:p>
    <w:p w14:paraId="0C765785" w14:textId="77777777" w:rsidR="00557273" w:rsidRDefault="00557273" w:rsidP="00557273">
      <w:pPr>
        <w:spacing w:line="360" w:lineRule="auto"/>
        <w:jc w:val="both"/>
      </w:pPr>
    </w:p>
    <w:p w14:paraId="3ED267DE" w14:textId="3B488406" w:rsidR="00557273" w:rsidRDefault="00557273" w:rsidP="00557273">
      <w:pPr>
        <w:spacing w:line="360" w:lineRule="auto"/>
        <w:jc w:val="both"/>
        <w:rPr>
          <w:rFonts w:ascii="Palatino Linotype" w:hAnsi="Palatino Linotype" w:cs="Tahoma"/>
        </w:rPr>
      </w:pPr>
      <w:r w:rsidRPr="00557273">
        <w:rPr>
          <w:rFonts w:ascii="Palatino Linotype" w:hAnsi="Palatino Linotype" w:cs="Tahoma"/>
        </w:rPr>
        <w:t>Para Miguel Carbonell el cobro de alguna cantidad de dinero al</w:t>
      </w:r>
      <w:r>
        <w:rPr>
          <w:rFonts w:ascii="Palatino Linotype" w:hAnsi="Palatino Linotype" w:cs="Tahoma"/>
        </w:rPr>
        <w:t xml:space="preserve"> </w:t>
      </w:r>
      <w:r w:rsidRPr="00557273">
        <w:rPr>
          <w:rFonts w:ascii="Palatino Linotype" w:hAnsi="Palatino Linotype" w:cs="Tahoma"/>
        </w:rPr>
        <w:t>solicitante se debe hacer solamente en el caso de que la reproducción</w:t>
      </w:r>
      <w:r>
        <w:rPr>
          <w:rFonts w:ascii="Palatino Linotype" w:hAnsi="Palatino Linotype" w:cs="Tahoma"/>
        </w:rPr>
        <w:t xml:space="preserve"> </w:t>
      </w:r>
      <w:r w:rsidRPr="00557273">
        <w:rPr>
          <w:rFonts w:ascii="Palatino Linotype" w:hAnsi="Palatino Linotype" w:cs="Tahoma"/>
        </w:rPr>
        <w:t>de la información solicitada así lo amerite. Dicho costo de</w:t>
      </w:r>
      <w:r>
        <w:rPr>
          <w:rFonts w:ascii="Palatino Linotype" w:hAnsi="Palatino Linotype" w:cs="Tahoma"/>
        </w:rPr>
        <w:t xml:space="preserve"> </w:t>
      </w:r>
      <w:r w:rsidRPr="00557273">
        <w:rPr>
          <w:rFonts w:ascii="Palatino Linotype" w:hAnsi="Palatino Linotype" w:cs="Tahoma"/>
        </w:rPr>
        <w:t>reproducción deberá ajustarse a lo que cueste precisamente dicha</w:t>
      </w:r>
      <w:r>
        <w:rPr>
          <w:rFonts w:ascii="Palatino Linotype" w:hAnsi="Palatino Linotype" w:cs="Tahoma"/>
        </w:rPr>
        <w:t xml:space="preserve"> </w:t>
      </w:r>
      <w:r w:rsidRPr="00557273">
        <w:rPr>
          <w:rFonts w:ascii="Palatino Linotype" w:hAnsi="Palatino Linotype" w:cs="Tahoma"/>
        </w:rPr>
        <w:t>reproducción, sin que pueda exceder del costo de los materiales en</w:t>
      </w:r>
      <w:r>
        <w:rPr>
          <w:rFonts w:ascii="Palatino Linotype" w:hAnsi="Palatino Linotype" w:cs="Tahoma"/>
        </w:rPr>
        <w:t xml:space="preserve"> </w:t>
      </w:r>
      <w:r w:rsidRPr="00557273">
        <w:rPr>
          <w:rFonts w:ascii="Palatino Linotype" w:hAnsi="Palatino Linotype" w:cs="Tahoma"/>
        </w:rPr>
        <w:t xml:space="preserve">los que </w:t>
      </w:r>
      <w:r w:rsidRPr="00557273">
        <w:rPr>
          <w:rFonts w:ascii="Palatino Linotype" w:hAnsi="Palatino Linotype" w:cs="Tahoma"/>
        </w:rPr>
        <w:lastRenderedPageBreak/>
        <w:t>asiente la información. En el caso de las copias certificadas,</w:t>
      </w:r>
      <w:r>
        <w:rPr>
          <w:rFonts w:ascii="Palatino Linotype" w:hAnsi="Palatino Linotype" w:cs="Tahoma"/>
        </w:rPr>
        <w:t xml:space="preserve"> </w:t>
      </w:r>
      <w:r w:rsidRPr="00557273">
        <w:rPr>
          <w:rFonts w:ascii="Palatino Linotype" w:hAnsi="Palatino Linotype" w:cs="Tahoma"/>
        </w:rPr>
        <w:t>habría que entender que la certificación no podría generar costos</w:t>
      </w:r>
      <w:r>
        <w:rPr>
          <w:rFonts w:ascii="Palatino Linotype" w:hAnsi="Palatino Linotype" w:cs="Tahoma"/>
        </w:rPr>
        <w:t xml:space="preserve"> </w:t>
      </w:r>
      <w:r w:rsidRPr="00557273">
        <w:rPr>
          <w:rFonts w:ascii="Palatino Linotype" w:hAnsi="Palatino Linotype" w:cs="Tahoma"/>
        </w:rPr>
        <w:t>adicionales, ya que entonces se podría inhibir indebidamente el</w:t>
      </w:r>
      <w:r>
        <w:rPr>
          <w:rFonts w:ascii="Palatino Linotype" w:hAnsi="Palatino Linotype" w:cs="Tahoma"/>
        </w:rPr>
        <w:t xml:space="preserve"> </w:t>
      </w:r>
      <w:r w:rsidRPr="00557273">
        <w:rPr>
          <w:rFonts w:ascii="Palatino Linotype" w:hAnsi="Palatino Linotype" w:cs="Tahoma"/>
        </w:rPr>
        <w:t>ejercicio amplio y completo del derecho de acceso a la información.</w:t>
      </w:r>
      <w:r>
        <w:rPr>
          <w:rStyle w:val="Refdenotaalpie"/>
          <w:rFonts w:ascii="Palatino Linotype" w:hAnsi="Palatino Linotype" w:cs="Tahoma"/>
        </w:rPr>
        <w:footnoteReference w:id="1"/>
      </w:r>
      <w:r>
        <w:rPr>
          <w:rFonts w:ascii="Palatino Linotype" w:hAnsi="Palatino Linotype" w:cs="Tahoma"/>
        </w:rPr>
        <w:t xml:space="preserve"> </w:t>
      </w:r>
    </w:p>
    <w:p w14:paraId="09B1CB74" w14:textId="77777777" w:rsidR="00557273" w:rsidRDefault="00557273" w:rsidP="00557273">
      <w:pPr>
        <w:spacing w:line="360" w:lineRule="auto"/>
        <w:jc w:val="both"/>
        <w:rPr>
          <w:rFonts w:ascii="Palatino Linotype" w:hAnsi="Palatino Linotype" w:cs="Tahoma"/>
        </w:rPr>
      </w:pPr>
    </w:p>
    <w:p w14:paraId="4B10AAEE" w14:textId="04D6CA48" w:rsidR="00557273" w:rsidRDefault="00557273" w:rsidP="00557273">
      <w:pPr>
        <w:spacing w:line="360" w:lineRule="auto"/>
        <w:jc w:val="both"/>
        <w:rPr>
          <w:rFonts w:ascii="Palatino Linotype" w:hAnsi="Palatino Linotype" w:cs="Tahoma"/>
        </w:rPr>
      </w:pPr>
      <w:r w:rsidRPr="00557273">
        <w:rPr>
          <w:rFonts w:ascii="Palatino Linotype" w:hAnsi="Palatino Linotype" w:cs="Tahoma"/>
        </w:rPr>
        <w:t>De esa suerte, los costos que establezcan las leyes de ingresos por</w:t>
      </w:r>
      <w:r>
        <w:rPr>
          <w:rFonts w:ascii="Palatino Linotype" w:hAnsi="Palatino Linotype" w:cs="Tahoma"/>
        </w:rPr>
        <w:t xml:space="preserve"> </w:t>
      </w:r>
      <w:r w:rsidRPr="00557273">
        <w:rPr>
          <w:rFonts w:ascii="Palatino Linotype" w:hAnsi="Palatino Linotype" w:cs="Tahoma"/>
        </w:rPr>
        <w:t>concepto de cualquier formato para acceder a la información pública</w:t>
      </w:r>
      <w:r>
        <w:rPr>
          <w:rFonts w:ascii="Palatino Linotype" w:hAnsi="Palatino Linotype" w:cs="Tahoma"/>
        </w:rPr>
        <w:t xml:space="preserve"> </w:t>
      </w:r>
      <w:r w:rsidRPr="00557273">
        <w:rPr>
          <w:rFonts w:ascii="Palatino Linotype" w:hAnsi="Palatino Linotype" w:cs="Tahoma"/>
        </w:rPr>
        <w:t>deben ser asequibles y homogéneos, de manera que no se</w:t>
      </w:r>
      <w:r>
        <w:rPr>
          <w:rFonts w:ascii="Palatino Linotype" w:hAnsi="Palatino Linotype" w:cs="Tahoma"/>
        </w:rPr>
        <w:t xml:space="preserve"> </w:t>
      </w:r>
      <w:r w:rsidRPr="00557273">
        <w:rPr>
          <w:rFonts w:ascii="Palatino Linotype" w:hAnsi="Palatino Linotype" w:cs="Tahoma"/>
        </w:rPr>
        <w:t>obstaculice ese derecho constitucional.</w:t>
      </w:r>
      <w:r>
        <w:rPr>
          <w:rFonts w:ascii="Palatino Linotype" w:hAnsi="Palatino Linotype" w:cs="Tahoma"/>
        </w:rPr>
        <w:t xml:space="preserve"> </w:t>
      </w:r>
    </w:p>
    <w:p w14:paraId="42EAA984" w14:textId="77777777" w:rsidR="00557273" w:rsidRDefault="00557273" w:rsidP="00557273">
      <w:pPr>
        <w:spacing w:line="360" w:lineRule="auto"/>
        <w:jc w:val="both"/>
        <w:rPr>
          <w:rFonts w:ascii="Palatino Linotype" w:hAnsi="Palatino Linotype" w:cs="Tahoma"/>
        </w:rPr>
      </w:pPr>
    </w:p>
    <w:p w14:paraId="763A03D6" w14:textId="333961A5" w:rsidR="00557273" w:rsidRDefault="00557273" w:rsidP="00557273">
      <w:pPr>
        <w:spacing w:line="360" w:lineRule="auto"/>
        <w:jc w:val="both"/>
        <w:rPr>
          <w:rFonts w:ascii="Palatino Linotype" w:hAnsi="Palatino Linotype" w:cs="Tahoma"/>
        </w:rPr>
      </w:pPr>
      <w:r w:rsidRPr="00557273">
        <w:rPr>
          <w:rFonts w:ascii="Palatino Linotype" w:hAnsi="Palatino Linotype" w:cs="Tahoma"/>
        </w:rPr>
        <w:t>En tanto que si sólo es debido cobrar el costo de reproducción, se</w:t>
      </w:r>
      <w:r>
        <w:rPr>
          <w:rFonts w:ascii="Palatino Linotype" w:hAnsi="Palatino Linotype" w:cs="Tahoma"/>
        </w:rPr>
        <w:t xml:space="preserve"> </w:t>
      </w:r>
      <w:r w:rsidRPr="00557273">
        <w:rPr>
          <w:rFonts w:ascii="Palatino Linotype" w:hAnsi="Palatino Linotype" w:cs="Tahoma"/>
        </w:rPr>
        <w:t>entiende que el fin de éste no debe ser recaudatorio, sino el de sólo</w:t>
      </w:r>
      <w:r>
        <w:rPr>
          <w:rFonts w:ascii="Palatino Linotype" w:hAnsi="Palatino Linotype" w:cs="Tahoma"/>
        </w:rPr>
        <w:t xml:space="preserve"> </w:t>
      </w:r>
      <w:r w:rsidRPr="00557273">
        <w:rPr>
          <w:rFonts w:ascii="Palatino Linotype" w:hAnsi="Palatino Linotype" w:cs="Tahoma"/>
        </w:rPr>
        <w:t>recuperar la erogación extra que tuvo que realizar el Estado a efecto</w:t>
      </w:r>
      <w:r>
        <w:rPr>
          <w:rFonts w:ascii="Palatino Linotype" w:hAnsi="Palatino Linotype" w:cs="Tahoma"/>
        </w:rPr>
        <w:t xml:space="preserve"> </w:t>
      </w:r>
      <w:r w:rsidRPr="00557273">
        <w:rPr>
          <w:rFonts w:ascii="Palatino Linotype" w:hAnsi="Palatino Linotype" w:cs="Tahoma"/>
        </w:rPr>
        <w:t>de otorgar la información solicitada.</w:t>
      </w:r>
    </w:p>
    <w:p w14:paraId="3ACA9B3A" w14:textId="77777777" w:rsidR="00557273" w:rsidRPr="00557273" w:rsidRDefault="00557273" w:rsidP="00557273">
      <w:pPr>
        <w:spacing w:line="360" w:lineRule="auto"/>
        <w:jc w:val="both"/>
        <w:rPr>
          <w:rFonts w:ascii="Palatino Linotype" w:hAnsi="Palatino Linotype" w:cs="Tahoma"/>
        </w:rPr>
      </w:pPr>
    </w:p>
    <w:p w14:paraId="13D1D097" w14:textId="496174CC" w:rsidR="00557273" w:rsidRDefault="00557273" w:rsidP="00557273">
      <w:pPr>
        <w:spacing w:line="360" w:lineRule="auto"/>
        <w:jc w:val="both"/>
        <w:rPr>
          <w:rFonts w:ascii="Palatino Linotype" w:hAnsi="Palatino Linotype" w:cs="Tahoma"/>
        </w:rPr>
      </w:pPr>
      <w:r w:rsidRPr="00557273">
        <w:rPr>
          <w:rFonts w:ascii="Palatino Linotype" w:hAnsi="Palatino Linotype" w:cs="Tahoma"/>
        </w:rPr>
        <w:t>Los fines recaudatorios son una limitante de la garantía constitucional</w:t>
      </w:r>
      <w:r>
        <w:rPr>
          <w:rFonts w:ascii="Palatino Linotype" w:hAnsi="Palatino Linotype" w:cs="Tahoma"/>
        </w:rPr>
        <w:t xml:space="preserve"> </w:t>
      </w:r>
      <w:r w:rsidRPr="00557273">
        <w:rPr>
          <w:rFonts w:ascii="Palatino Linotype" w:hAnsi="Palatino Linotype" w:cs="Tahoma"/>
        </w:rPr>
        <w:t>del derecho de acceso a la información y contravienen su naturaleza</w:t>
      </w:r>
      <w:r>
        <w:rPr>
          <w:rFonts w:ascii="Palatino Linotype" w:hAnsi="Palatino Linotype" w:cs="Tahoma"/>
        </w:rPr>
        <w:t xml:space="preserve"> </w:t>
      </w:r>
      <w:r w:rsidRPr="00557273">
        <w:rPr>
          <w:rFonts w:ascii="Palatino Linotype" w:hAnsi="Palatino Linotype" w:cs="Tahoma"/>
        </w:rPr>
        <w:t>general.</w:t>
      </w:r>
    </w:p>
    <w:p w14:paraId="733BF3EA" w14:textId="77777777" w:rsidR="00557273" w:rsidRPr="00C569A8" w:rsidRDefault="00557273" w:rsidP="0071135E">
      <w:pPr>
        <w:spacing w:line="360" w:lineRule="auto"/>
        <w:jc w:val="both"/>
        <w:rPr>
          <w:rFonts w:ascii="Palatino Linotype" w:hAnsi="Palatino Linotype" w:cs="Tahoma"/>
        </w:rPr>
      </w:pPr>
    </w:p>
    <w:p w14:paraId="261C0D95" w14:textId="77777777" w:rsidR="008F4AE6" w:rsidRDefault="008F4AE6" w:rsidP="008F4AE6">
      <w:pPr>
        <w:spacing w:line="360" w:lineRule="auto"/>
        <w:ind w:right="49"/>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Sin embargo, en el caso que se resuelve, </w:t>
      </w:r>
      <w:r w:rsidRPr="0091500B">
        <w:rPr>
          <w:rFonts w:ascii="Palatino Linotype" w:hAnsi="Palatino Linotype" w:cs="Arial"/>
          <w:color w:val="000000" w:themeColor="text1"/>
        </w:rPr>
        <w:t xml:space="preserve">el Sujeto Obligado no observó las formalidades que establece la legislación en la materia respecto a la clasificación de la información, toda vez que de las constancias que obran en el expediente electrónico en el que se actúa, no se advierte que se hubiera remitido el Acuerdo de </w:t>
      </w:r>
      <w:r w:rsidRPr="0091500B">
        <w:rPr>
          <w:rFonts w:ascii="Palatino Linotype" w:hAnsi="Palatino Linotype" w:cs="Arial"/>
          <w:color w:val="000000" w:themeColor="text1"/>
        </w:rPr>
        <w:lastRenderedPageBreak/>
        <w:t>Clasificación mediante el cual, de manera fundada y motivada se acreditara que la información requerida actualiza el supuesto de clasificación invocado por el servidor público habilitado como razón para limitar el derecho humano de acceso a la información pública, asimismo, tampoco se observa que se hubiere realizado la prueba de daño correspondiente mediante la cual se justificara la reserva de la información, esto es, no se justificó el riesgo que se causaría al interés público o a la seguridad pública con la divulgación de la información materia de la solicitud, así como tampoco se demostró de manera concreta que el perjuicio que supone dicha divulgación supera el interés público general de que se difunda, ni se acreditó la ponderación del principio de proporcionalidad, a través del estudio de idoneidad, necesidad y proporcionalidad en estricto sentido respecto de la reserva de la información, por tanto</w:t>
      </w:r>
      <w:r>
        <w:t xml:space="preserve">, </w:t>
      </w:r>
      <w:r>
        <w:rPr>
          <w:rFonts w:ascii="Palatino Linotype" w:hAnsi="Palatino Linotype" w:cs="Arial"/>
          <w:color w:val="000000" w:themeColor="text1"/>
        </w:rPr>
        <w:t>se actualiza lo estipulado por el artículo 234</w:t>
      </w:r>
      <w:r w:rsidRPr="0091500B">
        <w:rPr>
          <w:rFonts w:ascii="Palatino Linotype" w:hAnsi="Palatino Linotype" w:cs="Arial"/>
          <w:color w:val="000000" w:themeColor="text1"/>
        </w:rPr>
        <w:t xml:space="preserve"> </w:t>
      </w:r>
      <w:r>
        <w:rPr>
          <w:rFonts w:ascii="Palatino Linotype" w:hAnsi="Palatino Linotype" w:cs="Arial"/>
          <w:color w:val="000000" w:themeColor="text1"/>
        </w:rPr>
        <w:t xml:space="preserve">de la Ley de Transparencia y Acceso a la Información Pública del Estado de México y Municipios, pues  constituye una afectación indebida e injustificada a su derecho de acceso a la información pública, la cual podría ser reparada ordenando  la entrega de la información en copia certificada sin costo por no existir razón alguna que lo impida. </w:t>
      </w:r>
    </w:p>
    <w:p w14:paraId="1D41D570" w14:textId="77777777" w:rsidR="008F4AE6" w:rsidRDefault="008F4AE6" w:rsidP="008F4AE6">
      <w:pPr>
        <w:spacing w:line="360" w:lineRule="auto"/>
        <w:jc w:val="both"/>
        <w:rPr>
          <w:rFonts w:ascii="Palatino Linotype" w:hAnsi="Palatino Linotype" w:cs="Arial"/>
          <w:color w:val="000000" w:themeColor="text1"/>
        </w:rPr>
      </w:pPr>
    </w:p>
    <w:p w14:paraId="01A5E808" w14:textId="7D959AAE" w:rsidR="008F4AE6" w:rsidRDefault="008F4AE6" w:rsidP="008F4AE6">
      <w:pPr>
        <w:spacing w:line="360" w:lineRule="auto"/>
        <w:ind w:right="49"/>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Ya que en el presente caso es evidente que el pago que se pretendiera aplicar para la expedición de la información requerida por </w:t>
      </w:r>
      <w:r>
        <w:rPr>
          <w:rFonts w:ascii="Palatino Linotype" w:hAnsi="Palatino Linotype" w:cs="Arial"/>
          <w:b/>
          <w:color w:val="000000" w:themeColor="text1"/>
        </w:rPr>
        <w:t xml:space="preserve">RECURRENTE, </w:t>
      </w:r>
      <w:r>
        <w:rPr>
          <w:rFonts w:ascii="Palatino Linotype" w:hAnsi="Palatino Linotype" w:cs="Arial"/>
          <w:color w:val="000000" w:themeColor="text1"/>
        </w:rPr>
        <w:t>no resulta aplicable</w:t>
      </w:r>
      <w:r>
        <w:rPr>
          <w:rFonts w:ascii="Palatino Linotype" w:hAnsi="Palatino Linotype" w:cs="Arial"/>
          <w:b/>
          <w:color w:val="000000" w:themeColor="text1"/>
        </w:rPr>
        <w:t xml:space="preserve"> </w:t>
      </w:r>
      <w:r>
        <w:rPr>
          <w:rFonts w:ascii="Palatino Linotype" w:hAnsi="Palatino Linotype" w:cs="Arial"/>
          <w:color w:val="000000" w:themeColor="text1"/>
        </w:rPr>
        <w:t xml:space="preserve">toda vez que el legislador ha tenido el tino de establecer en la ley una medida de que puede contribuir a la reparación integral de la persona afectada y consiste en una dimensión colectiva de responsabilidad, complementaria de la antes descrita, y </w:t>
      </w:r>
      <w:r>
        <w:rPr>
          <w:rFonts w:ascii="Palatino Linotype" w:hAnsi="Palatino Linotype" w:cs="Arial"/>
          <w:color w:val="000000" w:themeColor="text1"/>
        </w:rPr>
        <w:lastRenderedPageBreak/>
        <w:t>que consiste en que el Sujeto Obligado entregue la información sin costo alguno para el solicitante cuando el Instituto determine que por negligencia no se hubiere atendido alguna solicitud en los términos de la ley.</w:t>
      </w:r>
    </w:p>
    <w:p w14:paraId="54C3332D" w14:textId="77777777" w:rsidR="008F4AE6" w:rsidRDefault="008F4AE6" w:rsidP="008F4AE6">
      <w:pPr>
        <w:spacing w:line="360" w:lineRule="auto"/>
        <w:ind w:left="720"/>
        <w:contextualSpacing/>
        <w:rPr>
          <w:rFonts w:ascii="Palatino Linotype" w:hAnsi="Palatino Linotype" w:cs="Arial"/>
          <w:color w:val="000000" w:themeColor="text1"/>
        </w:rPr>
      </w:pPr>
    </w:p>
    <w:p w14:paraId="5F8F2EFF" w14:textId="77777777" w:rsidR="008F4AE6" w:rsidRDefault="008F4AE6" w:rsidP="008F4AE6">
      <w:pPr>
        <w:spacing w:line="360" w:lineRule="auto"/>
        <w:ind w:right="49"/>
        <w:contextualSpacing/>
        <w:jc w:val="both"/>
        <w:rPr>
          <w:rFonts w:ascii="Palatino Linotype" w:hAnsi="Palatino Linotype" w:cs="Arial"/>
          <w:color w:val="000000" w:themeColor="text1"/>
        </w:rPr>
      </w:pPr>
      <w:r>
        <w:rPr>
          <w:rFonts w:ascii="Palatino Linotype" w:hAnsi="Palatino Linotype" w:cs="Arial"/>
          <w:color w:val="000000" w:themeColor="text1"/>
        </w:rPr>
        <w:t>Por lo que toda vez que se trata de una “máxima autoridad” de la que se espera el más alto estándar en la promoción y respeto de los derechos humanos y que el hoy recurrente</w:t>
      </w:r>
      <w:r>
        <w:rPr>
          <w:rFonts w:ascii="Palatino Linotype" w:hAnsi="Palatino Linotype" w:cs="Arial"/>
          <w:b/>
          <w:color w:val="000000" w:themeColor="text1"/>
        </w:rPr>
        <w:t>,</w:t>
      </w:r>
      <w:r>
        <w:rPr>
          <w:rFonts w:ascii="Palatino Linotype" w:hAnsi="Palatino Linotype" w:cs="Arial"/>
          <w:color w:val="000000" w:themeColor="text1"/>
        </w:rPr>
        <w:t xml:space="preserve"> de manera clara, precisa, contundente e indubitable requirió información pública a la que pretende acceder en su modalidad de copia certificada ya que se aprecia que existe una actitud negligente</w:t>
      </w:r>
      <w:r>
        <w:rPr>
          <w:rFonts w:ascii="Palatino Linotype" w:hAnsi="Palatino Linotype" w:cs="Arial"/>
          <w:color w:val="000000" w:themeColor="text1"/>
          <w:vertAlign w:val="superscript"/>
        </w:rPr>
        <w:footnoteReference w:id="2"/>
      </w:r>
      <w:r>
        <w:rPr>
          <w:rFonts w:ascii="Palatino Linotype" w:hAnsi="Palatino Linotype" w:cs="Arial"/>
          <w:color w:val="000000" w:themeColor="text1"/>
        </w:rPr>
        <w:t xml:space="preserve"> que provocó que la solicitud no fuera atendida en los términos de la ley, por lo que procedería el acceso a las copias certificadas sin que medie el pago de los derechos correspondientes. </w:t>
      </w:r>
    </w:p>
    <w:p w14:paraId="130AD64A" w14:textId="77777777" w:rsidR="008F4AE6" w:rsidRDefault="008F4AE6" w:rsidP="008F4AE6">
      <w:pPr>
        <w:pStyle w:val="Prrafodelista"/>
        <w:rPr>
          <w:rFonts w:ascii="Palatino Linotype" w:hAnsi="Palatino Linotype" w:cs="Arial"/>
          <w:color w:val="000000" w:themeColor="text1"/>
        </w:rPr>
      </w:pPr>
    </w:p>
    <w:p w14:paraId="21CB8CB5" w14:textId="38488541" w:rsidR="008F4AE6" w:rsidRDefault="008F4AE6" w:rsidP="008F4AE6">
      <w:pPr>
        <w:spacing w:line="360" w:lineRule="auto"/>
        <w:ind w:right="49"/>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En ese mismo sentido, al perder el Sujeto Obligado la posibilidad momentánea de acceder a los derechos por la expedición de las copias certificadas, puede ser un incentivo adicional para que, en el futuro, las solicitudes de acceso a la información sean atendidas bajo el más alto estándar que promueva la plena protección del derecho en cuestión. </w:t>
      </w:r>
    </w:p>
    <w:p w14:paraId="18E1BB98" w14:textId="77777777" w:rsidR="008F4AE6" w:rsidRDefault="008F4AE6" w:rsidP="008F4AE6">
      <w:pPr>
        <w:spacing w:line="360" w:lineRule="auto"/>
        <w:ind w:right="49"/>
        <w:contextualSpacing/>
        <w:jc w:val="both"/>
        <w:rPr>
          <w:rFonts w:ascii="Palatino Linotype" w:hAnsi="Palatino Linotype" w:cs="Arial"/>
          <w:color w:val="000000" w:themeColor="text1"/>
        </w:rPr>
      </w:pPr>
    </w:p>
    <w:p w14:paraId="26E686C5" w14:textId="48A54FA6" w:rsidR="008F4AE6" w:rsidRDefault="008F4AE6" w:rsidP="00465A0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la cosas, -se insiste- que la respuesta del </w:t>
      </w:r>
      <w:r w:rsidR="00465A0D">
        <w:rPr>
          <w:b/>
        </w:rPr>
        <w:t xml:space="preserve">sujeto Obligado, </w:t>
      </w:r>
      <w:r>
        <w:rPr>
          <w:rFonts w:ascii="Palatino Linotype" w:hAnsi="Palatino Linotype" w:cs="Arial"/>
          <w:color w:val="000000" w:themeColor="text1"/>
        </w:rPr>
        <w:t xml:space="preserve">violó el derecho de acceso a la información pública </w:t>
      </w:r>
      <w:r w:rsidR="00465A0D">
        <w:rPr>
          <w:rFonts w:ascii="Palatino Linotype" w:hAnsi="Palatino Linotype" w:cs="Arial"/>
          <w:color w:val="000000" w:themeColor="text1"/>
        </w:rPr>
        <w:t>del</w:t>
      </w:r>
      <w:r>
        <w:rPr>
          <w:rFonts w:ascii="Palatino Linotype" w:hAnsi="Palatino Linotype" w:cs="Arial"/>
          <w:color w:val="000000" w:themeColor="text1"/>
        </w:rPr>
        <w:t xml:space="preserve"> </w:t>
      </w:r>
      <w:r>
        <w:rPr>
          <w:rFonts w:ascii="Palatino Linotype" w:hAnsi="Palatino Linotype" w:cs="Arial"/>
          <w:b/>
          <w:color w:val="000000" w:themeColor="text1"/>
        </w:rPr>
        <w:t>RECURRENTE</w:t>
      </w:r>
      <w:r>
        <w:rPr>
          <w:rFonts w:ascii="Palatino Linotype" w:hAnsi="Palatino Linotype" w:cs="Arial"/>
          <w:color w:val="000000" w:themeColor="text1"/>
        </w:rPr>
        <w:t xml:space="preserve">, al no proporcionarle las copias </w:t>
      </w:r>
      <w:r>
        <w:rPr>
          <w:rFonts w:ascii="Palatino Linotype" w:hAnsi="Palatino Linotype" w:cs="Arial"/>
          <w:color w:val="000000" w:themeColor="text1"/>
        </w:rPr>
        <w:lastRenderedPageBreak/>
        <w:t xml:space="preserve">certificadas con costo de la información que requería, previo el pago de los derechos correspondientes, es procedente ordenarle la entrega de la información en la modalidad inicialmente requerida pero sin que medie el pago de los derechos toda vez que se acredita una actuación negligente de la autoridad por lo </w:t>
      </w:r>
      <w:r w:rsidR="00465A0D">
        <w:rPr>
          <w:rFonts w:ascii="Palatino Linotype" w:hAnsi="Palatino Linotype" w:cs="Arial"/>
          <w:color w:val="000000" w:themeColor="text1"/>
        </w:rPr>
        <w:t>resulta</w:t>
      </w:r>
      <w:r>
        <w:rPr>
          <w:rFonts w:ascii="Palatino Linotype" w:hAnsi="Palatino Linotype" w:cs="Arial"/>
          <w:color w:val="000000" w:themeColor="text1"/>
        </w:rPr>
        <w:t xml:space="preserve"> aplicable el artículo 234 de la Ley de Transparencia y Acceso a la Información Pública del Estado de México y Municipios. </w:t>
      </w:r>
    </w:p>
    <w:p w14:paraId="25538DD8" w14:textId="77777777" w:rsidR="0071135E" w:rsidRDefault="0071135E" w:rsidP="0071135E">
      <w:pPr>
        <w:spacing w:line="360" w:lineRule="auto"/>
        <w:jc w:val="both"/>
        <w:rPr>
          <w:rFonts w:ascii="Palatino Linotype" w:hAnsi="Palatino Linotype" w:cs="Tahoma"/>
          <w:b/>
        </w:rPr>
      </w:pPr>
    </w:p>
    <w:p w14:paraId="117561F3" w14:textId="5597211E" w:rsidR="0071135E" w:rsidRPr="00557273" w:rsidRDefault="0071135E" w:rsidP="0071135E">
      <w:pPr>
        <w:spacing w:line="360" w:lineRule="auto"/>
        <w:jc w:val="both"/>
        <w:rPr>
          <w:rFonts w:ascii="Palatino Linotype" w:hAnsi="Palatino Linotype" w:cs="Tahoma"/>
        </w:rPr>
      </w:pPr>
      <w:r w:rsidRPr="00557273">
        <w:rPr>
          <w:rFonts w:ascii="Palatino Linotype" w:hAnsi="Palatino Linotype" w:cs="Tahoma"/>
        </w:rPr>
        <w:t>No se omite manifestar que</w:t>
      </w:r>
      <w:r w:rsidR="00480EFD" w:rsidRPr="00480EFD">
        <w:rPr>
          <w:rFonts w:ascii="Palatino Linotype" w:hAnsi="Palatino Linotype" w:cs="Tahoma"/>
        </w:rPr>
        <w:t xml:space="preserve"> </w:t>
      </w:r>
      <w:r w:rsidR="00480EFD">
        <w:rPr>
          <w:rFonts w:ascii="Palatino Linotype" w:hAnsi="Palatino Linotype" w:cs="Tahoma"/>
        </w:rPr>
        <w:t xml:space="preserve">el </w:t>
      </w:r>
      <w:r w:rsidR="00480EFD">
        <w:rPr>
          <w:rFonts w:ascii="Palatino Linotype" w:hAnsi="Palatino Linotype" w:cs="Tahoma"/>
        </w:rPr>
        <w:t>ordenar la entrega de la información sin costos por reproducción en el caso de las solicitudes en copias certificadas</w:t>
      </w:r>
      <w:r w:rsidRPr="00557273">
        <w:rPr>
          <w:rFonts w:ascii="Palatino Linotype" w:hAnsi="Palatino Linotype" w:cs="Tahoma"/>
        </w:rPr>
        <w:t xml:space="preserve"> no </w:t>
      </w:r>
      <w:r w:rsidR="00480EFD">
        <w:rPr>
          <w:rFonts w:ascii="Palatino Linotype" w:hAnsi="Palatino Linotype" w:cs="Tahoma"/>
        </w:rPr>
        <w:t xml:space="preserve">irroga </w:t>
      </w:r>
      <w:r w:rsidRPr="00557273">
        <w:rPr>
          <w:rFonts w:ascii="Palatino Linotype" w:hAnsi="Palatino Linotype" w:cs="Tahoma"/>
        </w:rPr>
        <w:t xml:space="preserve"> afectación alguna al erario público,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14:paraId="5F3B6FE2" w14:textId="77777777" w:rsidR="0071135E" w:rsidRPr="00557273" w:rsidRDefault="0071135E" w:rsidP="0071135E">
      <w:pPr>
        <w:spacing w:line="360" w:lineRule="auto"/>
        <w:jc w:val="both"/>
        <w:rPr>
          <w:rFonts w:ascii="Palatino Linotype" w:hAnsi="Palatino Linotype" w:cs="Tahoma"/>
        </w:rPr>
      </w:pPr>
    </w:p>
    <w:p w14:paraId="06400B52" w14:textId="0FB6776A" w:rsidR="0071135E" w:rsidRDefault="0071135E" w:rsidP="0071135E">
      <w:pPr>
        <w:spacing w:line="360" w:lineRule="auto"/>
        <w:jc w:val="both"/>
        <w:rPr>
          <w:rFonts w:ascii="Palatino Linotype" w:hAnsi="Palatino Linotype" w:cs="Tahoma"/>
        </w:rPr>
      </w:pPr>
      <w:r w:rsidRPr="00557273">
        <w:rPr>
          <w:rFonts w:ascii="Palatino Linotype" w:hAnsi="Palatino Linotype" w:cs="Tahoma"/>
        </w:rPr>
        <w:t>Los fines recaudatorios son una limitante de la garantía constitucional del derecho de acceso a la información y contravienen su naturaleza  general, ya que inhiben  indebidamente el ejercicio amplio y completo del derecho de acceso a la información</w:t>
      </w:r>
      <w:r w:rsidR="007477C0">
        <w:rPr>
          <w:rFonts w:ascii="Palatino Linotype" w:hAnsi="Palatino Linotype" w:cs="Tahoma"/>
        </w:rPr>
        <w:t>.</w:t>
      </w:r>
    </w:p>
    <w:p w14:paraId="287AF284" w14:textId="77777777" w:rsidR="007477C0" w:rsidRPr="00557273" w:rsidRDefault="007477C0" w:rsidP="0071135E">
      <w:pPr>
        <w:spacing w:line="360" w:lineRule="auto"/>
        <w:jc w:val="both"/>
        <w:rPr>
          <w:rFonts w:ascii="Palatino Linotype" w:hAnsi="Palatino Linotype" w:cs="Tahoma"/>
        </w:rPr>
      </w:pPr>
    </w:p>
    <w:p w14:paraId="7C63E628" w14:textId="0F2BF8DE" w:rsidR="007477C0" w:rsidRDefault="007477C0" w:rsidP="007477C0">
      <w:pPr>
        <w:spacing w:line="360" w:lineRule="auto"/>
        <w:jc w:val="both"/>
        <w:rPr>
          <w:rFonts w:ascii="Palatino Linotype" w:hAnsi="Palatino Linotype" w:cs="Tahoma"/>
        </w:rPr>
      </w:pPr>
      <w:r w:rsidRPr="007477C0">
        <w:rPr>
          <w:rFonts w:ascii="Palatino Linotype" w:hAnsi="Palatino Linotype" w:cs="Tahoma"/>
        </w:rPr>
        <w:t xml:space="preserve">En materia de costos </w:t>
      </w:r>
      <w:r w:rsidRPr="007477C0">
        <w:rPr>
          <w:rFonts w:ascii="Palatino Linotype" w:hAnsi="Palatino Linotype" w:cs="Tahoma"/>
        </w:rPr>
        <w:t xml:space="preserve">según refiere </w:t>
      </w:r>
      <w:r w:rsidRPr="007477C0">
        <w:rPr>
          <w:rFonts w:ascii="Palatino Linotype" w:hAnsi="Palatino Linotype" w:cs="Tahoma"/>
        </w:rPr>
        <w:t xml:space="preserve">el Código Financiero del Estado de México,  en el artículo 148, se establecen los derechos por la expedición de documentos solicitados en el ejercicio del derecho a la información pública, no estableciéndose un máximo de hojas para determinar el no cobro, lo cual no abona al ejercicio del Control de </w:t>
      </w:r>
      <w:r w:rsidRPr="007477C0">
        <w:rPr>
          <w:rFonts w:ascii="Palatino Linotype" w:hAnsi="Palatino Linotype" w:cs="Tahoma"/>
        </w:rPr>
        <w:lastRenderedPageBreak/>
        <w:t>Convencionalidad; mismo que obliga a todas las autoridades, a determinar sobre aquello que más beneficie a la persona, garantizando en todo momento, sus derechos.</w:t>
      </w:r>
    </w:p>
    <w:p w14:paraId="20525FC0" w14:textId="77777777" w:rsidR="00465A0D" w:rsidRPr="007477C0" w:rsidRDefault="00465A0D" w:rsidP="007477C0">
      <w:pPr>
        <w:spacing w:line="360" w:lineRule="auto"/>
        <w:jc w:val="both"/>
        <w:rPr>
          <w:rFonts w:ascii="Palatino Linotype" w:hAnsi="Palatino Linotype" w:cs="Tahoma"/>
        </w:rPr>
      </w:pPr>
    </w:p>
    <w:p w14:paraId="1F81937B" w14:textId="77777777" w:rsidR="007477C0" w:rsidRPr="007477C0" w:rsidRDefault="007477C0" w:rsidP="007477C0">
      <w:pPr>
        <w:spacing w:line="360" w:lineRule="auto"/>
        <w:jc w:val="both"/>
        <w:rPr>
          <w:rFonts w:ascii="Palatino Linotype" w:hAnsi="Palatino Linotype" w:cs="Tahoma"/>
        </w:rPr>
      </w:pPr>
      <w:r w:rsidRPr="007477C0">
        <w:rPr>
          <w:rFonts w:ascii="Palatino Linotype" w:hAnsi="Palatino Linotype" w:cs="Tahoma"/>
        </w:rPr>
        <w:t xml:space="preserve">En este orden de ideas, la Suprema Corte de Justicia de la Nación también establece el derecho de gratuidad, en materia de solicitud de copias para la defensa de una persona y su intención de acudir ante el sistema interamericano se encuentra protegido por un derecho fundamental, lo que nos establece que en el caso de que las copias simples excedan de 20 hojas, se deberá determinar la gratuidad dependiendo del caso particular y si se trata de una persona en situación de vulnerabilidad, sobre todo si se presenta una </w:t>
      </w:r>
      <w:proofErr w:type="spellStart"/>
      <w:r w:rsidRPr="007477C0">
        <w:rPr>
          <w:rFonts w:ascii="Palatino Linotype" w:hAnsi="Palatino Linotype" w:cs="Tahoma"/>
        </w:rPr>
        <w:t>interseccionalidad</w:t>
      </w:r>
      <w:proofErr w:type="spellEnd"/>
      <w:r w:rsidRPr="007477C0">
        <w:rPr>
          <w:rFonts w:ascii="Palatino Linotype" w:hAnsi="Palatino Linotype" w:cs="Tahoma"/>
        </w:rPr>
        <w:t xml:space="preserve"> y se encuentra presente una situación de pobreza .</w:t>
      </w:r>
    </w:p>
    <w:p w14:paraId="24F71E4A" w14:textId="77777777" w:rsidR="007477C0" w:rsidRPr="007477C0" w:rsidRDefault="007477C0" w:rsidP="007477C0">
      <w:pPr>
        <w:spacing w:line="360" w:lineRule="auto"/>
        <w:jc w:val="both"/>
        <w:rPr>
          <w:rFonts w:ascii="Palatino Linotype" w:hAnsi="Palatino Linotype" w:cs="Tahoma"/>
        </w:rPr>
      </w:pPr>
    </w:p>
    <w:p w14:paraId="61FEF093" w14:textId="49038E67" w:rsidR="0071135E" w:rsidRDefault="007477C0" w:rsidP="007477C0">
      <w:pPr>
        <w:spacing w:line="360" w:lineRule="auto"/>
        <w:jc w:val="both"/>
        <w:rPr>
          <w:rFonts w:ascii="Palatino Linotype" w:hAnsi="Palatino Linotype" w:cs="Tahoma"/>
        </w:rPr>
      </w:pPr>
      <w:r w:rsidRPr="007477C0">
        <w:rPr>
          <w:rFonts w:ascii="Palatino Linotype" w:hAnsi="Palatino Linotype" w:cs="Tahoma"/>
        </w:rPr>
        <w:t xml:space="preserve">Por otro lado, la Relatoría Especial para la Libertad de Expresión de la Organización de Estados Americanos, en su Estudio Especial sobre el Derecho de Acceso a la Información, en materia de acceso a la información establece un punto esencial de este derecho que consiste en la no onerosidad del proceso de suministro de información. En realidad, este elemento es una garantía para el ejercicio de este derecho sobre los que se ensayaron distintos sistemas para asegurar que el costo de la solicitud y su suministro no sea excesivo y suponga un desincentivo para las personas. Reiterando más adelante en su Informe El Derecho de Acceso a la Información en el marco jurídico interamericano que las solicitudes de información al Estado, deben cumplir dentro de otras características la de ser “gratuita o de bajo </w:t>
      </w:r>
      <w:r w:rsidRPr="007477C0">
        <w:rPr>
          <w:rFonts w:ascii="Palatino Linotype" w:hAnsi="Palatino Linotype" w:cs="Tahoma"/>
        </w:rPr>
        <w:lastRenderedPageBreak/>
        <w:t>costo, de tal manera que no desaliente las solicitudes de información.” Lo mismo se recalca en el Caso Barreto Leiva vs. Venezuela, Sentencia de 17 de noviembre de 2009.</w:t>
      </w:r>
    </w:p>
    <w:p w14:paraId="133006B8" w14:textId="77777777" w:rsidR="00465A0D" w:rsidRPr="007477C0" w:rsidRDefault="00465A0D" w:rsidP="007477C0">
      <w:pPr>
        <w:spacing w:line="360" w:lineRule="auto"/>
        <w:jc w:val="both"/>
        <w:rPr>
          <w:rFonts w:ascii="Palatino Linotype" w:hAnsi="Palatino Linotype" w:cs="Tahoma"/>
        </w:rPr>
      </w:pPr>
    </w:p>
    <w:p w14:paraId="0C60228E" w14:textId="56D4501E" w:rsidR="0071135E" w:rsidRPr="00C569A8" w:rsidRDefault="0071135E" w:rsidP="0071135E">
      <w:pPr>
        <w:spacing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557273">
        <w:rPr>
          <w:rFonts w:ascii="Palatino Linotype" w:hAnsi="Palatino Linotype" w:cs="Tahoma"/>
        </w:rPr>
        <w:t xml:space="preserve">Voto Particular </w:t>
      </w:r>
      <w:proofErr w:type="gramStart"/>
      <w:r w:rsidR="00557273" w:rsidRPr="00557273">
        <w:rPr>
          <w:rFonts w:ascii="Palatino Linotype" w:hAnsi="Palatino Linotype" w:cs="Tahoma"/>
        </w:rPr>
        <w:t>.</w:t>
      </w:r>
      <w:r w:rsidRPr="00557273">
        <w:rPr>
          <w:rFonts w:ascii="Palatino Linotype" w:hAnsi="Palatino Linotype" w:cs="Tahoma"/>
        </w:rPr>
        <w:t>.</w:t>
      </w:r>
      <w:proofErr w:type="gramEnd"/>
      <w:r w:rsidRPr="00C569A8">
        <w:rPr>
          <w:rFonts w:ascii="Palatino Linotype" w:hAnsi="Palatino Linotype" w:cs="Tahoma"/>
        </w:rPr>
        <w:t xml:space="preserve"> ---------------------------------------------------------------------------------------------------------------------------------------------------------------------------------------------------------------------------------------------------------------</w:t>
      </w:r>
    </w:p>
    <w:p w14:paraId="5F1A4B52" w14:textId="77777777" w:rsidR="0071135E" w:rsidRPr="00C569A8" w:rsidRDefault="0071135E" w:rsidP="0071135E"/>
    <w:p w14:paraId="0EC8694D" w14:textId="77777777" w:rsidR="0071135E" w:rsidRPr="00C569A8" w:rsidRDefault="0071135E" w:rsidP="0071135E"/>
    <w:p w14:paraId="397C60A7" w14:textId="77777777" w:rsidR="0071135E" w:rsidRPr="00C569A8" w:rsidRDefault="0071135E" w:rsidP="0071135E"/>
    <w:p w14:paraId="7394AA8D" w14:textId="77777777" w:rsidR="0071135E" w:rsidRPr="00C569A8" w:rsidRDefault="0071135E" w:rsidP="0071135E"/>
    <w:p w14:paraId="295FD2CB" w14:textId="77777777" w:rsidR="0071135E" w:rsidRPr="00C569A8" w:rsidRDefault="0071135E" w:rsidP="0071135E"/>
    <w:p w14:paraId="5C267B0E" w14:textId="77777777" w:rsidR="0071135E" w:rsidRPr="00C569A8" w:rsidRDefault="0071135E" w:rsidP="0071135E"/>
    <w:p w14:paraId="4B4BA299" w14:textId="77777777" w:rsidR="0071135E" w:rsidRPr="00C569A8" w:rsidRDefault="0071135E" w:rsidP="0071135E"/>
    <w:p w14:paraId="2FA9B19B" w14:textId="77777777" w:rsidR="0071135E" w:rsidRPr="00C569A8" w:rsidRDefault="0071135E" w:rsidP="0071135E"/>
    <w:p w14:paraId="1C0F61F9" w14:textId="77777777" w:rsidR="0071135E" w:rsidRPr="00C569A8" w:rsidRDefault="0071135E" w:rsidP="0071135E"/>
    <w:p w14:paraId="1599129E" w14:textId="77777777" w:rsidR="0071135E" w:rsidRDefault="0071135E" w:rsidP="0071135E">
      <w:pPr>
        <w:spacing w:line="360" w:lineRule="auto"/>
        <w:jc w:val="both"/>
        <w:rPr>
          <w:rFonts w:ascii="Palatino Linotype" w:hAnsi="Palatino Linotype" w:cs="Arial"/>
          <w:lang w:val="es-ES_tradnl"/>
        </w:rPr>
      </w:pPr>
    </w:p>
    <w:sectPr w:rsidR="0071135E"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CEA74" w14:textId="77777777" w:rsidR="001A3C5F" w:rsidRDefault="001A3C5F" w:rsidP="00C80F8C">
      <w:r>
        <w:separator/>
      </w:r>
    </w:p>
  </w:endnote>
  <w:endnote w:type="continuationSeparator" w:id="0">
    <w:p w14:paraId="10B3BD0C" w14:textId="77777777" w:rsidR="001A3C5F" w:rsidRDefault="001A3C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F9C70" w14:textId="77777777" w:rsidR="001A3C5F" w:rsidRDefault="001A3C5F" w:rsidP="00C80F8C">
      <w:r>
        <w:separator/>
      </w:r>
    </w:p>
  </w:footnote>
  <w:footnote w:type="continuationSeparator" w:id="0">
    <w:p w14:paraId="5A0AAF72" w14:textId="77777777" w:rsidR="001A3C5F" w:rsidRDefault="001A3C5F" w:rsidP="00C80F8C">
      <w:r>
        <w:continuationSeparator/>
      </w:r>
    </w:p>
  </w:footnote>
  <w:footnote w:id="1">
    <w:p w14:paraId="67FDB8D0" w14:textId="7064C404" w:rsidR="00557273" w:rsidRPr="00557273" w:rsidRDefault="00557273" w:rsidP="00557273">
      <w:pPr>
        <w:pStyle w:val="Textonotapie"/>
        <w:jc w:val="both"/>
        <w:rPr>
          <w:sz w:val="18"/>
          <w:szCs w:val="18"/>
        </w:rPr>
      </w:pPr>
      <w:r w:rsidRPr="00557273">
        <w:rPr>
          <w:rStyle w:val="Refdenotaalpie"/>
          <w:sz w:val="18"/>
          <w:szCs w:val="18"/>
        </w:rPr>
        <w:footnoteRef/>
      </w:r>
      <w:r w:rsidRPr="00557273">
        <w:rPr>
          <w:sz w:val="18"/>
          <w:szCs w:val="18"/>
        </w:rPr>
        <w:t xml:space="preserve"> </w:t>
      </w:r>
      <w:r w:rsidRPr="00557273">
        <w:rPr>
          <w:sz w:val="18"/>
          <w:szCs w:val="18"/>
        </w:rPr>
        <w:t xml:space="preserve">Carbonell, Miguel y Bustillos, </w:t>
      </w:r>
      <w:proofErr w:type="spellStart"/>
      <w:r w:rsidRPr="00557273">
        <w:rPr>
          <w:sz w:val="18"/>
          <w:szCs w:val="18"/>
        </w:rPr>
        <w:t>Roqueñi</w:t>
      </w:r>
      <w:proofErr w:type="spellEnd"/>
      <w:r w:rsidRPr="00557273">
        <w:rPr>
          <w:sz w:val="18"/>
          <w:szCs w:val="18"/>
        </w:rPr>
        <w:t>, (Coordinadores), Hacia una democracia de contenidos: La</w:t>
      </w:r>
      <w:r w:rsidRPr="00557273">
        <w:rPr>
          <w:sz w:val="18"/>
          <w:szCs w:val="18"/>
        </w:rPr>
        <w:t xml:space="preserve"> </w:t>
      </w:r>
      <w:r w:rsidRPr="00557273">
        <w:rPr>
          <w:sz w:val="18"/>
          <w:szCs w:val="18"/>
        </w:rPr>
        <w:t>reforma constitucional en materia de transparencia, Universidad Nacional Autónoma de México,</w:t>
      </w:r>
      <w:r w:rsidRPr="00557273">
        <w:rPr>
          <w:sz w:val="18"/>
          <w:szCs w:val="18"/>
        </w:rPr>
        <w:t xml:space="preserve"> </w:t>
      </w:r>
      <w:r w:rsidRPr="00557273">
        <w:rPr>
          <w:sz w:val="18"/>
          <w:szCs w:val="18"/>
        </w:rPr>
        <w:t>Instituto Federal de Acceso a la Información e Instituto de Acceso a la Información Pública del Distrito</w:t>
      </w:r>
      <w:r w:rsidRPr="00557273">
        <w:rPr>
          <w:sz w:val="18"/>
          <w:szCs w:val="18"/>
        </w:rPr>
        <w:t xml:space="preserve"> </w:t>
      </w:r>
      <w:r w:rsidRPr="00557273">
        <w:rPr>
          <w:sz w:val="18"/>
          <w:szCs w:val="18"/>
        </w:rPr>
        <w:t>Federa</w:t>
      </w:r>
      <w:r w:rsidRPr="00557273">
        <w:rPr>
          <w:sz w:val="18"/>
          <w:szCs w:val="18"/>
        </w:rPr>
        <w:t>l</w:t>
      </w:r>
      <w:r w:rsidRPr="00557273">
        <w:rPr>
          <w:sz w:val="18"/>
          <w:szCs w:val="18"/>
        </w:rPr>
        <w:t>, México, 2008, Páginas 11 y 12</w:t>
      </w:r>
    </w:p>
  </w:footnote>
  <w:footnote w:id="2">
    <w:p w14:paraId="754C7135" w14:textId="42CEF343" w:rsidR="008F4AE6" w:rsidRDefault="008F4AE6" w:rsidP="00465A0D">
      <w:pPr>
        <w:jc w:val="both"/>
        <w:rPr>
          <w:sz w:val="16"/>
          <w:szCs w:val="16"/>
        </w:rPr>
      </w:pPr>
      <w:r w:rsidRPr="00465A0D">
        <w:rPr>
          <w:rStyle w:val="Refdenotaalpie"/>
          <w:rFonts w:ascii="Palatino Linotype" w:hAnsi="Palatino Linotype" w:cs="Arial"/>
          <w:sz w:val="16"/>
          <w:szCs w:val="16"/>
        </w:rPr>
        <w:footnoteRef/>
      </w:r>
      <w:r w:rsidRPr="00465A0D">
        <w:rPr>
          <w:rFonts w:ascii="Palatino Linotype" w:hAnsi="Palatino Linotype" w:cs="Arial"/>
          <w:sz w:val="16"/>
          <w:szCs w:val="16"/>
        </w:rPr>
        <w:t xml:space="preserve"> Entendiendo por negligente la más simple y llana definición contenida en el Diccionario de la Lengua Española: “Negligente. </w:t>
      </w:r>
      <w:r w:rsidRPr="00465A0D">
        <w:rPr>
          <w:rFonts w:ascii="Palatino Linotype" w:eastAsia="Arial Unicode MS" w:hAnsi="Palatino Linotype" w:cs="Arial"/>
          <w:spacing w:val="4"/>
          <w:sz w:val="16"/>
          <w:szCs w:val="16"/>
        </w:rPr>
        <w:t>Del</w:t>
      </w:r>
      <w:r w:rsidRPr="00465A0D">
        <w:rPr>
          <w:rStyle w:val="apple-converted-space"/>
          <w:rFonts w:ascii="Palatino Linotype" w:eastAsia="Arial Unicode MS" w:hAnsi="Palatino Linotype" w:cs="Arial"/>
          <w:spacing w:val="4"/>
          <w:sz w:val="16"/>
          <w:szCs w:val="16"/>
        </w:rPr>
        <w:t> </w:t>
      </w:r>
      <w:r w:rsidRPr="00465A0D">
        <w:rPr>
          <w:rFonts w:ascii="Palatino Linotype" w:eastAsia="Arial Unicode MS" w:hAnsi="Palatino Linotype" w:cs="Arial"/>
          <w:spacing w:val="4"/>
          <w:sz w:val="16"/>
          <w:szCs w:val="16"/>
        </w:rPr>
        <w:t>lat.</w:t>
      </w:r>
      <w:r w:rsidRPr="00465A0D">
        <w:rPr>
          <w:rStyle w:val="apple-converted-space"/>
          <w:rFonts w:ascii="Palatino Linotype" w:eastAsia="Arial Unicode MS" w:hAnsi="Palatino Linotype" w:cs="Arial"/>
          <w:spacing w:val="4"/>
          <w:sz w:val="16"/>
          <w:szCs w:val="16"/>
        </w:rPr>
        <w:t> </w:t>
      </w:r>
      <w:proofErr w:type="spellStart"/>
      <w:r w:rsidRPr="00465A0D">
        <w:rPr>
          <w:rStyle w:val="nfasis"/>
          <w:rFonts w:eastAsia="Arial Unicode MS" w:cs="Arial"/>
          <w:spacing w:val="4"/>
          <w:sz w:val="16"/>
          <w:szCs w:val="16"/>
          <w:bdr w:val="none" w:sz="0" w:space="0" w:color="auto" w:frame="1"/>
        </w:rPr>
        <w:t>neglĭgens</w:t>
      </w:r>
      <w:proofErr w:type="spellEnd"/>
      <w:r w:rsidRPr="00465A0D">
        <w:rPr>
          <w:rStyle w:val="nfasis"/>
          <w:rFonts w:eastAsia="Arial Unicode MS" w:cs="Arial"/>
          <w:spacing w:val="4"/>
          <w:sz w:val="16"/>
          <w:szCs w:val="16"/>
          <w:bdr w:val="none" w:sz="0" w:space="0" w:color="auto" w:frame="1"/>
        </w:rPr>
        <w:t>, -</w:t>
      </w:r>
      <w:proofErr w:type="spellStart"/>
      <w:r w:rsidRPr="00465A0D">
        <w:rPr>
          <w:rStyle w:val="nfasis"/>
          <w:rFonts w:eastAsia="Arial Unicode MS" w:cs="Arial"/>
          <w:spacing w:val="4"/>
          <w:sz w:val="16"/>
          <w:szCs w:val="16"/>
          <w:bdr w:val="none" w:sz="0" w:space="0" w:color="auto" w:frame="1"/>
        </w:rPr>
        <w:t>entis</w:t>
      </w:r>
      <w:proofErr w:type="spellEnd"/>
      <w:r w:rsidRPr="00465A0D">
        <w:rPr>
          <w:rStyle w:val="nfasis"/>
          <w:rFonts w:eastAsia="Arial Unicode MS" w:cs="Arial"/>
          <w:spacing w:val="4"/>
          <w:sz w:val="16"/>
          <w:szCs w:val="16"/>
          <w:bdr w:val="none" w:sz="0" w:space="0" w:color="auto" w:frame="1"/>
        </w:rPr>
        <w:t>,</w:t>
      </w:r>
      <w:r w:rsidRPr="00465A0D">
        <w:rPr>
          <w:rStyle w:val="apple-converted-space"/>
          <w:rFonts w:ascii="Palatino Linotype" w:eastAsia="Arial Unicode MS" w:hAnsi="Palatino Linotype" w:cs="Arial"/>
          <w:spacing w:val="4"/>
          <w:sz w:val="16"/>
          <w:szCs w:val="16"/>
        </w:rPr>
        <w:t> </w:t>
      </w:r>
      <w:proofErr w:type="spellStart"/>
      <w:r w:rsidRPr="00465A0D">
        <w:rPr>
          <w:rFonts w:ascii="Palatino Linotype" w:eastAsia="Arial Unicode MS" w:hAnsi="Palatino Linotype" w:cs="Arial"/>
          <w:spacing w:val="4"/>
          <w:sz w:val="16"/>
          <w:szCs w:val="16"/>
        </w:rPr>
        <w:t>part</w:t>
      </w:r>
      <w:proofErr w:type="spellEnd"/>
      <w:r w:rsidRPr="00465A0D">
        <w:rPr>
          <w:rFonts w:ascii="Palatino Linotype" w:eastAsia="Arial Unicode MS" w:hAnsi="Palatino Linotype" w:cs="Arial"/>
          <w:spacing w:val="4"/>
          <w:sz w:val="16"/>
          <w:szCs w:val="16"/>
        </w:rPr>
        <w:t xml:space="preserve">. </w:t>
      </w:r>
      <w:proofErr w:type="spellStart"/>
      <w:r w:rsidRPr="00465A0D">
        <w:rPr>
          <w:rFonts w:ascii="Palatino Linotype" w:eastAsia="Arial Unicode MS" w:hAnsi="Palatino Linotype" w:cs="Arial"/>
          <w:spacing w:val="4"/>
          <w:sz w:val="16"/>
          <w:szCs w:val="16"/>
        </w:rPr>
        <w:t>act</w:t>
      </w:r>
      <w:proofErr w:type="spellEnd"/>
      <w:r w:rsidRPr="00465A0D">
        <w:rPr>
          <w:rFonts w:ascii="Palatino Linotype" w:eastAsia="Arial Unicode MS" w:hAnsi="Palatino Linotype" w:cs="Arial"/>
          <w:spacing w:val="4"/>
          <w:sz w:val="16"/>
          <w:szCs w:val="16"/>
        </w:rPr>
        <w:t>.</w:t>
      </w:r>
      <w:r w:rsidRPr="00465A0D">
        <w:rPr>
          <w:rStyle w:val="apple-converted-space"/>
          <w:rFonts w:ascii="Palatino Linotype" w:eastAsia="Arial Unicode MS" w:hAnsi="Palatino Linotype" w:cs="Arial"/>
          <w:spacing w:val="4"/>
          <w:sz w:val="16"/>
          <w:szCs w:val="16"/>
        </w:rPr>
        <w:t> </w:t>
      </w:r>
      <w:r w:rsidRPr="00465A0D">
        <w:rPr>
          <w:rFonts w:ascii="Palatino Linotype" w:eastAsia="Arial Unicode MS" w:hAnsi="Palatino Linotype" w:cs="Arial"/>
          <w:spacing w:val="4"/>
          <w:sz w:val="16"/>
          <w:szCs w:val="16"/>
        </w:rPr>
        <w:t>de</w:t>
      </w:r>
      <w:r w:rsidRPr="00465A0D">
        <w:rPr>
          <w:rStyle w:val="apple-converted-space"/>
          <w:rFonts w:ascii="Palatino Linotype" w:eastAsia="Arial Unicode MS" w:hAnsi="Palatino Linotype" w:cs="Arial"/>
          <w:spacing w:val="4"/>
          <w:sz w:val="16"/>
          <w:szCs w:val="16"/>
        </w:rPr>
        <w:t> </w:t>
      </w:r>
      <w:proofErr w:type="spellStart"/>
      <w:r w:rsidRPr="00465A0D">
        <w:rPr>
          <w:rStyle w:val="nfasis"/>
          <w:rFonts w:eastAsia="Arial Unicode MS" w:cs="Arial"/>
          <w:spacing w:val="4"/>
          <w:sz w:val="16"/>
          <w:szCs w:val="16"/>
          <w:bdr w:val="none" w:sz="0" w:space="0" w:color="auto" w:frame="1"/>
        </w:rPr>
        <w:t>negligĕre</w:t>
      </w:r>
      <w:proofErr w:type="spellEnd"/>
      <w:r w:rsidRPr="00465A0D">
        <w:rPr>
          <w:rStyle w:val="apple-converted-space"/>
          <w:rFonts w:ascii="Palatino Linotype" w:eastAsia="Arial Unicode MS" w:hAnsi="Palatino Linotype" w:cs="Arial"/>
          <w:spacing w:val="4"/>
          <w:sz w:val="16"/>
          <w:szCs w:val="16"/>
        </w:rPr>
        <w:t> </w:t>
      </w:r>
      <w:r w:rsidRPr="00465A0D">
        <w:rPr>
          <w:rFonts w:ascii="Palatino Linotype" w:eastAsia="Arial Unicode MS" w:hAnsi="Palatino Linotype" w:cs="Arial"/>
          <w:spacing w:val="4"/>
          <w:sz w:val="16"/>
          <w:szCs w:val="16"/>
        </w:rPr>
        <w:t xml:space="preserve">'descuidar'. </w:t>
      </w:r>
      <w:r w:rsidRPr="00465A0D">
        <w:rPr>
          <w:rStyle w:val="nacep"/>
          <w:rFonts w:ascii="Palatino Linotype" w:eastAsia="Arial Unicode MS" w:hAnsi="Palatino Linotype" w:cs="Arial"/>
          <w:b/>
          <w:bCs/>
          <w:spacing w:val="4"/>
          <w:sz w:val="16"/>
          <w:szCs w:val="16"/>
          <w:bdr w:val="none" w:sz="0" w:space="0" w:color="auto" w:frame="1"/>
          <w:shd w:val="clear" w:color="auto" w:fill="FFFFFF"/>
        </w:rPr>
        <w:t>1.</w:t>
      </w:r>
      <w:r w:rsidRPr="00465A0D">
        <w:rPr>
          <w:rStyle w:val="apple-converted-space"/>
          <w:rFonts w:ascii="Palatino Linotype" w:eastAsia="Arial Unicode MS" w:hAnsi="Palatino Linotype" w:cs="Arial"/>
          <w:spacing w:val="4"/>
          <w:sz w:val="16"/>
          <w:szCs w:val="16"/>
          <w:bdr w:val="none" w:sz="0" w:space="0" w:color="auto" w:frame="1"/>
          <w:shd w:val="clear" w:color="auto" w:fill="FFFFFF"/>
        </w:rPr>
        <w:t> </w:t>
      </w:r>
      <w:proofErr w:type="spellStart"/>
      <w:r w:rsidRPr="00465A0D">
        <w:rPr>
          <w:rFonts w:ascii="Palatino Linotype" w:eastAsia="Arial Unicode MS" w:hAnsi="Palatino Linotype" w:cs="Arial"/>
          <w:spacing w:val="4"/>
          <w:sz w:val="16"/>
          <w:szCs w:val="16"/>
        </w:rPr>
        <w:t>adj</w:t>
      </w:r>
      <w:proofErr w:type="spellEnd"/>
      <w:r w:rsidRPr="00465A0D">
        <w:rPr>
          <w:rFonts w:ascii="Palatino Linotype" w:eastAsia="Arial Unicode MS" w:hAnsi="Palatino Linotype" w:cs="Arial"/>
          <w:spacing w:val="4"/>
          <w:sz w:val="16"/>
          <w:szCs w:val="16"/>
        </w:rPr>
        <w:t>.</w:t>
      </w:r>
      <w:r w:rsidRPr="00465A0D">
        <w:rPr>
          <w:rStyle w:val="apple-converted-space"/>
          <w:rFonts w:ascii="Palatino Linotype" w:eastAsia="Arial Unicode MS" w:hAnsi="Palatino Linotype" w:cs="Arial"/>
          <w:spacing w:val="4"/>
          <w:sz w:val="16"/>
          <w:szCs w:val="16"/>
        </w:rPr>
        <w:t> </w:t>
      </w:r>
      <w:hyperlink r:id="rId1" w:anchor="HDLT8M7" w:history="1">
        <w:r w:rsidRPr="00465A0D">
          <w:rPr>
            <w:rStyle w:val="Hipervnculo"/>
            <w:rFonts w:ascii="Palatino Linotype" w:eastAsia="Arial Unicode MS" w:hAnsi="Palatino Linotype" w:cs="Arial"/>
            <w:b/>
            <w:bCs/>
            <w:spacing w:val="4"/>
            <w:sz w:val="16"/>
            <w:szCs w:val="16"/>
            <w:bdr w:val="none" w:sz="0" w:space="0" w:color="auto" w:frame="1"/>
            <w:shd w:val="clear" w:color="auto" w:fill="FFFFFF"/>
          </w:rPr>
          <w:t>descuidado.</w:t>
        </w:r>
      </w:hyperlink>
      <w:r w:rsidRPr="00465A0D">
        <w:rPr>
          <w:rStyle w:val="apple-converted-space"/>
          <w:rFonts w:ascii="Palatino Linotype" w:eastAsia="Arial Unicode MS" w:hAnsi="Palatino Linotype" w:cs="Arial"/>
          <w:spacing w:val="4"/>
          <w:sz w:val="16"/>
          <w:szCs w:val="16"/>
        </w:rPr>
        <w:t> </w:t>
      </w:r>
      <w:r w:rsidRPr="00465A0D">
        <w:rPr>
          <w:rFonts w:ascii="Palatino Linotype" w:eastAsia="Arial Unicode MS" w:hAnsi="Palatino Linotype" w:cs="Arial"/>
          <w:spacing w:val="4"/>
          <w:sz w:val="16"/>
          <w:szCs w:val="16"/>
        </w:rPr>
        <w:t xml:space="preserve">U. t. c. s. </w:t>
      </w:r>
      <w:r w:rsidRPr="00465A0D">
        <w:rPr>
          <w:rStyle w:val="nacep"/>
          <w:rFonts w:ascii="Palatino Linotype" w:eastAsia="Arial Unicode MS" w:hAnsi="Palatino Linotype" w:cs="Arial"/>
          <w:b/>
          <w:bCs/>
          <w:spacing w:val="4"/>
          <w:sz w:val="16"/>
          <w:szCs w:val="16"/>
          <w:bdr w:val="none" w:sz="0" w:space="0" w:color="auto" w:frame="1"/>
          <w:shd w:val="clear" w:color="auto" w:fill="FFFFFF"/>
        </w:rPr>
        <w:t>2.</w:t>
      </w:r>
      <w:r w:rsidRPr="00465A0D">
        <w:rPr>
          <w:rStyle w:val="apple-converted-space"/>
          <w:rFonts w:ascii="Palatino Linotype" w:eastAsia="Arial Unicode MS" w:hAnsi="Palatino Linotype" w:cs="Arial"/>
          <w:spacing w:val="4"/>
          <w:sz w:val="16"/>
          <w:szCs w:val="16"/>
          <w:bdr w:val="none" w:sz="0" w:space="0" w:color="auto" w:frame="1"/>
          <w:shd w:val="clear" w:color="auto" w:fill="FFFFFF"/>
        </w:rPr>
        <w:t> </w:t>
      </w:r>
      <w:proofErr w:type="spellStart"/>
      <w:r w:rsidRPr="00465A0D">
        <w:rPr>
          <w:rFonts w:ascii="Palatino Linotype" w:eastAsia="Arial Unicode MS" w:hAnsi="Palatino Linotype" w:cs="Arial"/>
          <w:spacing w:val="4"/>
          <w:sz w:val="16"/>
          <w:szCs w:val="16"/>
        </w:rPr>
        <w:t>adj</w:t>
      </w:r>
      <w:proofErr w:type="spellEnd"/>
      <w:r w:rsidRPr="00465A0D">
        <w:rPr>
          <w:rFonts w:ascii="Palatino Linotype" w:eastAsia="Arial Unicode MS" w:hAnsi="Palatino Linotype" w:cs="Arial"/>
          <w:spacing w:val="4"/>
          <w:sz w:val="16"/>
          <w:szCs w:val="16"/>
        </w:rPr>
        <w:t>.</w:t>
      </w:r>
      <w:r w:rsidRPr="00465A0D">
        <w:rPr>
          <w:rStyle w:val="apple-converted-space"/>
          <w:rFonts w:ascii="Palatino Linotype" w:eastAsia="Arial Unicode MS" w:hAnsi="Palatino Linotype" w:cs="Arial"/>
          <w:spacing w:val="4"/>
          <w:sz w:val="16"/>
          <w:szCs w:val="16"/>
        </w:rPr>
        <w:t> </w:t>
      </w:r>
      <w:proofErr w:type="gramStart"/>
      <w:r w:rsidRPr="00465A0D">
        <w:rPr>
          <w:rFonts w:ascii="Palatino Linotype" w:eastAsia="Arial Unicode MS" w:hAnsi="Palatino Linotype" w:cs="Arial"/>
          <w:spacing w:val="4"/>
          <w:sz w:val="16"/>
          <w:szCs w:val="16"/>
        </w:rPr>
        <w:t>Falto</w:t>
      </w:r>
      <w:proofErr w:type="gramEnd"/>
      <w:r w:rsidRPr="00465A0D">
        <w:rPr>
          <w:rStyle w:val="apple-converted-space"/>
          <w:rFonts w:ascii="Palatino Linotype" w:eastAsia="Arial Unicode MS" w:hAnsi="Palatino Linotype" w:cs="Arial"/>
          <w:spacing w:val="4"/>
          <w:sz w:val="16"/>
          <w:szCs w:val="16"/>
        </w:rPr>
        <w:t> </w:t>
      </w:r>
      <w:r w:rsidRPr="00465A0D">
        <w:rPr>
          <w:rFonts w:ascii="Palatino Linotype" w:eastAsia="Arial Unicode MS" w:hAnsi="Palatino Linotype" w:cs="Arial"/>
          <w:spacing w:val="4"/>
          <w:sz w:val="16"/>
          <w:szCs w:val="16"/>
        </w:rPr>
        <w:t>de</w:t>
      </w:r>
      <w:r w:rsidRPr="00465A0D">
        <w:rPr>
          <w:rStyle w:val="apple-converted-space"/>
          <w:rFonts w:ascii="Palatino Linotype" w:eastAsia="Arial Unicode MS" w:hAnsi="Palatino Linotype" w:cs="Arial"/>
          <w:spacing w:val="4"/>
          <w:sz w:val="16"/>
          <w:szCs w:val="16"/>
        </w:rPr>
        <w:t> </w:t>
      </w:r>
      <w:r w:rsidRPr="00465A0D">
        <w:rPr>
          <w:rFonts w:ascii="Palatino Linotype" w:eastAsia="Arial Unicode MS" w:hAnsi="Palatino Linotype" w:cs="Arial"/>
          <w:spacing w:val="4"/>
          <w:sz w:val="16"/>
          <w:szCs w:val="16"/>
        </w:rPr>
        <w:t>aplicación.</w:t>
      </w:r>
      <w:r w:rsidRPr="00465A0D">
        <w:rPr>
          <w:rStyle w:val="apple-converted-space"/>
          <w:rFonts w:ascii="Palatino Linotype" w:eastAsia="Arial Unicode MS" w:hAnsi="Palatino Linotype" w:cs="Arial"/>
          <w:spacing w:val="4"/>
          <w:sz w:val="16"/>
          <w:szCs w:val="16"/>
        </w:rPr>
        <w:t> </w:t>
      </w:r>
      <w:r w:rsidRPr="00465A0D">
        <w:rPr>
          <w:rFonts w:ascii="Palatino Linotype" w:eastAsia="Arial Unicode MS" w:hAnsi="Palatino Linotype" w:cs="Arial"/>
          <w:spacing w:val="4"/>
          <w:sz w:val="16"/>
          <w:szCs w:val="16"/>
        </w:rPr>
        <w:t>U.</w:t>
      </w:r>
      <w:r w:rsidR="00465A0D">
        <w:rPr>
          <w:rFonts w:ascii="Palatino Linotype" w:eastAsia="Arial Unicode MS" w:hAnsi="Palatino Linotype" w:cs="Arial"/>
          <w:spacing w:val="4"/>
          <w:sz w:val="16"/>
          <w:szCs w:val="16"/>
        </w:rPr>
        <w:t xml:space="preserve"> t. c. s.” consultado el 22 de marzo </w:t>
      </w:r>
      <w:r w:rsidRPr="00465A0D">
        <w:rPr>
          <w:rFonts w:ascii="Palatino Linotype" w:eastAsia="Arial Unicode MS" w:hAnsi="Palatino Linotype" w:cs="Arial"/>
          <w:spacing w:val="4"/>
          <w:sz w:val="16"/>
          <w:szCs w:val="16"/>
        </w:rPr>
        <w:t>de 20</w:t>
      </w:r>
      <w:r w:rsidR="00465A0D">
        <w:rPr>
          <w:rFonts w:ascii="Palatino Linotype" w:eastAsia="Arial Unicode MS" w:hAnsi="Palatino Linotype" w:cs="Arial"/>
          <w:spacing w:val="4"/>
          <w:sz w:val="16"/>
          <w:szCs w:val="16"/>
        </w:rPr>
        <w:t>22</w:t>
      </w:r>
      <w:r w:rsidRPr="00465A0D">
        <w:rPr>
          <w:rFonts w:ascii="Palatino Linotype" w:eastAsia="Arial Unicode MS" w:hAnsi="Palatino Linotype" w:cs="Arial"/>
          <w:spacing w:val="4"/>
          <w:sz w:val="16"/>
          <w:szCs w:val="16"/>
        </w:rPr>
        <w:t xml:space="preserve"> en </w:t>
      </w:r>
      <w:hyperlink r:id="rId2" w:history="1">
        <w:r w:rsidR="00465A0D" w:rsidRPr="005E4700">
          <w:rPr>
            <w:rStyle w:val="Hipervnculo"/>
            <w:sz w:val="16"/>
            <w:szCs w:val="16"/>
          </w:rPr>
          <w:t>https://dle.rae.es/negligente</w:t>
        </w:r>
      </w:hyperlink>
      <w:r w:rsidR="00465A0D">
        <w:rPr>
          <w:sz w:val="16"/>
          <w:szCs w:val="16"/>
        </w:rPr>
        <w:t>.</w:t>
      </w:r>
    </w:p>
    <w:p w14:paraId="2C2CA8F1" w14:textId="77777777" w:rsidR="00465A0D" w:rsidRPr="00465A0D" w:rsidRDefault="00465A0D" w:rsidP="00465A0D">
      <w:pPr>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1A3C5F">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1A3C5F"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1A3C5F">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4"/>
  </w:num>
  <w:num w:numId="3">
    <w:abstractNumId w:val="4"/>
  </w:num>
  <w:num w:numId="4">
    <w:abstractNumId w:val="6"/>
  </w:num>
  <w:num w:numId="5">
    <w:abstractNumId w:val="10"/>
  </w:num>
  <w:num w:numId="6">
    <w:abstractNumId w:val="9"/>
  </w:num>
  <w:num w:numId="7">
    <w:abstractNumId w:val="7"/>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1112E6"/>
    <w:rsid w:val="0018216B"/>
    <w:rsid w:val="001A3C5F"/>
    <w:rsid w:val="001B3D11"/>
    <w:rsid w:val="001C7B07"/>
    <w:rsid w:val="00216C06"/>
    <w:rsid w:val="00284217"/>
    <w:rsid w:val="00294490"/>
    <w:rsid w:val="002D5B21"/>
    <w:rsid w:val="00312863"/>
    <w:rsid w:val="003D1F47"/>
    <w:rsid w:val="00430304"/>
    <w:rsid w:val="00465A0D"/>
    <w:rsid w:val="00480EFD"/>
    <w:rsid w:val="004D0A26"/>
    <w:rsid w:val="004E305D"/>
    <w:rsid w:val="004E7984"/>
    <w:rsid w:val="00502EE6"/>
    <w:rsid w:val="0050559A"/>
    <w:rsid w:val="00513782"/>
    <w:rsid w:val="00524594"/>
    <w:rsid w:val="00557273"/>
    <w:rsid w:val="00575235"/>
    <w:rsid w:val="005C481C"/>
    <w:rsid w:val="005D1946"/>
    <w:rsid w:val="005F3A48"/>
    <w:rsid w:val="00634485"/>
    <w:rsid w:val="0067340C"/>
    <w:rsid w:val="006B2674"/>
    <w:rsid w:val="006E6389"/>
    <w:rsid w:val="006F0A6E"/>
    <w:rsid w:val="006F30F8"/>
    <w:rsid w:val="0071093C"/>
    <w:rsid w:val="0071135E"/>
    <w:rsid w:val="00736C06"/>
    <w:rsid w:val="007477C0"/>
    <w:rsid w:val="00760037"/>
    <w:rsid w:val="007617C8"/>
    <w:rsid w:val="00762C20"/>
    <w:rsid w:val="007A1C9F"/>
    <w:rsid w:val="007B1CFA"/>
    <w:rsid w:val="007C766E"/>
    <w:rsid w:val="007D4251"/>
    <w:rsid w:val="007E70F8"/>
    <w:rsid w:val="00820022"/>
    <w:rsid w:val="00820034"/>
    <w:rsid w:val="00861A61"/>
    <w:rsid w:val="00890F2E"/>
    <w:rsid w:val="00892AFC"/>
    <w:rsid w:val="008D1526"/>
    <w:rsid w:val="008F4AE6"/>
    <w:rsid w:val="008F67BC"/>
    <w:rsid w:val="00961995"/>
    <w:rsid w:val="00975EB9"/>
    <w:rsid w:val="009E155A"/>
    <w:rsid w:val="009F0D8D"/>
    <w:rsid w:val="00A16950"/>
    <w:rsid w:val="00A32E34"/>
    <w:rsid w:val="00A53363"/>
    <w:rsid w:val="00A610D3"/>
    <w:rsid w:val="00A74BB7"/>
    <w:rsid w:val="00A81140"/>
    <w:rsid w:val="00AC0680"/>
    <w:rsid w:val="00AE7763"/>
    <w:rsid w:val="00B014D8"/>
    <w:rsid w:val="00B53290"/>
    <w:rsid w:val="00BB11DB"/>
    <w:rsid w:val="00BD7483"/>
    <w:rsid w:val="00BF6974"/>
    <w:rsid w:val="00C27236"/>
    <w:rsid w:val="00C65950"/>
    <w:rsid w:val="00C80F8C"/>
    <w:rsid w:val="00C85F1D"/>
    <w:rsid w:val="00C8760D"/>
    <w:rsid w:val="00CC3DE8"/>
    <w:rsid w:val="00CF3F65"/>
    <w:rsid w:val="00D20156"/>
    <w:rsid w:val="00D36ABC"/>
    <w:rsid w:val="00DD5CD5"/>
    <w:rsid w:val="00DE1629"/>
    <w:rsid w:val="00DE5C27"/>
    <w:rsid w:val="00F614DA"/>
    <w:rsid w:val="00F717F4"/>
    <w:rsid w:val="00F9546D"/>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character" w:customStyle="1" w:styleId="apple-converted-space">
    <w:name w:val="apple-converted-space"/>
    <w:basedOn w:val="Fuentedeprrafopredeter"/>
    <w:rsid w:val="008F4AE6"/>
  </w:style>
  <w:style w:type="character" w:customStyle="1" w:styleId="nacep">
    <w:name w:val="n_acep"/>
    <w:basedOn w:val="Fuentedeprrafopredeter"/>
    <w:rsid w:val="008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481578290">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18116830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31600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81765090">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96259501">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dle.rae.es/negligente" TargetMode="External"/><Relationship Id="rId1" Type="http://schemas.openxmlformats.org/officeDocument/2006/relationships/hyperlink" Target="http://dle.rae.es/?id=Cmc6fM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5B7C3-5115-42E1-BA5E-641FBEBD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1889</Words>
  <Characters>10395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INFORMATICA</cp:lastModifiedBy>
  <cp:revision>3</cp:revision>
  <cp:lastPrinted>2022-02-15T19:21:00Z</cp:lastPrinted>
  <dcterms:created xsi:type="dcterms:W3CDTF">2022-03-22T21:32:00Z</dcterms:created>
  <dcterms:modified xsi:type="dcterms:W3CDTF">2022-03-22T23:25:00Z</dcterms:modified>
</cp:coreProperties>
</file>