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F8B" w:rsidRPr="00715F8B" w:rsidRDefault="00715F8B" w:rsidP="00715F8B">
      <w:pPr>
        <w:spacing w:after="0" w:line="360" w:lineRule="auto"/>
        <w:jc w:val="both"/>
        <w:rPr>
          <w:rFonts w:ascii="Palatino Linotype" w:hAnsi="Palatino Linotype" w:cs="Tahoma"/>
          <w:b/>
        </w:rPr>
      </w:pPr>
      <w:r w:rsidRPr="00715F8B">
        <w:rPr>
          <w:rFonts w:ascii="Palatino Linotype" w:hAnsi="Palatino Linotype" w:cs="Tahoma"/>
          <w:b/>
        </w:rPr>
        <w:t>VOTO PARTICULAR QUE FORMULA DE LA COMISIONADA MARÍA DEL ROSARIO MEJÍA AYALA, CON RELACIÓN A LA RESOLUCIÓN EMITIDA POR EL PLENO DEL INSTITUTO DE TRANSPARENCIA, ACCESO A LA INFORMACIÓN PÚBLICA Y PROTECCIÓN DE DATOS PERSONALES DEL ESTADO DE MÉXICO Y MUNICIPIOS AL RECURSO DE REVISIÓN 00710/INFOEM/IP/RR/2022, Y ACUMULADOS, PROMOVIDO EN CONTRA DEL AYUNTAMIENTO DE CHICOLOAPAN.</w:t>
      </w:r>
    </w:p>
    <w:p w:rsidR="00715F8B" w:rsidRPr="00715F8B" w:rsidRDefault="00715F8B" w:rsidP="00715F8B">
      <w:pPr>
        <w:spacing w:after="0" w:line="360" w:lineRule="auto"/>
        <w:jc w:val="both"/>
        <w:rPr>
          <w:rFonts w:ascii="Palatino Linotype" w:hAnsi="Palatino Linotype" w:cs="Tahoma"/>
          <w:b/>
        </w:rPr>
      </w:pPr>
    </w:p>
    <w:p w:rsidR="00715F8B" w:rsidRPr="00715F8B" w:rsidRDefault="00715F8B" w:rsidP="00715F8B">
      <w:pPr>
        <w:spacing w:after="0" w:line="360" w:lineRule="auto"/>
        <w:jc w:val="both"/>
        <w:rPr>
          <w:rFonts w:ascii="Palatino Linotype" w:hAnsi="Palatino Linotype" w:cs="Tahoma"/>
          <w:b/>
        </w:rPr>
      </w:pPr>
      <w:r w:rsidRPr="00715F8B">
        <w:rPr>
          <w:rFonts w:ascii="Palatino Linotype" w:hAnsi="Palatino Linotype" w:cs="Tahoma"/>
          <w:b/>
        </w:rPr>
        <w:t>A.</w:t>
      </w:r>
      <w:r w:rsidRPr="00715F8B">
        <w:rPr>
          <w:rFonts w:ascii="Palatino Linotype" w:hAnsi="Palatino Linotype" w:cs="Tahoma"/>
          <w:b/>
        </w:rPr>
        <w:tab/>
        <w:t>Consideraciones Generales.</w:t>
      </w:r>
    </w:p>
    <w:p w:rsidR="00715F8B" w:rsidRPr="004656EB" w:rsidRDefault="00715F8B" w:rsidP="00715F8B">
      <w:pPr>
        <w:spacing w:after="0" w:line="360" w:lineRule="auto"/>
        <w:jc w:val="both"/>
        <w:rPr>
          <w:rFonts w:ascii="Palatino Linotype" w:eastAsia="Calibri" w:hAnsi="Palatino Linotype" w:cs="Tahoma"/>
          <w:bCs/>
        </w:rPr>
      </w:pPr>
    </w:p>
    <w:p w:rsidR="00715F8B" w:rsidRPr="004656EB" w:rsidRDefault="00715F8B" w:rsidP="00715F8B">
      <w:pPr>
        <w:spacing w:after="0" w:line="360" w:lineRule="auto"/>
        <w:jc w:val="both"/>
        <w:rPr>
          <w:rFonts w:ascii="Palatino Linotype" w:eastAsia="Calibri" w:hAnsi="Palatino Linotype" w:cs="Tahoma"/>
          <w:bCs/>
        </w:rPr>
      </w:pPr>
      <w:r w:rsidRPr="004656EB">
        <w:rPr>
          <w:rFonts w:ascii="Palatino Linotype" w:eastAsia="Calibri" w:hAnsi="Palatino Linotype" w:cs="Tahoma"/>
          <w:bCs/>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 por no compartir en su totalidad las </w:t>
      </w:r>
      <w:r w:rsidRPr="004656EB">
        <w:rPr>
          <w:rFonts w:ascii="Palatino Linotype" w:eastAsia="Calibri" w:hAnsi="Palatino Linotype" w:cs="Tahoma"/>
          <w:b/>
          <w:bCs/>
        </w:rPr>
        <w:t xml:space="preserve">consideraciones que sustentan la Resolución del Recurso de Revisión </w:t>
      </w:r>
      <w:bookmarkStart w:id="0" w:name="_GoBack"/>
      <w:r w:rsidRPr="004656EB">
        <w:rPr>
          <w:rFonts w:ascii="Palatino Linotype" w:eastAsia="Calibri" w:hAnsi="Palatino Linotype" w:cs="Tahoma"/>
          <w:b/>
          <w:bCs/>
        </w:rPr>
        <w:t>00710/INFOEM/IP/RR/2022,</w:t>
      </w:r>
      <w:r w:rsidRPr="004656EB">
        <w:rPr>
          <w:rFonts w:ascii="Palatino Linotype" w:eastAsia="Calibri" w:hAnsi="Palatino Linotype" w:cs="Tahoma"/>
          <w:bCs/>
        </w:rPr>
        <w:t xml:space="preserve"> </w:t>
      </w:r>
      <w:bookmarkEnd w:id="0"/>
      <w:r w:rsidRPr="004656EB">
        <w:rPr>
          <w:rFonts w:ascii="Palatino Linotype" w:eastAsia="Calibri" w:hAnsi="Palatino Linotype" w:cs="Tahoma"/>
          <w:bCs/>
        </w:rPr>
        <w:t>promovido en contra del Ayuntamiento de Chicoloapan.</w:t>
      </w:r>
    </w:p>
    <w:p w:rsidR="00715F8B" w:rsidRPr="004656EB" w:rsidRDefault="00715F8B" w:rsidP="00715F8B">
      <w:pPr>
        <w:spacing w:after="0" w:line="360" w:lineRule="auto"/>
        <w:jc w:val="both"/>
        <w:rPr>
          <w:rFonts w:ascii="Palatino Linotype" w:eastAsia="Calibri" w:hAnsi="Palatino Linotype" w:cs="Tahoma"/>
          <w:bCs/>
        </w:rPr>
      </w:pPr>
    </w:p>
    <w:p w:rsidR="00715F8B" w:rsidRPr="004656EB" w:rsidRDefault="00715F8B" w:rsidP="00715F8B">
      <w:pPr>
        <w:spacing w:after="0" w:line="360" w:lineRule="auto"/>
        <w:jc w:val="both"/>
        <w:rPr>
          <w:rFonts w:ascii="Palatino Linotype" w:eastAsia="Calibri" w:hAnsi="Palatino Linotype" w:cs="Tahoma"/>
          <w:bCs/>
        </w:rPr>
      </w:pPr>
      <w:r w:rsidRPr="004656EB">
        <w:rPr>
          <w:rFonts w:ascii="Palatino Linotype" w:eastAsia="Calibri" w:hAnsi="Palatino Linotype" w:cs="Tahoma"/>
          <w:bCs/>
        </w:rPr>
        <w:t xml:space="preserve">En la Resolución se determinó </w:t>
      </w:r>
      <w:r w:rsidRPr="004656EB">
        <w:rPr>
          <w:rFonts w:ascii="Palatino Linotype" w:eastAsia="Calibri" w:hAnsi="Palatino Linotype" w:cs="Tahoma"/>
          <w:b/>
          <w:bCs/>
        </w:rPr>
        <w:t>MODIFICAR</w:t>
      </w:r>
      <w:r w:rsidRPr="004656EB">
        <w:rPr>
          <w:rFonts w:ascii="Palatino Linotype" w:eastAsia="Calibri" w:hAnsi="Palatino Linotype" w:cs="Tahoma"/>
          <w:bCs/>
        </w:rPr>
        <w:t xml:space="preserve"> las respuestas entregadas por El Sujeto Obligado a las solicitudes de información y </w:t>
      </w:r>
      <w:r w:rsidRPr="004656EB">
        <w:rPr>
          <w:rFonts w:ascii="Palatino Linotype" w:eastAsia="Calibri" w:hAnsi="Palatino Linotype" w:cs="Tahoma"/>
          <w:b/>
          <w:bCs/>
        </w:rPr>
        <w:t>ORDENAR</w:t>
      </w:r>
      <w:r w:rsidRPr="004656EB">
        <w:rPr>
          <w:rFonts w:ascii="Palatino Linotype" w:eastAsia="Calibri" w:hAnsi="Palatino Linotype" w:cs="Tahoma"/>
          <w:bCs/>
        </w:rPr>
        <w:t xml:space="preserve"> que haga entrega al Recurrente, previa búsqueda exhaustiva y razonable, en términos del considerando QUINTO de esta resolución, en versión pública de ser procedente en copia certificada (con costo) el expediente que contiene los documentos mediante los cuales fue asignada la clave catastral y compruebe el traslado de dominio respecto de las construcciones señaladas en los números 1, 2 y 3 de predio referido en las solicitudes de información 00049/CHICOLOA/IP/2022, 00047/CHICOLOA/IP/2022</w:t>
      </w:r>
      <w:r w:rsidR="00B775D8" w:rsidRPr="004656EB">
        <w:rPr>
          <w:rFonts w:ascii="Palatino Linotype" w:eastAsia="Calibri" w:hAnsi="Palatino Linotype" w:cs="Tahoma"/>
          <w:bCs/>
        </w:rPr>
        <w:t xml:space="preserve"> para lo </w:t>
      </w:r>
      <w:r w:rsidR="00B775D8" w:rsidRPr="004656EB">
        <w:rPr>
          <w:rFonts w:ascii="Palatino Linotype" w:eastAsia="Calibri" w:hAnsi="Palatino Linotype" w:cs="Tahoma"/>
          <w:bCs/>
        </w:rPr>
        <w:lastRenderedPageBreak/>
        <w:t>cual  deberá informar al Recurrente, a través del Sistema de Acceso a la Información Mexiquense SAIMEX, el procedimiento para indicar el lugar, día y horario, así como nombre del servidor público que le hará entrega de la misma.</w:t>
      </w:r>
    </w:p>
    <w:p w:rsidR="00715F8B" w:rsidRPr="004656EB" w:rsidRDefault="00715F8B" w:rsidP="00715F8B">
      <w:pPr>
        <w:spacing w:after="0" w:line="360" w:lineRule="auto"/>
        <w:jc w:val="both"/>
        <w:rPr>
          <w:rFonts w:ascii="Palatino Linotype" w:eastAsia="Calibri" w:hAnsi="Palatino Linotype" w:cs="Tahoma"/>
          <w:bCs/>
        </w:rPr>
      </w:pPr>
    </w:p>
    <w:p w:rsidR="00B775D8" w:rsidRPr="004656EB" w:rsidRDefault="00B775D8" w:rsidP="00B775D8">
      <w:pPr>
        <w:spacing w:line="360" w:lineRule="auto"/>
        <w:jc w:val="both"/>
        <w:rPr>
          <w:rFonts w:ascii="Palatino Linotype" w:eastAsia="Calibri" w:hAnsi="Palatino Linotype" w:cs="Tahoma"/>
          <w:bCs/>
        </w:rPr>
      </w:pPr>
      <w:r w:rsidRPr="004656EB">
        <w:rPr>
          <w:rFonts w:ascii="Palatino Linotype" w:eastAsia="Calibri" w:hAnsi="Palatino Linotype" w:cs="Tahoma"/>
          <w:bCs/>
        </w:rPr>
        <w:t>Al respecto, se indica que el artículo 6° de la Constitución Política de los Estados Unidos Mexicanos protege el derecho de acceso a la información bajo ciertos principios, entre los que se encuentra el que refiere que toda persona, sin necesidad de acreditar interés alguno o justificar su utilización, tendrá acceso gratuito a la información pública, a sus datos  personales o a la rectificación de éstos.</w:t>
      </w:r>
    </w:p>
    <w:p w:rsidR="00B775D8" w:rsidRPr="004656EB" w:rsidRDefault="00B775D8" w:rsidP="00B775D8">
      <w:pPr>
        <w:pStyle w:val="Textoindependiente"/>
        <w:spacing w:before="13"/>
        <w:rPr>
          <w:rFonts w:eastAsia="Calibri" w:cs="Tahoma"/>
          <w:bCs/>
          <w:sz w:val="22"/>
          <w:szCs w:val="22"/>
          <w:lang w:val="es-MX"/>
        </w:rPr>
      </w:pPr>
    </w:p>
    <w:p w:rsidR="00B775D8" w:rsidRPr="004656EB" w:rsidRDefault="00B775D8" w:rsidP="0041486C">
      <w:pPr>
        <w:spacing w:line="360" w:lineRule="auto"/>
        <w:ind w:right="49"/>
        <w:jc w:val="both"/>
        <w:rPr>
          <w:rFonts w:ascii="Palatino Linotype" w:eastAsia="Calibri" w:hAnsi="Palatino Linotype" w:cs="Tahoma"/>
          <w:bCs/>
        </w:rPr>
      </w:pPr>
      <w:r w:rsidRPr="004656EB">
        <w:rPr>
          <w:rFonts w:ascii="Palatino Linotype" w:eastAsia="Calibri" w:hAnsi="Palatino Linotype" w:cs="Tahoma"/>
          <w:bCs/>
        </w:rPr>
        <w:t>Asimismo, el artículo 17 de la Ley General de Transparencia y Acceso a la Información Pública, precisa que el ejercicio de acceso a la información será</w:t>
      </w:r>
      <w:r w:rsidR="00F16D7B" w:rsidRPr="004656EB">
        <w:rPr>
          <w:rFonts w:ascii="Palatino Linotype" w:eastAsia="Calibri" w:hAnsi="Palatino Linotype" w:cs="Tahoma"/>
          <w:bCs/>
        </w:rPr>
        <w:t xml:space="preserve"> </w:t>
      </w:r>
      <w:r w:rsidRPr="004656EB">
        <w:rPr>
          <w:rFonts w:ascii="Palatino Linotype" w:eastAsia="Calibri" w:hAnsi="Palatino Linotype" w:cs="Tahoma"/>
          <w:bCs/>
        </w:rPr>
        <w:t xml:space="preserve"> gratuito y solamente podrá requerirse un cobro, dependiendo la modalidad y entrega de la misma. De manera coincidente lo precisa el artículo 17 de la Ley de Transparencia y Acceso a la Información Pública del Estado y Municipios, al señalar que únicamente se cubrirán los gastos de reproducción.</w:t>
      </w:r>
    </w:p>
    <w:p w:rsidR="0041486C" w:rsidRPr="004656EB" w:rsidRDefault="0041486C" w:rsidP="0041486C">
      <w:pPr>
        <w:spacing w:line="360" w:lineRule="auto"/>
        <w:ind w:right="49"/>
        <w:jc w:val="both"/>
        <w:rPr>
          <w:rFonts w:ascii="Palatino Linotype" w:eastAsia="Calibri" w:hAnsi="Palatino Linotype" w:cs="Tahoma"/>
          <w:bCs/>
        </w:rPr>
      </w:pPr>
    </w:p>
    <w:p w:rsidR="00636B80" w:rsidRPr="004656EB" w:rsidRDefault="00636B80" w:rsidP="0041486C">
      <w:pPr>
        <w:pStyle w:val="Textoindependiente"/>
        <w:spacing w:before="163" w:line="360" w:lineRule="auto"/>
        <w:ind w:right="49"/>
        <w:jc w:val="both"/>
        <w:rPr>
          <w:rFonts w:eastAsia="Calibri" w:cs="Tahoma"/>
          <w:bCs/>
          <w:sz w:val="22"/>
          <w:szCs w:val="22"/>
          <w:lang w:val="es-MX"/>
        </w:rPr>
      </w:pPr>
      <w:r w:rsidRPr="004656EB">
        <w:rPr>
          <w:rFonts w:eastAsia="Calibri" w:cs="Tahoma"/>
          <w:bCs/>
          <w:sz w:val="22"/>
          <w:szCs w:val="22"/>
          <w:lang w:val="es-MX"/>
        </w:rPr>
        <w:t>Por otra parte</w:t>
      </w:r>
      <w:r w:rsidR="00B775D8" w:rsidRPr="004656EB">
        <w:rPr>
          <w:rFonts w:eastAsia="Calibri" w:cs="Tahoma"/>
          <w:bCs/>
          <w:sz w:val="22"/>
          <w:szCs w:val="22"/>
          <w:lang w:val="es-MX"/>
        </w:rPr>
        <w:t>, el artículo 9°, fracción III, de la Ley en cita, prevé que el Principio de Gratuidad consiste en que el acceso a la información pública no generará costo alguno para los solicitantes y sólo podrá requerirse el correspondiente a la modalidad de reproducción y entrega solicitada; lo anterior debe interpretarse que el sentido de la norma es eliminar cualquier barrera u obstáculo que imposibilite el</w:t>
      </w:r>
      <w:r w:rsidR="0041486C" w:rsidRPr="004656EB">
        <w:rPr>
          <w:rFonts w:eastAsia="Calibri" w:cs="Tahoma"/>
          <w:bCs/>
          <w:sz w:val="22"/>
          <w:szCs w:val="22"/>
          <w:lang w:val="es-MX"/>
        </w:rPr>
        <w:t xml:space="preserve"> </w:t>
      </w:r>
      <w:r w:rsidR="00B775D8" w:rsidRPr="004656EB">
        <w:rPr>
          <w:rFonts w:eastAsia="Calibri" w:cs="Tahoma"/>
          <w:bCs/>
          <w:sz w:val="22"/>
          <w:szCs w:val="22"/>
          <w:lang w:val="es-MX"/>
        </w:rPr>
        <w:t xml:space="preserve">derecho de acceso a la información o que este se garantice de manera discriminada; esto es, sólo para aquellos que tengan los medios económicos para cubrir el costo de la reproducción de información, lo que materializaría el </w:t>
      </w:r>
      <w:r w:rsidR="00B775D8" w:rsidRPr="004656EB">
        <w:rPr>
          <w:rFonts w:eastAsia="Calibri" w:cs="Tahoma"/>
          <w:bCs/>
          <w:sz w:val="22"/>
          <w:szCs w:val="22"/>
          <w:lang w:val="es-MX"/>
        </w:rPr>
        <w:lastRenderedPageBreak/>
        <w:t>impedimento de acceso a la información</w:t>
      </w:r>
      <w:r w:rsidRPr="004656EB">
        <w:rPr>
          <w:rFonts w:eastAsia="Calibri" w:cs="Tahoma"/>
          <w:bCs/>
          <w:sz w:val="22"/>
          <w:szCs w:val="22"/>
          <w:lang w:val="es-MX"/>
        </w:rPr>
        <w:t>.</w:t>
      </w:r>
    </w:p>
    <w:p w:rsidR="00636B80" w:rsidRPr="004656EB" w:rsidRDefault="00636B80" w:rsidP="0041486C">
      <w:pPr>
        <w:pStyle w:val="Textoindependiente"/>
        <w:spacing w:before="163" w:line="360" w:lineRule="auto"/>
        <w:ind w:right="49"/>
        <w:jc w:val="both"/>
        <w:rPr>
          <w:rFonts w:eastAsia="Calibri" w:cs="Tahoma"/>
          <w:bCs/>
          <w:sz w:val="22"/>
          <w:szCs w:val="22"/>
          <w:lang w:val="es-MX"/>
        </w:rPr>
      </w:pPr>
    </w:p>
    <w:p w:rsidR="00B775D8" w:rsidRPr="004656EB" w:rsidRDefault="00B775D8" w:rsidP="0041486C">
      <w:pPr>
        <w:pStyle w:val="Textoindependiente"/>
        <w:spacing w:before="163" w:line="360" w:lineRule="auto"/>
        <w:ind w:right="49"/>
        <w:jc w:val="both"/>
        <w:rPr>
          <w:rFonts w:eastAsia="Calibri" w:cs="Tahoma"/>
          <w:bCs/>
          <w:sz w:val="22"/>
          <w:szCs w:val="22"/>
          <w:lang w:val="es-MX"/>
        </w:rPr>
      </w:pPr>
      <w:r w:rsidRPr="004656EB">
        <w:rPr>
          <w:rFonts w:eastAsia="Calibri" w:cs="Tahoma"/>
          <w:bCs/>
          <w:sz w:val="22"/>
          <w:szCs w:val="22"/>
          <w:lang w:val="es-MX"/>
        </w:rPr>
        <w:t xml:space="preserve"> En ese orden de ideas, el artículo 174 de la Ley de la materia, establece que en los casos de existir costos para obtener la información, deberán cubrirse de manera previa y nunca deberán ser superiores a la suma de los costos de los materiales utilizados, envió y certificación, en su caso. Conforme a la normatividad señalada, se advierte que el derecho de acceso a la información, debe realizarse bajo el principio de gratuidad y que sólo procederá el cobro, cuando implique la utilización de materiales para reproducción, envió y certificación, tal como podría ser una copia simple o certificada, pues en dichas modalidades se requiere de materia prima (papel y tinta), así como diversos utensilios para realizar la certificación de la información, lo cual, indudablemente implica un costo adicional.</w:t>
      </w:r>
    </w:p>
    <w:p w:rsidR="00B775D8" w:rsidRPr="004656EB" w:rsidRDefault="00B775D8" w:rsidP="00B775D8">
      <w:pPr>
        <w:pStyle w:val="Textoindependiente"/>
        <w:rPr>
          <w:rFonts w:eastAsia="Calibri" w:cs="Tahoma"/>
          <w:bCs/>
          <w:sz w:val="22"/>
          <w:szCs w:val="22"/>
          <w:lang w:val="es-MX"/>
        </w:rPr>
      </w:pPr>
    </w:p>
    <w:p w:rsidR="00B775D8" w:rsidRPr="004656EB" w:rsidRDefault="00B775D8" w:rsidP="0041486C">
      <w:pPr>
        <w:pStyle w:val="Textoindependiente"/>
        <w:spacing w:before="162" w:line="360" w:lineRule="auto"/>
        <w:ind w:right="49"/>
        <w:jc w:val="both"/>
        <w:rPr>
          <w:rFonts w:eastAsia="Calibri" w:cs="Tahoma"/>
          <w:bCs/>
          <w:sz w:val="22"/>
          <w:szCs w:val="22"/>
          <w:lang w:val="es-MX"/>
        </w:rPr>
      </w:pPr>
      <w:r w:rsidRPr="004656EB">
        <w:rPr>
          <w:rFonts w:eastAsia="Calibri" w:cs="Tahoma"/>
          <w:bCs/>
          <w:sz w:val="22"/>
          <w:szCs w:val="22"/>
          <w:lang w:val="es-MX"/>
        </w:rPr>
        <w:t>Diversos tratadistas se han referido al principio de gratuidad en función de que el derecho de acceso a la información es un derecho fundamental.</w:t>
      </w:r>
    </w:p>
    <w:p w:rsidR="00B775D8" w:rsidRPr="004656EB" w:rsidRDefault="00B775D8" w:rsidP="0041486C">
      <w:pPr>
        <w:pStyle w:val="Textoindependiente"/>
        <w:spacing w:before="9"/>
        <w:ind w:right="49"/>
        <w:rPr>
          <w:rFonts w:eastAsia="Calibri" w:cs="Tahoma"/>
          <w:bCs/>
          <w:sz w:val="22"/>
          <w:szCs w:val="22"/>
          <w:lang w:val="es-MX"/>
        </w:rPr>
      </w:pPr>
    </w:p>
    <w:p w:rsidR="00B775D8" w:rsidRPr="004656EB" w:rsidRDefault="00B775D8" w:rsidP="0041486C">
      <w:pPr>
        <w:pStyle w:val="Textoindependiente"/>
        <w:spacing w:line="360" w:lineRule="auto"/>
        <w:ind w:right="49"/>
        <w:jc w:val="both"/>
        <w:rPr>
          <w:rFonts w:eastAsia="Calibri" w:cs="Tahoma"/>
          <w:bCs/>
          <w:sz w:val="22"/>
          <w:szCs w:val="22"/>
          <w:lang w:val="es-MX"/>
        </w:rPr>
      </w:pPr>
      <w:r w:rsidRPr="004656EB">
        <w:rPr>
          <w:rFonts w:eastAsia="Calibri" w:cs="Tahoma"/>
          <w:bCs/>
          <w:sz w:val="22"/>
          <w:szCs w:val="22"/>
          <w:lang w:val="es-MX"/>
        </w:rPr>
        <w:t>Para Miguel Carbonell el cobro de alguna cantidad de dinero al solicitante se debe hacer solamente en el caso de que la reproducción de la información solicitada así lo amerite. Dicho costo de reproducción deberá ajustarse a lo que cueste precisamente dicha reproducción, sin que pueda exceder del costo de los materiales en los que</w:t>
      </w:r>
      <w:r w:rsidR="0041486C" w:rsidRPr="004656EB">
        <w:rPr>
          <w:rFonts w:eastAsia="Calibri" w:cs="Tahoma"/>
          <w:bCs/>
          <w:sz w:val="22"/>
          <w:szCs w:val="22"/>
          <w:lang w:val="es-MX"/>
        </w:rPr>
        <w:t xml:space="preserve"> </w:t>
      </w:r>
      <w:r w:rsidRPr="004656EB">
        <w:rPr>
          <w:rFonts w:eastAsia="Calibri" w:cs="Tahoma"/>
          <w:bCs/>
          <w:sz w:val="22"/>
          <w:szCs w:val="22"/>
          <w:lang w:val="es-MX"/>
        </w:rPr>
        <w:t>asiente la información. En el caso de las copias certificadas, habría que entender que la certificación no podría generar costos adicionales, ya que entonces se podría inhibir indebidamente el ejercicio amplio y completo del derecho de acceso a la información.</w:t>
      </w:r>
      <w:r w:rsidR="0041486C" w:rsidRPr="004656EB">
        <w:rPr>
          <w:rFonts w:eastAsia="Calibri" w:cs="Tahoma"/>
          <w:bCs/>
          <w:sz w:val="22"/>
        </w:rPr>
        <w:footnoteReference w:id="1"/>
      </w:r>
    </w:p>
    <w:p w:rsidR="00B775D8" w:rsidRPr="004656EB" w:rsidRDefault="00B775D8" w:rsidP="00B775D8">
      <w:pPr>
        <w:pStyle w:val="Textoindependiente"/>
        <w:rPr>
          <w:rFonts w:eastAsia="Calibri" w:cs="Tahoma"/>
          <w:bCs/>
          <w:sz w:val="22"/>
          <w:szCs w:val="22"/>
          <w:lang w:val="es-MX"/>
        </w:rPr>
      </w:pPr>
    </w:p>
    <w:p w:rsidR="00B775D8" w:rsidRPr="004656EB" w:rsidRDefault="00B775D8" w:rsidP="0041486C">
      <w:pPr>
        <w:pStyle w:val="Textoindependiente"/>
        <w:spacing w:before="163" w:line="360" w:lineRule="auto"/>
        <w:ind w:right="49"/>
        <w:jc w:val="both"/>
        <w:rPr>
          <w:rFonts w:eastAsia="Calibri" w:cs="Tahoma"/>
          <w:bCs/>
          <w:sz w:val="22"/>
          <w:szCs w:val="22"/>
          <w:lang w:val="es-MX"/>
        </w:rPr>
      </w:pPr>
      <w:r w:rsidRPr="004656EB">
        <w:rPr>
          <w:rFonts w:eastAsia="Calibri" w:cs="Tahoma"/>
          <w:bCs/>
          <w:sz w:val="22"/>
          <w:szCs w:val="22"/>
          <w:lang w:val="es-MX"/>
        </w:rPr>
        <w:t>De esa suerte, los costos que establezcan las leyes de ingresos por concepto de cualquier formato para acceder a la información pública deben ser asequibles y homogéneos, de manera que no se obstaculice ese derecho constitucional.</w:t>
      </w:r>
    </w:p>
    <w:p w:rsidR="00B775D8" w:rsidRPr="004656EB" w:rsidRDefault="00B775D8" w:rsidP="0041486C">
      <w:pPr>
        <w:pStyle w:val="Textoindependiente"/>
        <w:spacing w:before="12"/>
        <w:ind w:right="49"/>
        <w:rPr>
          <w:rFonts w:eastAsia="Calibri" w:cs="Tahoma"/>
          <w:bCs/>
          <w:sz w:val="22"/>
          <w:szCs w:val="22"/>
          <w:lang w:val="es-MX"/>
        </w:rPr>
      </w:pPr>
    </w:p>
    <w:p w:rsidR="00B775D8" w:rsidRPr="004656EB" w:rsidRDefault="00B775D8" w:rsidP="0041486C">
      <w:pPr>
        <w:pStyle w:val="Textoindependiente"/>
        <w:spacing w:line="360" w:lineRule="auto"/>
        <w:ind w:right="49"/>
        <w:jc w:val="both"/>
        <w:rPr>
          <w:rFonts w:eastAsia="Calibri" w:cs="Tahoma"/>
          <w:bCs/>
          <w:sz w:val="22"/>
          <w:szCs w:val="22"/>
          <w:lang w:val="es-MX"/>
        </w:rPr>
      </w:pPr>
      <w:r w:rsidRPr="004656EB">
        <w:rPr>
          <w:rFonts w:eastAsia="Calibri" w:cs="Tahoma"/>
          <w:bCs/>
          <w:sz w:val="22"/>
          <w:szCs w:val="22"/>
          <w:lang w:val="es-MX"/>
        </w:rPr>
        <w:t>En tanto que si sólo es debido cobrar el costo de reproducción, se entiende que el fin de éste no debe ser recaudatorio, sino el de sólo recuperar la erogación extra que tuvo que realizar el Estado a efecto de otorgar la información solicitada.</w:t>
      </w:r>
    </w:p>
    <w:p w:rsidR="00B775D8" w:rsidRPr="004656EB" w:rsidRDefault="00B775D8" w:rsidP="0041486C">
      <w:pPr>
        <w:spacing w:after="0" w:line="360" w:lineRule="auto"/>
        <w:ind w:right="49"/>
        <w:jc w:val="both"/>
        <w:rPr>
          <w:rFonts w:ascii="Palatino Linotype" w:eastAsia="Calibri" w:hAnsi="Palatino Linotype" w:cs="Tahoma"/>
          <w:bCs/>
        </w:rPr>
      </w:pPr>
    </w:p>
    <w:p w:rsidR="00B775D8" w:rsidRPr="004656EB" w:rsidRDefault="00B775D8" w:rsidP="0041486C">
      <w:pPr>
        <w:pStyle w:val="Textoindependiente"/>
        <w:spacing w:before="164" w:line="360" w:lineRule="auto"/>
        <w:ind w:right="49"/>
        <w:jc w:val="both"/>
        <w:rPr>
          <w:rFonts w:eastAsia="Calibri" w:cs="Tahoma"/>
          <w:bCs/>
          <w:sz w:val="22"/>
          <w:szCs w:val="22"/>
          <w:lang w:val="es-MX"/>
        </w:rPr>
      </w:pPr>
      <w:r w:rsidRPr="004656EB">
        <w:rPr>
          <w:rFonts w:eastAsia="Calibri" w:cs="Tahoma"/>
          <w:bCs/>
          <w:sz w:val="22"/>
          <w:szCs w:val="22"/>
          <w:lang w:val="es-MX"/>
        </w:rPr>
        <w:t>Los fines recaudatorios son una limitante de la garantía constitucional del derecho de acceso a la información y contravienen su naturaleza general.</w:t>
      </w:r>
    </w:p>
    <w:p w:rsidR="00B775D8" w:rsidRPr="004656EB" w:rsidRDefault="00B775D8" w:rsidP="0041486C">
      <w:pPr>
        <w:pStyle w:val="Textoindependiente"/>
        <w:ind w:right="49"/>
        <w:rPr>
          <w:rFonts w:eastAsia="Calibri" w:cs="Tahoma"/>
          <w:bCs/>
          <w:sz w:val="22"/>
          <w:szCs w:val="22"/>
          <w:lang w:val="es-MX"/>
        </w:rPr>
      </w:pPr>
    </w:p>
    <w:p w:rsidR="00F16D7B" w:rsidRPr="004656EB" w:rsidRDefault="00927D8F" w:rsidP="00F16D7B">
      <w:pPr>
        <w:spacing w:line="360" w:lineRule="auto"/>
        <w:jc w:val="both"/>
        <w:rPr>
          <w:rFonts w:ascii="Palatino Linotype" w:eastAsia="Calibri" w:hAnsi="Palatino Linotype" w:cs="Tahoma"/>
          <w:bCs/>
        </w:rPr>
      </w:pPr>
      <w:r w:rsidRPr="004656EB">
        <w:rPr>
          <w:rFonts w:ascii="Palatino Linotype" w:eastAsia="Calibri" w:hAnsi="Palatino Linotype" w:cs="Tahoma"/>
          <w:bCs/>
        </w:rPr>
        <w:t>E</w:t>
      </w:r>
      <w:r w:rsidR="00B775D8" w:rsidRPr="004656EB">
        <w:rPr>
          <w:rFonts w:ascii="Palatino Linotype" w:eastAsia="Calibri" w:hAnsi="Palatino Linotype" w:cs="Tahoma"/>
          <w:bCs/>
        </w:rPr>
        <w:t xml:space="preserve">n el caso que se resuelve, el Sujeto Obligado </w:t>
      </w:r>
      <w:r w:rsidRPr="004656EB">
        <w:rPr>
          <w:rFonts w:ascii="Palatino Linotype" w:eastAsia="Calibri" w:hAnsi="Palatino Linotype" w:cs="Tahoma"/>
          <w:bCs/>
        </w:rPr>
        <w:t xml:space="preserve">manifestó que, con fundamento en el Articulo 173 del Código Financiero del Estado de México y Municipios, no </w:t>
      </w:r>
      <w:r w:rsidRPr="004656EB">
        <w:rPr>
          <w:rFonts w:ascii="Palatino Linotype" w:eastAsia="Calibri" w:hAnsi="Palatino Linotype" w:cs="Tahoma"/>
          <w:bCs/>
        </w:rPr>
        <w:t>era p</w:t>
      </w:r>
      <w:r w:rsidRPr="004656EB">
        <w:rPr>
          <w:rFonts w:ascii="Palatino Linotype" w:eastAsia="Calibri" w:hAnsi="Palatino Linotype" w:cs="Tahoma"/>
          <w:bCs/>
        </w:rPr>
        <w:t>osible brindar los datos solicitados ya que no se enc</w:t>
      </w:r>
      <w:r w:rsidR="00F16D7B" w:rsidRPr="004656EB">
        <w:rPr>
          <w:rFonts w:ascii="Palatino Linotype" w:eastAsia="Calibri" w:hAnsi="Palatino Linotype" w:cs="Tahoma"/>
          <w:bCs/>
        </w:rPr>
        <w:t xml:space="preserve">ontraban </w:t>
      </w:r>
      <w:r w:rsidRPr="004656EB">
        <w:rPr>
          <w:rFonts w:ascii="Palatino Linotype" w:eastAsia="Calibri" w:hAnsi="Palatino Linotype" w:cs="Tahoma"/>
          <w:bCs/>
        </w:rPr>
        <w:t>registrados bajo el padrón catastral</w:t>
      </w:r>
      <w:r w:rsidRPr="004656EB">
        <w:rPr>
          <w:rFonts w:ascii="Palatino Linotype" w:eastAsia="Calibri" w:hAnsi="Palatino Linotype" w:cs="Tahoma"/>
          <w:bCs/>
        </w:rPr>
        <w:t xml:space="preserve">, sin embargo no se cumplió con lo que para tal efecto, dispone el artículo 162 de la Ley de Transparencia y Acceso a la Información Pública del Estado de México y Municipios, en virtud de que no se realizó el turno a las áreas competentes que cuenten con la información o deban tenerla de acuerdo a sus facultades, competencias y funciones, conforme a lo siguiente, por ende, al contrario de lo manifestado por  </w:t>
      </w:r>
      <w:r w:rsidRPr="004656EB">
        <w:rPr>
          <w:rFonts w:ascii="Palatino Linotype" w:eastAsia="Calibri" w:hAnsi="Palatino Linotype" w:cs="Tahoma"/>
          <w:bCs/>
        </w:rPr>
        <w:t>el Sujeto Obligado</w:t>
      </w:r>
      <w:r w:rsidRPr="004656EB">
        <w:rPr>
          <w:rFonts w:ascii="Palatino Linotype" w:eastAsia="Calibri" w:hAnsi="Palatino Linotype" w:cs="Tahoma"/>
          <w:bCs/>
        </w:rPr>
        <w:t>, existe la posibilidad de que</w:t>
      </w:r>
      <w:r w:rsidRPr="004656EB">
        <w:rPr>
          <w:rFonts w:ascii="Palatino Linotype" w:eastAsia="Calibri" w:hAnsi="Palatino Linotype" w:cs="Tahoma"/>
          <w:bCs/>
        </w:rPr>
        <w:t xml:space="preserve"> cuente con los expedientes en los que se haya acreditado la propiedad con contrato privado, formados con motivo del trámite de solicitud de una nueva cuenta catastral del periodo que comprende del 01 de enero al 30 de </w:t>
      </w:r>
      <w:r w:rsidRPr="004656EB">
        <w:rPr>
          <w:rFonts w:ascii="Palatino Linotype" w:eastAsia="Calibri" w:hAnsi="Palatino Linotype" w:cs="Tahoma"/>
          <w:bCs/>
        </w:rPr>
        <w:lastRenderedPageBreak/>
        <w:t xml:space="preserve">noviembre de 2021, así como, del expediente que contiene los documentos mediante los cuales fue asignada la clave catastral y compruebe el traslado de dominio del predio referido en las solicitudes de información </w:t>
      </w:r>
      <w:r w:rsidRPr="004656EB">
        <w:rPr>
          <w:rFonts w:ascii="Palatino Linotype" w:eastAsia="Calibri" w:hAnsi="Palatino Linotype" w:cs="Tahoma"/>
          <w:bCs/>
        </w:rPr>
        <w:t>referidas</w:t>
      </w:r>
      <w:r w:rsidR="00F16D7B" w:rsidRPr="004656EB">
        <w:rPr>
          <w:rFonts w:ascii="Palatino Linotype" w:eastAsia="Calibri" w:hAnsi="Palatino Linotype" w:cs="Tahoma"/>
          <w:bCs/>
        </w:rPr>
        <w:t>.</w:t>
      </w:r>
    </w:p>
    <w:p w:rsidR="00F16D7B" w:rsidRPr="004656EB" w:rsidRDefault="00F16D7B" w:rsidP="00F16D7B">
      <w:pPr>
        <w:spacing w:line="360" w:lineRule="auto"/>
        <w:jc w:val="both"/>
        <w:rPr>
          <w:rFonts w:ascii="Palatino Linotype" w:eastAsia="Calibri" w:hAnsi="Palatino Linotype" w:cs="Tahoma"/>
          <w:bCs/>
        </w:rPr>
      </w:pPr>
    </w:p>
    <w:p w:rsidR="00B775D8" w:rsidRPr="004656EB" w:rsidRDefault="00B775D8" w:rsidP="00F16D7B">
      <w:pPr>
        <w:spacing w:line="360" w:lineRule="auto"/>
        <w:jc w:val="both"/>
        <w:rPr>
          <w:rFonts w:ascii="Palatino Linotype" w:eastAsia="Calibri" w:hAnsi="Palatino Linotype" w:cs="Tahoma"/>
          <w:bCs/>
        </w:rPr>
      </w:pPr>
      <w:r w:rsidRPr="004656EB">
        <w:rPr>
          <w:rFonts w:ascii="Palatino Linotype" w:eastAsia="Calibri" w:hAnsi="Palatino Linotype" w:cs="Tahoma"/>
          <w:bCs/>
        </w:rPr>
        <w:t>Ya que en el presente caso es evidente que el pago que se pretendiera aplicar para la expedición de la información requerida por RECURRENTE, no resulta aplicable toda vez que el legislador ha tenido el tino de establecer en la ley una medida de que puede contribuir a la reparación integral de la persona afectada y consiste en una dimensión colectiva de responsabilidad, complementaria de la antes descrita, y</w:t>
      </w:r>
      <w:r w:rsidR="0041486C" w:rsidRPr="004656EB">
        <w:rPr>
          <w:rFonts w:ascii="Palatino Linotype" w:eastAsia="Calibri" w:hAnsi="Palatino Linotype" w:cs="Tahoma"/>
          <w:bCs/>
        </w:rPr>
        <w:t xml:space="preserve"> </w:t>
      </w:r>
      <w:r w:rsidRPr="004656EB">
        <w:rPr>
          <w:rFonts w:ascii="Palatino Linotype" w:eastAsia="Calibri" w:hAnsi="Palatino Linotype" w:cs="Tahoma"/>
          <w:bCs/>
        </w:rPr>
        <w:t>que consiste en que el Sujeto Obligado entregue la información sin costo alguno para el solicitante cuando el Instituto determine que por negligencia no se hubiere atendido alguna solicitud en los términos de la ley.</w:t>
      </w:r>
    </w:p>
    <w:p w:rsidR="00B775D8" w:rsidRPr="004656EB" w:rsidRDefault="00B775D8" w:rsidP="00F16D7B">
      <w:pPr>
        <w:pStyle w:val="Textoindependiente"/>
        <w:rPr>
          <w:rFonts w:eastAsia="Calibri" w:cs="Tahoma"/>
          <w:bCs/>
          <w:sz w:val="22"/>
          <w:szCs w:val="22"/>
          <w:lang w:val="es-MX"/>
        </w:rPr>
      </w:pPr>
    </w:p>
    <w:p w:rsidR="00B775D8" w:rsidRPr="004656EB" w:rsidRDefault="00B775D8" w:rsidP="00F16D7B">
      <w:pPr>
        <w:pStyle w:val="Textoindependiente"/>
        <w:spacing w:before="163" w:line="360" w:lineRule="auto"/>
        <w:ind w:right="247"/>
        <w:jc w:val="both"/>
        <w:rPr>
          <w:rFonts w:eastAsia="Calibri" w:cs="Tahoma"/>
          <w:bCs/>
          <w:sz w:val="22"/>
          <w:szCs w:val="22"/>
          <w:lang w:val="es-MX"/>
        </w:rPr>
      </w:pPr>
      <w:r w:rsidRPr="004656EB">
        <w:rPr>
          <w:rFonts w:eastAsia="Calibri" w:cs="Tahoma"/>
          <w:bCs/>
          <w:sz w:val="22"/>
          <w:szCs w:val="22"/>
          <w:lang w:val="es-MX"/>
        </w:rPr>
        <w:t>Por lo que toda vez que se trata de una “máxima autoridad” de la que se espera el más alto estándar en la promoción y respeto de los derechos humanos y que el hoy recurrente, de manera clara, precisa, contundente e indubitable requirió información pública a la que pretende acceder en su modalidad de copia certificada ya que se aprecia que existe una actitud negligente</w:t>
      </w:r>
      <w:r w:rsidR="0041486C" w:rsidRPr="004656EB">
        <w:rPr>
          <w:rFonts w:eastAsia="Calibri" w:cs="Tahoma"/>
          <w:bCs/>
          <w:sz w:val="22"/>
          <w:szCs w:val="22"/>
          <w:lang w:val="es-MX"/>
        </w:rPr>
        <w:footnoteReference w:id="2"/>
      </w:r>
      <w:r w:rsidRPr="004656EB">
        <w:rPr>
          <w:rFonts w:eastAsia="Calibri" w:cs="Tahoma"/>
          <w:bCs/>
          <w:sz w:val="22"/>
          <w:szCs w:val="22"/>
          <w:lang w:val="es-MX"/>
        </w:rPr>
        <w:t xml:space="preserve"> que provocó que la solicitud no fuera atendida en los términos de la ley, </w:t>
      </w:r>
      <w:r w:rsidR="00927D8F" w:rsidRPr="004656EB">
        <w:rPr>
          <w:rFonts w:eastAsia="Calibri" w:cs="Tahoma"/>
          <w:bCs/>
          <w:sz w:val="22"/>
          <w:szCs w:val="22"/>
          <w:lang w:val="es-MX"/>
        </w:rPr>
        <w:t xml:space="preserve">ya que </w:t>
      </w:r>
      <w:r w:rsidR="00927D8F" w:rsidRPr="004656EB">
        <w:rPr>
          <w:rFonts w:eastAsia="Calibri" w:cs="Tahoma"/>
          <w:bCs/>
          <w:sz w:val="22"/>
          <w:szCs w:val="22"/>
          <w:lang w:val="es-MX"/>
        </w:rPr>
        <w:t>no se realizó el turno a las áreas competentes que cuenten con la información o deban tenerla de acuerdo a sus facultades, competencias y funciones</w:t>
      </w:r>
      <w:r w:rsidR="00927D8F" w:rsidRPr="004656EB">
        <w:rPr>
          <w:rFonts w:eastAsia="Calibri" w:cs="Tahoma"/>
          <w:bCs/>
          <w:sz w:val="22"/>
          <w:szCs w:val="22"/>
          <w:lang w:val="es-MX"/>
        </w:rPr>
        <w:t xml:space="preserve"> </w:t>
      </w:r>
      <w:r w:rsidRPr="004656EB">
        <w:rPr>
          <w:rFonts w:eastAsia="Calibri" w:cs="Tahoma"/>
          <w:bCs/>
          <w:sz w:val="22"/>
          <w:szCs w:val="22"/>
          <w:lang w:val="es-MX"/>
        </w:rPr>
        <w:t>por lo que procedería el acceso a las copias certificadas sin que medie el pago de los derechos correspondientes.</w:t>
      </w:r>
    </w:p>
    <w:p w:rsidR="00B775D8" w:rsidRPr="004656EB" w:rsidRDefault="00B775D8" w:rsidP="00F16D7B">
      <w:pPr>
        <w:pStyle w:val="Textoindependiente"/>
        <w:rPr>
          <w:rFonts w:eastAsia="Calibri" w:cs="Tahoma"/>
          <w:bCs/>
          <w:sz w:val="22"/>
          <w:szCs w:val="22"/>
          <w:lang w:val="es-MX"/>
        </w:rPr>
      </w:pPr>
    </w:p>
    <w:p w:rsidR="00B775D8" w:rsidRPr="004656EB" w:rsidRDefault="00B775D8" w:rsidP="00F16D7B">
      <w:pPr>
        <w:pStyle w:val="Textoindependiente"/>
        <w:spacing w:line="360" w:lineRule="auto"/>
        <w:ind w:right="246"/>
        <w:jc w:val="both"/>
        <w:rPr>
          <w:rFonts w:eastAsia="Calibri" w:cs="Tahoma"/>
          <w:bCs/>
          <w:sz w:val="22"/>
          <w:szCs w:val="22"/>
          <w:lang w:val="es-MX"/>
        </w:rPr>
      </w:pPr>
      <w:r w:rsidRPr="004656EB">
        <w:rPr>
          <w:rFonts w:eastAsia="Calibri" w:cs="Tahoma"/>
          <w:bCs/>
          <w:sz w:val="22"/>
          <w:szCs w:val="22"/>
          <w:lang w:val="es-MX"/>
        </w:rPr>
        <w:lastRenderedPageBreak/>
        <w:t>En ese mismo sentido, al perder el Sujeto Obligado la posibilidad momentánea de acceder a los derechos por la expedición de las copias certificadas, puede ser un incentivo adicional para que, en el futuro, las solicitudes de acceso a la información sean atendidas bajo el más alto estándar que promueva la plena protección del derecho en cuestión.</w:t>
      </w:r>
    </w:p>
    <w:p w:rsidR="00B775D8" w:rsidRPr="004656EB" w:rsidRDefault="00B775D8" w:rsidP="00F16D7B">
      <w:pPr>
        <w:pStyle w:val="Textoindependiente"/>
        <w:rPr>
          <w:rFonts w:eastAsia="Calibri" w:cs="Tahoma"/>
          <w:bCs/>
          <w:sz w:val="22"/>
          <w:szCs w:val="22"/>
          <w:lang w:val="es-MX"/>
        </w:rPr>
      </w:pPr>
    </w:p>
    <w:p w:rsidR="00927D8F" w:rsidRPr="004656EB" w:rsidRDefault="00B775D8" w:rsidP="00F16D7B">
      <w:pPr>
        <w:pStyle w:val="Textoindependiente"/>
        <w:spacing w:before="24" w:line="360" w:lineRule="auto"/>
        <w:ind w:right="195"/>
        <w:jc w:val="both"/>
        <w:rPr>
          <w:rFonts w:eastAsia="Calibri" w:cs="Tahoma"/>
          <w:bCs/>
          <w:sz w:val="22"/>
          <w:szCs w:val="22"/>
          <w:lang w:val="es-MX"/>
        </w:rPr>
      </w:pPr>
      <w:r w:rsidRPr="004656EB">
        <w:rPr>
          <w:rFonts w:eastAsia="Calibri" w:cs="Tahoma"/>
          <w:bCs/>
          <w:sz w:val="22"/>
          <w:szCs w:val="22"/>
          <w:lang w:val="es-MX"/>
        </w:rPr>
        <w:t xml:space="preserve">Así la cosas, -se insiste- que la respuesta del sujeto Obligado, violó el derecho de acceso a la información pública del RECURRENTE, al no proporcionarle las copias </w:t>
      </w:r>
      <w:r w:rsidR="00927D8F" w:rsidRPr="004656EB">
        <w:rPr>
          <w:rFonts w:eastAsia="Calibri" w:cs="Tahoma"/>
          <w:bCs/>
          <w:sz w:val="22"/>
          <w:szCs w:val="22"/>
          <w:lang w:val="es-MX"/>
        </w:rPr>
        <w:t>certificadas con costo de la información que requería, previo el pago de los derechos correspondientes, es procedente ordenarle la entrega de la información en la modalidad inicialmente requerida pero sin que medie el pago de los derechos toda vez que se acredita una actuación negligente de la autoridad por lo resulta aplicable el artículo 234 de la Ley de Transparencia y Acceso a la Información Pública del Estado de México y Municipios.</w:t>
      </w:r>
    </w:p>
    <w:p w:rsidR="004656EB" w:rsidRPr="00927D8F" w:rsidRDefault="004656EB" w:rsidP="00F16D7B">
      <w:pPr>
        <w:pStyle w:val="Textoindependiente"/>
        <w:spacing w:before="24" w:line="360" w:lineRule="auto"/>
        <w:ind w:right="195"/>
        <w:jc w:val="both"/>
        <w:rPr>
          <w:rFonts w:asciiTheme="minorHAnsi" w:eastAsiaTheme="minorHAnsi" w:hAnsiTheme="minorHAnsi" w:cstheme="minorBidi"/>
          <w:szCs w:val="22"/>
          <w:lang w:val="es-MX"/>
        </w:rPr>
      </w:pPr>
    </w:p>
    <w:p w:rsidR="004656EB" w:rsidRPr="00EC2AFD" w:rsidRDefault="004656EB" w:rsidP="004656EB">
      <w:pPr>
        <w:spacing w:after="0" w:line="360" w:lineRule="auto"/>
        <w:jc w:val="both"/>
        <w:rPr>
          <w:rFonts w:ascii="Palatino Linotype" w:hAnsi="Palatino Linotype" w:cs="Tahoma"/>
          <w:bCs/>
        </w:rPr>
      </w:pPr>
      <w:r>
        <w:rPr>
          <w:rFonts w:ascii="Palatino Linotype" w:hAnsi="Palatino Linotype" w:cs="Tahoma"/>
          <w:b/>
        </w:rPr>
        <w:t>En el mismo sentido, este órgano garante no debe pasar desapercibido lo que dispone el Órgano Garante Nacional mediante el criterio</w:t>
      </w:r>
      <w:r>
        <w:rPr>
          <w:rFonts w:ascii="Palatino Linotype" w:eastAsia="Calibri" w:hAnsi="Palatino Linotype" w:cs="Tahoma"/>
          <w:bCs/>
        </w:rPr>
        <w:t xml:space="preserve"> 2/18 cuyo rubro y texto refuerzan la gratuidad de la información en copias simples y certificadas, cuando menos de las primeras veinte hojas:</w:t>
      </w:r>
    </w:p>
    <w:p w:rsidR="004656EB" w:rsidRDefault="004656EB" w:rsidP="004656EB">
      <w:pPr>
        <w:pStyle w:val="Prrafodelista"/>
        <w:spacing w:line="360" w:lineRule="auto"/>
        <w:ind w:left="0" w:right="-93"/>
        <w:jc w:val="both"/>
        <w:rPr>
          <w:rFonts w:ascii="Palatino Linotype" w:hAnsi="Palatino Linotype" w:cs="Tahoma"/>
          <w:bCs/>
          <w:lang w:eastAsia="en-US"/>
        </w:rPr>
      </w:pPr>
    </w:p>
    <w:p w:rsidR="004656EB" w:rsidRPr="006F31F3" w:rsidRDefault="004656EB" w:rsidP="004656EB">
      <w:pPr>
        <w:pStyle w:val="Prrafodelista"/>
        <w:spacing w:line="360" w:lineRule="auto"/>
        <w:ind w:left="567" w:right="616"/>
        <w:jc w:val="both"/>
        <w:rPr>
          <w:rFonts w:ascii="Palatino Linotype" w:hAnsi="Palatino Linotype" w:cs="Tahoma"/>
          <w:bCs/>
          <w:i/>
          <w:iCs/>
          <w:sz w:val="22"/>
          <w:szCs w:val="22"/>
          <w:lang w:eastAsia="en-US"/>
        </w:rPr>
      </w:pPr>
      <w:r w:rsidRPr="006F31F3">
        <w:rPr>
          <w:rFonts w:ascii="Palatino Linotype" w:hAnsi="Palatino Linotype" w:cs="Tahoma"/>
          <w:b/>
          <w:i/>
          <w:iCs/>
          <w:sz w:val="22"/>
          <w:szCs w:val="22"/>
          <w:lang w:eastAsia="en-US"/>
        </w:rPr>
        <w:t>Gratuidad de las primeras veinte hojas simples o certificadas.</w:t>
      </w:r>
      <w:r w:rsidRPr="006F31F3">
        <w:rPr>
          <w:rFonts w:ascii="Palatino Linotype" w:hAnsi="Palatino Linotype" w:cs="Tahoma"/>
          <w:bCs/>
          <w:i/>
          <w:iCs/>
          <w:sz w:val="22"/>
          <w:szCs w:val="22"/>
          <w:lang w:eastAsia="en-US"/>
        </w:rPr>
        <w:t xml:space="preserve"> Cuando la entrega de los datos personales sea a través de copias simples o certificadas, las primeras veinte hojas serán sin costo.  </w:t>
      </w:r>
    </w:p>
    <w:p w:rsidR="004656EB" w:rsidRPr="006F31F3" w:rsidRDefault="004656EB" w:rsidP="004656EB">
      <w:pPr>
        <w:pStyle w:val="Prrafodelista"/>
        <w:spacing w:line="360" w:lineRule="auto"/>
        <w:ind w:left="567" w:right="616"/>
        <w:jc w:val="both"/>
        <w:rPr>
          <w:rFonts w:ascii="Palatino Linotype" w:hAnsi="Palatino Linotype" w:cs="Tahoma"/>
          <w:bCs/>
          <w:i/>
          <w:iCs/>
          <w:sz w:val="22"/>
          <w:szCs w:val="22"/>
          <w:lang w:eastAsia="en-US"/>
        </w:rPr>
      </w:pPr>
    </w:p>
    <w:p w:rsidR="004656EB" w:rsidRPr="006F31F3" w:rsidRDefault="004656EB" w:rsidP="004656EB">
      <w:pPr>
        <w:pStyle w:val="Prrafodelista"/>
        <w:spacing w:line="360" w:lineRule="auto"/>
        <w:ind w:left="851" w:right="616" w:hanging="284"/>
        <w:jc w:val="both"/>
        <w:rPr>
          <w:rFonts w:ascii="Palatino Linotype" w:hAnsi="Palatino Linotype" w:cs="Tahoma"/>
          <w:bCs/>
          <w:i/>
          <w:iCs/>
          <w:sz w:val="22"/>
          <w:szCs w:val="22"/>
          <w:lang w:eastAsia="en-US"/>
        </w:rPr>
      </w:pPr>
      <w:r w:rsidRPr="006F31F3">
        <w:rPr>
          <w:rFonts w:ascii="Palatino Linotype" w:hAnsi="Palatino Linotype" w:cs="Tahoma"/>
          <w:bCs/>
          <w:i/>
          <w:iCs/>
          <w:sz w:val="22"/>
          <w:szCs w:val="22"/>
          <w:lang w:eastAsia="en-US"/>
        </w:rPr>
        <w:t>Resoluciones:</w:t>
      </w:r>
    </w:p>
    <w:p w:rsidR="004656EB" w:rsidRPr="006F31F3" w:rsidRDefault="004656EB" w:rsidP="004656EB">
      <w:pPr>
        <w:pStyle w:val="Prrafodelista"/>
        <w:spacing w:line="360" w:lineRule="auto"/>
        <w:ind w:left="851" w:right="616" w:hanging="284"/>
        <w:jc w:val="both"/>
        <w:rPr>
          <w:rFonts w:ascii="Palatino Linotype" w:hAnsi="Palatino Linotype" w:cs="Tahoma"/>
          <w:bCs/>
          <w:i/>
          <w:iCs/>
          <w:sz w:val="22"/>
          <w:szCs w:val="22"/>
          <w:lang w:eastAsia="en-US"/>
        </w:rPr>
      </w:pPr>
      <w:r w:rsidRPr="006F31F3">
        <w:rPr>
          <w:rFonts w:ascii="Palatino Linotype" w:hAnsi="Palatino Linotype" w:cs="Tahoma"/>
          <w:bCs/>
          <w:i/>
          <w:iCs/>
          <w:sz w:val="22"/>
          <w:szCs w:val="22"/>
          <w:lang w:eastAsia="en-US"/>
        </w:rPr>
        <w:t>•</w:t>
      </w:r>
      <w:r w:rsidRPr="006F31F3">
        <w:rPr>
          <w:rFonts w:ascii="Palatino Linotype" w:hAnsi="Palatino Linotype" w:cs="Tahoma"/>
          <w:bCs/>
          <w:i/>
          <w:iCs/>
          <w:sz w:val="22"/>
          <w:szCs w:val="22"/>
          <w:lang w:eastAsia="en-US"/>
        </w:rPr>
        <w:tab/>
        <w:t>RRD 0198/17. Banco Nacional del Ejército, Fuerza Aérea y Armada, S.N.C. 24 de mayo de 2017. Por unanimidad. Comisionada Ponente Areli Cano Guadiana.</w:t>
      </w:r>
    </w:p>
    <w:p w:rsidR="004656EB" w:rsidRPr="006F31F3" w:rsidRDefault="004656EB" w:rsidP="004656EB">
      <w:pPr>
        <w:pStyle w:val="Prrafodelista"/>
        <w:spacing w:line="360" w:lineRule="auto"/>
        <w:ind w:left="851" w:right="616" w:hanging="284"/>
        <w:jc w:val="both"/>
        <w:rPr>
          <w:rFonts w:ascii="Palatino Linotype" w:hAnsi="Palatino Linotype" w:cs="Tahoma"/>
          <w:bCs/>
          <w:i/>
          <w:iCs/>
          <w:sz w:val="22"/>
          <w:szCs w:val="22"/>
          <w:lang w:eastAsia="en-US"/>
        </w:rPr>
      </w:pPr>
      <w:r w:rsidRPr="006F31F3">
        <w:rPr>
          <w:rFonts w:ascii="Palatino Linotype" w:hAnsi="Palatino Linotype" w:cs="Tahoma"/>
          <w:bCs/>
          <w:i/>
          <w:iCs/>
          <w:sz w:val="22"/>
          <w:szCs w:val="22"/>
          <w:lang w:eastAsia="en-US"/>
        </w:rPr>
        <w:lastRenderedPageBreak/>
        <w:t>•</w:t>
      </w:r>
      <w:r w:rsidRPr="006F31F3">
        <w:rPr>
          <w:rFonts w:ascii="Palatino Linotype" w:hAnsi="Palatino Linotype" w:cs="Tahoma"/>
          <w:bCs/>
          <w:i/>
          <w:iCs/>
          <w:sz w:val="22"/>
          <w:szCs w:val="22"/>
          <w:lang w:eastAsia="en-US"/>
        </w:rPr>
        <w:tab/>
        <w:t>RRD 0297/17. Policía Federal antes Policía Federal Preventiva. 21 de junio de 2017. Por unanimidad. Comisionado Ponente Oscar Mauricio Guerra Ford.</w:t>
      </w:r>
    </w:p>
    <w:p w:rsidR="004656EB" w:rsidRPr="006F31F3" w:rsidRDefault="004656EB" w:rsidP="004656EB">
      <w:pPr>
        <w:pStyle w:val="Prrafodelista"/>
        <w:spacing w:line="360" w:lineRule="auto"/>
        <w:ind w:left="851" w:right="616" w:hanging="284"/>
        <w:jc w:val="both"/>
        <w:rPr>
          <w:rFonts w:ascii="Palatino Linotype" w:hAnsi="Palatino Linotype" w:cs="Tahoma"/>
          <w:bCs/>
          <w:i/>
          <w:iCs/>
          <w:sz w:val="22"/>
          <w:szCs w:val="22"/>
          <w:lang w:eastAsia="en-US"/>
        </w:rPr>
      </w:pPr>
      <w:r w:rsidRPr="006F31F3">
        <w:rPr>
          <w:rFonts w:ascii="Palatino Linotype" w:hAnsi="Palatino Linotype" w:cs="Tahoma"/>
          <w:bCs/>
          <w:i/>
          <w:iCs/>
          <w:sz w:val="22"/>
          <w:szCs w:val="22"/>
          <w:lang w:eastAsia="en-US"/>
        </w:rPr>
        <w:t>•</w:t>
      </w:r>
      <w:r w:rsidRPr="006F31F3">
        <w:rPr>
          <w:rFonts w:ascii="Palatino Linotype" w:hAnsi="Palatino Linotype" w:cs="Tahoma"/>
          <w:bCs/>
          <w:i/>
          <w:iCs/>
          <w:sz w:val="22"/>
          <w:szCs w:val="22"/>
          <w:lang w:eastAsia="en-US"/>
        </w:rPr>
        <w:tab/>
        <w:t>RRD 0250/17. Secretaría de Relaciones Exteriores. 28 de junio de 2017. Por unanimidad. Comisionado Ponente Rosendoevgueni Monterrey Chepov.</w:t>
      </w:r>
    </w:p>
    <w:p w:rsidR="00B775D8" w:rsidRPr="0041486C" w:rsidRDefault="00B775D8" w:rsidP="00927D8F">
      <w:pPr>
        <w:pStyle w:val="Textoindependiente"/>
        <w:spacing w:before="24" w:line="360" w:lineRule="auto"/>
        <w:ind w:left="102" w:right="254"/>
        <w:jc w:val="both"/>
        <w:rPr>
          <w:rFonts w:asciiTheme="minorHAnsi" w:eastAsiaTheme="minorHAnsi" w:hAnsiTheme="minorHAnsi" w:cstheme="minorBidi"/>
          <w:szCs w:val="22"/>
          <w:lang w:val="es-MX"/>
        </w:rPr>
      </w:pPr>
    </w:p>
    <w:p w:rsidR="00B775D8" w:rsidRPr="0041486C" w:rsidRDefault="00B775D8" w:rsidP="00B775D8">
      <w:pPr>
        <w:pStyle w:val="Textoindependiente"/>
        <w:spacing w:before="164" w:line="360" w:lineRule="auto"/>
        <w:ind w:left="102" w:right="197"/>
        <w:jc w:val="both"/>
        <w:rPr>
          <w:rFonts w:asciiTheme="minorHAnsi" w:eastAsiaTheme="minorHAnsi" w:hAnsiTheme="minorHAnsi" w:cstheme="minorBidi"/>
          <w:szCs w:val="22"/>
          <w:lang w:val="es-MX"/>
        </w:rPr>
      </w:pPr>
      <w:r w:rsidRPr="0041486C">
        <w:rPr>
          <w:rFonts w:asciiTheme="minorHAnsi" w:eastAsiaTheme="minorHAnsi" w:hAnsiTheme="minorHAnsi" w:cstheme="minorBidi"/>
          <w:szCs w:val="22"/>
          <w:lang w:val="es-MX"/>
        </w:rPr>
        <w:t>No se omite manifestar que el ordenar la entrega de la información sin costo por reproducción en el caso de las solicitudes en copias certificadas no irroga afectación alguna al erario público, toda vez que el procedimiento de acceso a la información pública, es gratuito de conformidad a la ley; por lo que no debe tener propósitos recaudatorios, toda vez que la gratuidad de la información es uno de los principios rectores de la transparencia y el derecho a la información.</w:t>
      </w:r>
    </w:p>
    <w:p w:rsidR="00B775D8" w:rsidRPr="0041486C" w:rsidRDefault="00B775D8" w:rsidP="00B775D8">
      <w:pPr>
        <w:pStyle w:val="Textoindependiente"/>
        <w:spacing w:before="12"/>
        <w:rPr>
          <w:rFonts w:asciiTheme="minorHAnsi" w:eastAsiaTheme="minorHAnsi" w:hAnsiTheme="minorHAnsi" w:cstheme="minorBidi"/>
          <w:szCs w:val="22"/>
          <w:lang w:val="es-MX"/>
        </w:rPr>
      </w:pPr>
    </w:p>
    <w:p w:rsidR="00B775D8" w:rsidRPr="0041486C" w:rsidRDefault="00B775D8" w:rsidP="00B775D8">
      <w:pPr>
        <w:pStyle w:val="Textoindependiente"/>
        <w:spacing w:line="360" w:lineRule="auto"/>
        <w:ind w:left="102" w:right="202"/>
        <w:jc w:val="both"/>
        <w:rPr>
          <w:rFonts w:asciiTheme="minorHAnsi" w:eastAsiaTheme="minorHAnsi" w:hAnsiTheme="minorHAnsi" w:cstheme="minorBidi"/>
          <w:szCs w:val="22"/>
          <w:lang w:val="es-MX"/>
        </w:rPr>
      </w:pPr>
      <w:r w:rsidRPr="0041486C">
        <w:rPr>
          <w:rFonts w:asciiTheme="minorHAnsi" w:eastAsiaTheme="minorHAnsi" w:hAnsiTheme="minorHAnsi" w:cstheme="minorBidi"/>
          <w:szCs w:val="22"/>
          <w:lang w:val="es-MX"/>
        </w:rPr>
        <w:t>Los fines recaudatorios son una limitante de la garantía constitucional del derecho de acceso a la información y contravienen su naturaleza general, ya que inhiben indebidamente el ejercicio amplio y completo del derecho de acceso a la información.</w:t>
      </w:r>
    </w:p>
    <w:p w:rsidR="00B775D8" w:rsidRPr="0041486C" w:rsidRDefault="00B775D8" w:rsidP="00B775D8">
      <w:pPr>
        <w:pStyle w:val="Textoindependiente"/>
        <w:rPr>
          <w:rFonts w:asciiTheme="minorHAnsi" w:eastAsiaTheme="minorHAnsi" w:hAnsiTheme="minorHAnsi" w:cstheme="minorBidi"/>
          <w:szCs w:val="22"/>
          <w:lang w:val="es-MX"/>
        </w:rPr>
      </w:pPr>
    </w:p>
    <w:p w:rsidR="00B775D8" w:rsidRPr="0041486C" w:rsidRDefault="00B775D8" w:rsidP="0041486C">
      <w:pPr>
        <w:pStyle w:val="Textoindependiente"/>
        <w:spacing w:before="163" w:line="360" w:lineRule="auto"/>
        <w:ind w:left="102" w:right="195"/>
        <w:jc w:val="both"/>
        <w:rPr>
          <w:rFonts w:asciiTheme="minorHAnsi" w:eastAsiaTheme="minorHAnsi" w:hAnsiTheme="minorHAnsi" w:cstheme="minorBidi"/>
          <w:szCs w:val="22"/>
          <w:lang w:val="es-MX"/>
        </w:rPr>
      </w:pPr>
      <w:r w:rsidRPr="0041486C">
        <w:rPr>
          <w:rFonts w:asciiTheme="minorHAnsi" w:eastAsiaTheme="minorHAnsi" w:hAnsiTheme="minorHAnsi" w:cstheme="minorBidi"/>
          <w:szCs w:val="22"/>
          <w:lang w:val="es-MX"/>
        </w:rPr>
        <w:t>En materia de costos según refiere el Código Financiero del Estado de México, en el artículo 148, se establecen los derechos por la expedición de documentos solicitados en el ejercicio del derecho a la información pública, no estableciéndose un máximo de hojas para determinar el no cobro, lo cual no abona al ejercicio del Control de</w:t>
      </w:r>
      <w:r w:rsidR="0041486C">
        <w:rPr>
          <w:rFonts w:asciiTheme="minorHAnsi" w:eastAsiaTheme="minorHAnsi" w:hAnsiTheme="minorHAnsi" w:cstheme="minorBidi"/>
          <w:szCs w:val="22"/>
          <w:lang w:val="es-MX"/>
        </w:rPr>
        <w:t xml:space="preserve"> </w:t>
      </w:r>
      <w:r w:rsidRPr="0041486C">
        <w:rPr>
          <w:rFonts w:asciiTheme="minorHAnsi" w:eastAsiaTheme="minorHAnsi" w:hAnsiTheme="minorHAnsi" w:cstheme="minorBidi"/>
          <w:szCs w:val="22"/>
          <w:lang w:val="es-MX"/>
        </w:rPr>
        <w:t>Convencionalidad; mismo que obliga a todas las autoridades, a determinar sobre aquello que más beneficie a la persona, garantizando en todo momento, sus derechos.</w:t>
      </w:r>
    </w:p>
    <w:p w:rsidR="00B775D8" w:rsidRPr="0041486C" w:rsidRDefault="00B775D8" w:rsidP="00B775D8">
      <w:pPr>
        <w:pStyle w:val="Textoindependiente"/>
        <w:rPr>
          <w:rFonts w:asciiTheme="minorHAnsi" w:eastAsiaTheme="minorHAnsi" w:hAnsiTheme="minorHAnsi" w:cstheme="minorBidi"/>
          <w:szCs w:val="22"/>
          <w:lang w:val="es-MX"/>
        </w:rPr>
      </w:pPr>
    </w:p>
    <w:p w:rsidR="00B775D8" w:rsidRPr="0041486C" w:rsidRDefault="00B775D8" w:rsidP="00B775D8">
      <w:pPr>
        <w:pStyle w:val="Textoindependiente"/>
        <w:spacing w:before="163" w:line="360" w:lineRule="auto"/>
        <w:ind w:left="102" w:right="199"/>
        <w:jc w:val="both"/>
        <w:rPr>
          <w:rFonts w:asciiTheme="minorHAnsi" w:eastAsiaTheme="minorHAnsi" w:hAnsiTheme="minorHAnsi" w:cstheme="minorBidi"/>
          <w:szCs w:val="22"/>
          <w:lang w:val="es-MX"/>
        </w:rPr>
      </w:pPr>
      <w:r w:rsidRPr="0041486C">
        <w:rPr>
          <w:rFonts w:asciiTheme="minorHAnsi" w:eastAsiaTheme="minorHAnsi" w:hAnsiTheme="minorHAnsi" w:cstheme="minorBidi"/>
          <w:szCs w:val="22"/>
          <w:lang w:val="es-MX"/>
        </w:rPr>
        <w:t xml:space="preserve">En este orden de ideas, la Suprema Corte de Justicia de la Nación también establece el </w:t>
      </w:r>
      <w:r w:rsidRPr="0041486C">
        <w:rPr>
          <w:rFonts w:asciiTheme="minorHAnsi" w:eastAsiaTheme="minorHAnsi" w:hAnsiTheme="minorHAnsi" w:cstheme="minorBidi"/>
          <w:szCs w:val="22"/>
          <w:lang w:val="es-MX"/>
        </w:rPr>
        <w:lastRenderedPageBreak/>
        <w:t>derecho de gratuidad, en materia de solicitud de copias para la defensa de una persona y su intención de acudir ante el sistema interamericano se encuentra protegido por un derecho fundamental, lo que nos establece que en el caso de que las copias simples excedan de 20 hojas, se deberá determinar la gratuidad dependiendo del caso particular y si se trata de una persona en situación de vulnerabilidad, sobre todo si se presenta una interseccionalidad y se encuentra presente una situación de pobreza .</w:t>
      </w:r>
    </w:p>
    <w:p w:rsidR="00B775D8" w:rsidRPr="0041486C" w:rsidRDefault="00B775D8" w:rsidP="00B775D8">
      <w:pPr>
        <w:pStyle w:val="Textoindependiente"/>
        <w:rPr>
          <w:rFonts w:asciiTheme="minorHAnsi" w:eastAsiaTheme="minorHAnsi" w:hAnsiTheme="minorHAnsi" w:cstheme="minorBidi"/>
          <w:szCs w:val="22"/>
          <w:lang w:val="es-MX"/>
        </w:rPr>
      </w:pPr>
    </w:p>
    <w:p w:rsidR="00B775D8" w:rsidRPr="0041486C" w:rsidRDefault="00B775D8" w:rsidP="0041486C">
      <w:pPr>
        <w:pStyle w:val="Textoindependiente"/>
        <w:spacing w:before="163" w:line="360" w:lineRule="auto"/>
        <w:ind w:left="102" w:right="196"/>
        <w:jc w:val="both"/>
        <w:rPr>
          <w:rFonts w:asciiTheme="minorHAnsi" w:eastAsiaTheme="minorHAnsi" w:hAnsiTheme="minorHAnsi" w:cstheme="minorBidi"/>
          <w:szCs w:val="22"/>
          <w:lang w:val="es-MX"/>
        </w:rPr>
      </w:pPr>
      <w:r w:rsidRPr="0041486C">
        <w:rPr>
          <w:rFonts w:asciiTheme="minorHAnsi" w:eastAsiaTheme="minorHAnsi" w:hAnsiTheme="minorHAnsi" w:cstheme="minorBidi"/>
          <w:szCs w:val="22"/>
          <w:lang w:val="es-MX"/>
        </w:rPr>
        <w:t>Por otro lado, la Relatoría Especial para la Libertad de Expresión de la Organización de Estados Americanos, en su Estudio Especial sobre el Derecho de Acceso a la Información, en materia de acceso a la información establece un punto esencial de este derecho que consiste en la no onerosidad del proceso de suministro de información. En realidad, este elemento es una garantía para el ejercicio de este derecho sobre los que se ensayaron distintos sistemas para asegurar que el costo de la solicitud y su suministro no sea excesivo y suponga un desincentivo para las personas. Reiterando más adelante en su Informe El Derecho de Acceso a la Información en el marco jurídico interamericano que las solicitudes de información al Estado, deben cumplir dentro de otras características la de ser “gratuita o de bajo</w:t>
      </w:r>
      <w:r w:rsidR="0041486C">
        <w:rPr>
          <w:rFonts w:asciiTheme="minorHAnsi" w:eastAsiaTheme="minorHAnsi" w:hAnsiTheme="minorHAnsi" w:cstheme="minorBidi"/>
          <w:szCs w:val="22"/>
          <w:lang w:val="es-MX"/>
        </w:rPr>
        <w:t xml:space="preserve"> </w:t>
      </w:r>
      <w:r w:rsidRPr="0041486C">
        <w:rPr>
          <w:rFonts w:asciiTheme="minorHAnsi" w:eastAsiaTheme="minorHAnsi" w:hAnsiTheme="minorHAnsi" w:cstheme="minorBidi"/>
          <w:szCs w:val="22"/>
          <w:lang w:val="es-MX"/>
        </w:rPr>
        <w:t>costo, de tal manera que no desaliente las solicitudes de información.” Lo mismo se recalca en el Caso Barreto Leiva vs. Venezuela, Sentencia de 17 de noviembre de 2009.</w:t>
      </w:r>
    </w:p>
    <w:p w:rsidR="00B775D8" w:rsidRPr="0041486C" w:rsidRDefault="00B775D8" w:rsidP="00B775D8">
      <w:pPr>
        <w:pStyle w:val="Textoindependiente"/>
        <w:spacing w:before="24" w:line="360" w:lineRule="auto"/>
        <w:ind w:left="102"/>
        <w:rPr>
          <w:rFonts w:asciiTheme="minorHAnsi" w:eastAsiaTheme="minorHAnsi" w:hAnsiTheme="minorHAnsi" w:cstheme="minorBidi"/>
          <w:szCs w:val="22"/>
          <w:lang w:val="es-MX"/>
        </w:rPr>
      </w:pPr>
    </w:p>
    <w:p w:rsidR="00B775D8" w:rsidRPr="0041486C" w:rsidRDefault="00B775D8" w:rsidP="00B775D8">
      <w:pPr>
        <w:pStyle w:val="Textoindependiente"/>
        <w:spacing w:before="24" w:line="360" w:lineRule="auto"/>
        <w:ind w:left="102"/>
        <w:rPr>
          <w:rFonts w:asciiTheme="minorHAnsi" w:eastAsiaTheme="minorHAnsi" w:hAnsiTheme="minorHAnsi" w:cstheme="minorBidi"/>
          <w:szCs w:val="22"/>
          <w:lang w:val="es-MX"/>
        </w:rPr>
      </w:pPr>
      <w:r w:rsidRPr="0041486C">
        <w:rPr>
          <w:rFonts w:asciiTheme="minorHAnsi" w:eastAsiaTheme="minorHAnsi" w:hAnsiTheme="minorHAnsi" w:cstheme="minorBidi"/>
          <w:szCs w:val="22"/>
          <w:lang w:val="es-MX"/>
        </w:rPr>
        <w:t>Lo anterior expone razones suficientes para la emisión y presentación del presente</w:t>
      </w:r>
      <w:r w:rsidR="0041486C">
        <w:rPr>
          <w:rFonts w:asciiTheme="minorHAnsi" w:eastAsiaTheme="minorHAnsi" w:hAnsiTheme="minorHAnsi" w:cstheme="minorBidi"/>
          <w:szCs w:val="22"/>
          <w:lang w:val="es-MX"/>
        </w:rPr>
        <w:t xml:space="preserve"> </w:t>
      </w:r>
      <w:r w:rsidRPr="0041486C">
        <w:rPr>
          <w:rFonts w:asciiTheme="minorHAnsi" w:eastAsiaTheme="minorHAnsi" w:hAnsiTheme="minorHAnsi" w:cstheme="minorBidi"/>
          <w:szCs w:val="22"/>
          <w:lang w:val="es-MX"/>
        </w:rPr>
        <w:t>Voto Particular.---------------------------------------------------------------------------------------------------------------------------------------------------------------------------------------------------------------------------------------------------------------------------------------------------------------------------</w:t>
      </w:r>
      <w:r w:rsidRPr="0041486C">
        <w:rPr>
          <w:rFonts w:asciiTheme="minorHAnsi" w:eastAsiaTheme="minorHAnsi" w:hAnsiTheme="minorHAnsi" w:cstheme="minorBidi"/>
          <w:szCs w:val="22"/>
          <w:lang w:val="es-MX"/>
        </w:rPr>
        <w:tab/>
      </w:r>
    </w:p>
    <w:p w:rsidR="00B775D8" w:rsidRPr="0041486C" w:rsidRDefault="00B775D8" w:rsidP="00B775D8">
      <w:pPr>
        <w:spacing w:after="0" w:line="360" w:lineRule="auto"/>
        <w:jc w:val="both"/>
        <w:rPr>
          <w:sz w:val="24"/>
        </w:rPr>
      </w:pPr>
    </w:p>
    <w:p w:rsidR="00B775D8" w:rsidRPr="0041486C" w:rsidRDefault="00B775D8" w:rsidP="00B775D8">
      <w:pPr>
        <w:spacing w:after="0" w:line="360" w:lineRule="auto"/>
        <w:jc w:val="both"/>
        <w:rPr>
          <w:sz w:val="24"/>
        </w:rPr>
      </w:pPr>
    </w:p>
    <w:p w:rsidR="00B775D8" w:rsidRPr="0041486C" w:rsidRDefault="00B775D8" w:rsidP="00B775D8">
      <w:pPr>
        <w:spacing w:after="0" w:line="360" w:lineRule="auto"/>
        <w:jc w:val="both"/>
        <w:rPr>
          <w:sz w:val="24"/>
        </w:rPr>
      </w:pPr>
    </w:p>
    <w:p w:rsidR="00B775D8" w:rsidRPr="0041486C" w:rsidRDefault="00B775D8" w:rsidP="00812CB2">
      <w:pPr>
        <w:spacing w:after="0" w:line="360" w:lineRule="auto"/>
        <w:jc w:val="both"/>
        <w:rPr>
          <w:sz w:val="24"/>
        </w:rPr>
      </w:pPr>
    </w:p>
    <w:p w:rsidR="00BD3823" w:rsidRPr="0041486C" w:rsidRDefault="00BD3823" w:rsidP="00812CB2">
      <w:pPr>
        <w:rPr>
          <w:sz w:val="24"/>
        </w:rPr>
      </w:pPr>
    </w:p>
    <w:p w:rsidR="00F12682" w:rsidRPr="0041486C" w:rsidRDefault="00F12682" w:rsidP="00812CB2">
      <w:pPr>
        <w:rPr>
          <w:sz w:val="24"/>
        </w:rPr>
      </w:pPr>
    </w:p>
    <w:p w:rsidR="00F12682" w:rsidRPr="0041486C" w:rsidRDefault="00F12682" w:rsidP="00812CB2">
      <w:pPr>
        <w:rPr>
          <w:sz w:val="24"/>
        </w:rPr>
      </w:pPr>
    </w:p>
    <w:p w:rsidR="00F12682" w:rsidRPr="00C569A8" w:rsidRDefault="00F12682" w:rsidP="00812CB2"/>
    <w:p w:rsidR="00F12682" w:rsidRPr="00C569A8" w:rsidRDefault="00F12682" w:rsidP="00812CB2"/>
    <w:p w:rsidR="00F12682" w:rsidRPr="00C569A8" w:rsidRDefault="00F12682" w:rsidP="00812CB2"/>
    <w:p w:rsidR="00F12682" w:rsidRPr="00C569A8" w:rsidRDefault="00F12682" w:rsidP="00812CB2"/>
    <w:p w:rsidR="00F12682" w:rsidRPr="00C569A8" w:rsidRDefault="00F12682" w:rsidP="00812CB2"/>
    <w:p w:rsidR="00F12682" w:rsidRPr="00C569A8" w:rsidRDefault="00F12682" w:rsidP="00812CB2"/>
    <w:p w:rsidR="00F12682" w:rsidRPr="00C569A8" w:rsidRDefault="00F12682" w:rsidP="00812CB2"/>
    <w:p w:rsidR="00F12682" w:rsidRPr="00C569A8" w:rsidRDefault="00F12682" w:rsidP="00812CB2"/>
    <w:p w:rsidR="00F12682" w:rsidRPr="00C569A8" w:rsidRDefault="00F12682" w:rsidP="00812CB2"/>
    <w:p w:rsidR="00F12682" w:rsidRPr="00C569A8" w:rsidRDefault="00F12682" w:rsidP="00812CB2"/>
    <w:p w:rsidR="00F12682" w:rsidRPr="00C569A8" w:rsidRDefault="00F12682" w:rsidP="00812CB2"/>
    <w:p w:rsidR="00F12682" w:rsidRPr="00C569A8" w:rsidRDefault="00F12682" w:rsidP="00812CB2"/>
    <w:p w:rsidR="00F12682" w:rsidRPr="00C569A8" w:rsidRDefault="00F12682" w:rsidP="00812CB2"/>
    <w:p w:rsidR="00F12682" w:rsidRPr="00C569A8" w:rsidRDefault="00F12682" w:rsidP="00812CB2"/>
    <w:p w:rsidR="00F12682" w:rsidRPr="00C569A8" w:rsidRDefault="00F12682" w:rsidP="00812CB2"/>
    <w:p w:rsidR="00F12682" w:rsidRPr="00C569A8" w:rsidRDefault="00F12682" w:rsidP="00812CB2"/>
    <w:p w:rsidR="00F12682" w:rsidRPr="00C569A8" w:rsidRDefault="00F12682" w:rsidP="00812CB2"/>
    <w:p w:rsidR="00F12682" w:rsidRPr="00C569A8" w:rsidRDefault="00F12682" w:rsidP="00812CB2"/>
    <w:p w:rsidR="00F12682" w:rsidRPr="00C569A8" w:rsidRDefault="00F12682" w:rsidP="00812CB2"/>
    <w:p w:rsidR="00F12682" w:rsidRPr="00C569A8" w:rsidRDefault="00F12682" w:rsidP="00812CB2"/>
    <w:p w:rsidR="00F12682" w:rsidRPr="00C569A8" w:rsidRDefault="00F12682" w:rsidP="00812CB2"/>
    <w:p w:rsidR="00F12682" w:rsidRPr="00C569A8" w:rsidRDefault="00F12682" w:rsidP="00812CB2"/>
    <w:p w:rsidR="00F12682" w:rsidRPr="00C569A8" w:rsidRDefault="00F12682" w:rsidP="00812CB2"/>
    <w:p w:rsidR="00F12682" w:rsidRPr="00C569A8" w:rsidRDefault="00F12682" w:rsidP="00812CB2"/>
    <w:sectPr w:rsidR="00F12682" w:rsidRPr="00C569A8" w:rsidSect="001F7B38">
      <w:headerReference w:type="even" r:id="rId8"/>
      <w:headerReference w:type="default" r:id="rId9"/>
      <w:footerReference w:type="default" r:id="rId10"/>
      <w:pgSz w:w="12240" w:h="15840"/>
      <w:pgMar w:top="926" w:right="1418" w:bottom="1418" w:left="1701" w:header="709" w:footer="5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360" w:rsidRDefault="00217360" w:rsidP="00907451">
      <w:pPr>
        <w:spacing w:after="0" w:line="240" w:lineRule="auto"/>
      </w:pPr>
      <w:r>
        <w:separator/>
      </w:r>
    </w:p>
  </w:endnote>
  <w:endnote w:type="continuationSeparator" w:id="0">
    <w:p w:rsidR="00217360" w:rsidRDefault="00217360"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86C" w:rsidRPr="00986599" w:rsidRDefault="0041486C" w:rsidP="007F030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656EB">
      <w:rPr>
        <w:rFonts w:ascii="Arial" w:hAnsi="Arial" w:cs="Arial"/>
        <w:b/>
        <w:bCs/>
        <w:noProof/>
        <w:sz w:val="20"/>
        <w:szCs w:val="20"/>
      </w:rPr>
      <w:t>2</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656EB">
      <w:rPr>
        <w:rFonts w:ascii="Arial" w:hAnsi="Arial" w:cs="Arial"/>
        <w:b/>
        <w:bCs/>
        <w:noProof/>
        <w:sz w:val="20"/>
        <w:szCs w:val="20"/>
      </w:rPr>
      <w:t>10</w:t>
    </w:r>
    <w:r w:rsidRPr="00986599">
      <w:rPr>
        <w:rFonts w:ascii="Arial" w:hAnsi="Arial" w:cs="Arial"/>
        <w:b/>
        <w:bCs/>
        <w:sz w:val="20"/>
        <w:szCs w:val="20"/>
      </w:rPr>
      <w:fldChar w:fldCharType="end"/>
    </w:r>
  </w:p>
  <w:p w:rsidR="0041486C" w:rsidRDefault="0041486C" w:rsidP="007F0307">
    <w:pPr>
      <w:pStyle w:val="Piedepgina"/>
      <w:jc w:val="right"/>
    </w:pPr>
  </w:p>
  <w:p w:rsidR="0041486C" w:rsidRDefault="0041486C"/>
  <w:p w:rsidR="0041486C" w:rsidRDefault="0041486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360" w:rsidRDefault="00217360" w:rsidP="00907451">
      <w:pPr>
        <w:spacing w:after="0" w:line="240" w:lineRule="auto"/>
      </w:pPr>
      <w:r>
        <w:separator/>
      </w:r>
    </w:p>
  </w:footnote>
  <w:footnote w:type="continuationSeparator" w:id="0">
    <w:p w:rsidR="00217360" w:rsidRDefault="00217360" w:rsidP="00907451">
      <w:pPr>
        <w:spacing w:after="0" w:line="240" w:lineRule="auto"/>
      </w:pPr>
      <w:r>
        <w:continuationSeparator/>
      </w:r>
    </w:p>
  </w:footnote>
  <w:footnote w:id="1">
    <w:p w:rsidR="0041486C" w:rsidRPr="0041486C" w:rsidRDefault="0041486C" w:rsidP="0041486C">
      <w:pPr>
        <w:spacing w:after="0" w:line="240" w:lineRule="auto"/>
        <w:jc w:val="both"/>
        <w:rPr>
          <w:sz w:val="20"/>
          <w:szCs w:val="20"/>
        </w:rPr>
      </w:pPr>
      <w:r>
        <w:rPr>
          <w:rStyle w:val="Refdenotaalpie"/>
        </w:rPr>
        <w:footnoteRef/>
      </w:r>
      <w:r>
        <w:t xml:space="preserve"> </w:t>
      </w:r>
      <w:r w:rsidRPr="0041486C">
        <w:rPr>
          <w:sz w:val="20"/>
          <w:szCs w:val="20"/>
        </w:rPr>
        <w:t>Carbonell, Miguel y Bustillos, Roqueñi, (Coordinadores), Hacia una democracia de contenidos: La reforma constitucional en materia de transparencia, Universidad Nacional Autónoma de México, Instituto Federal de Acceso a la Información e Instituto de Acceso a la Información Pública del Distrito Federal, México, 2008, Páginas 11 y 12</w:t>
      </w:r>
    </w:p>
    <w:p w:rsidR="0041486C" w:rsidRDefault="0041486C">
      <w:pPr>
        <w:pStyle w:val="Textonotapie"/>
      </w:pPr>
    </w:p>
  </w:footnote>
  <w:footnote w:id="2">
    <w:p w:rsidR="0041486C" w:rsidRDefault="0041486C" w:rsidP="0041486C">
      <w:pPr>
        <w:pStyle w:val="Textonotapie"/>
        <w:jc w:val="both"/>
      </w:pPr>
      <w:r>
        <w:rPr>
          <w:rStyle w:val="Refdenotaalpie"/>
        </w:rPr>
        <w:footnoteRef/>
      </w:r>
      <w:r>
        <w:t xml:space="preserve"> </w:t>
      </w:r>
      <w:r w:rsidRPr="0041486C">
        <w:t>Entendiendo por negligente la más simple y llana definición contenida en el Diccionario de la Lengua Española: “Negligente. Del lat. neglĭgens, -entis, part. act. de negligĕre 'descuidar'. 1. adj. descuidado. U. t. c. s. 2. adj. Falto de aplicación. U. t. c. s.” consultado el 22 de marzo de 2022 en https://dle.rae.es/negligente.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86C" w:rsidRDefault="0041486C">
    <w:pPr>
      <w:pStyle w:val="Encabezado"/>
    </w:pPr>
    <w:r>
      <w:rPr>
        <w:noProof/>
        <w:lang w:val="es-MX" w:eastAsia="es-MX"/>
      </w:rPr>
      <mc:AlternateContent>
        <mc:Choice Requires="wps">
          <w:drawing>
            <wp:anchor distT="0" distB="0" distL="114300" distR="114300" simplePos="0" relativeHeight="251656704"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41486C" w:rsidRDefault="0041486C"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41486C" w:rsidRDefault="0041486C"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p w:rsidR="0041486C" w:rsidRDefault="0041486C"/>
  <w:p w:rsidR="0041486C" w:rsidRDefault="0041486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6521"/>
    </w:tblGrid>
    <w:tr w:rsidR="0041486C" w:rsidRPr="003E102C" w:rsidTr="00256959">
      <w:trPr>
        <w:trHeight w:val="1832"/>
      </w:trPr>
      <w:tc>
        <w:tcPr>
          <w:tcW w:w="2835" w:type="dxa"/>
          <w:vAlign w:val="bottom"/>
        </w:tcPr>
        <w:p w:rsidR="0041486C" w:rsidRDefault="0041486C" w:rsidP="00282741">
          <w:pPr>
            <w:pStyle w:val="Encabezado"/>
            <w:tabs>
              <w:tab w:val="center" w:pos="2614"/>
            </w:tabs>
            <w:ind w:left="-255"/>
          </w:pPr>
          <w:r>
            <w:rPr>
              <w:noProof/>
              <w:sz w:val="10"/>
              <w:szCs w:val="10"/>
              <w:lang w:val="es-MX" w:eastAsia="es-MX"/>
            </w:rPr>
            <w:drawing>
              <wp:inline distT="0" distB="0" distL="0" distR="0" wp14:anchorId="27E433E0" wp14:editId="78A6E70C">
                <wp:extent cx="1873633" cy="112654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41486C" w:rsidRDefault="0041486C" w:rsidP="00282741">
          <w:pPr>
            <w:pStyle w:val="Encabezado"/>
            <w:tabs>
              <w:tab w:val="center" w:pos="2614"/>
            </w:tabs>
          </w:pPr>
        </w:p>
      </w:tc>
      <w:tc>
        <w:tcPr>
          <w:tcW w:w="6521" w:type="dxa"/>
          <w:vAlign w:val="center"/>
        </w:tcPr>
        <w:p w:rsidR="0041486C" w:rsidRPr="003E102C" w:rsidRDefault="0041486C" w:rsidP="00282741">
          <w:pPr>
            <w:pStyle w:val="Encabezado"/>
            <w:ind w:left="-108" w:right="-250"/>
            <w:jc w:val="both"/>
            <w:rPr>
              <w:rFonts w:ascii="Palatino Linotype" w:hAnsi="Palatino Linotype" w:cs="Tahoma"/>
              <w:b/>
            </w:rPr>
          </w:pPr>
          <w:r>
            <w:rPr>
              <w:rFonts w:ascii="Palatino Linotype" w:hAnsi="Palatino Linotype" w:cs="Tahoma"/>
              <w:b/>
            </w:rPr>
            <w:t xml:space="preserve">Voto </w:t>
          </w:r>
          <w:r w:rsidRPr="003E102C">
            <w:rPr>
              <w:rFonts w:ascii="Palatino Linotype" w:hAnsi="Palatino Linotype" w:cs="Tahoma"/>
              <w:b/>
            </w:rPr>
            <w:t>Particular</w:t>
          </w:r>
        </w:p>
        <w:p w:rsidR="0041486C" w:rsidRDefault="0041486C" w:rsidP="00154BEE">
          <w:pPr>
            <w:pStyle w:val="Encabezado"/>
            <w:ind w:left="-108" w:right="-250"/>
            <w:jc w:val="both"/>
            <w:rPr>
              <w:rFonts w:ascii="Palatino Linotype" w:hAnsi="Palatino Linotype" w:cs="Tahoma"/>
              <w:b/>
            </w:rPr>
          </w:pPr>
          <w:r w:rsidRPr="003E102C">
            <w:rPr>
              <w:rFonts w:ascii="Palatino Linotype" w:hAnsi="Palatino Linotype" w:cs="Tahoma"/>
              <w:b/>
            </w:rPr>
            <w:t xml:space="preserve">Recurso de Revisión: </w:t>
          </w:r>
          <w:r w:rsidRPr="00715F8B">
            <w:rPr>
              <w:rFonts w:ascii="Palatino Linotype" w:hAnsi="Palatino Linotype" w:cs="Tahoma"/>
              <w:b/>
            </w:rPr>
            <w:t>00710/INFOEM/IP/RR/2022</w:t>
          </w:r>
          <w:r>
            <w:rPr>
              <w:rFonts w:ascii="Palatino Linotype" w:hAnsi="Palatino Linotype" w:cs="Tahoma"/>
              <w:b/>
            </w:rPr>
            <w:t xml:space="preserve"> y</w:t>
          </w:r>
          <w:r w:rsidRPr="00715F8B">
            <w:rPr>
              <w:rFonts w:ascii="Palatino Linotype" w:hAnsi="Palatino Linotype" w:cs="Tahoma"/>
              <w:b/>
            </w:rPr>
            <w:t xml:space="preserve"> Y acumulados</w:t>
          </w:r>
          <w:r>
            <w:rPr>
              <w:rFonts w:ascii="Palatino Linotype" w:hAnsi="Palatino Linotype" w:cs="Tahoma"/>
              <w:b/>
            </w:rPr>
            <w:t xml:space="preserve"> </w:t>
          </w:r>
        </w:p>
        <w:p w:rsidR="0041486C" w:rsidRDefault="0041486C" w:rsidP="00154BEE">
          <w:pPr>
            <w:pStyle w:val="Encabezado"/>
            <w:ind w:left="-108" w:right="-250"/>
            <w:jc w:val="both"/>
            <w:rPr>
              <w:rFonts w:ascii="Palatino Linotype" w:eastAsia="Palatino Linotype" w:hAnsi="Palatino Linotype" w:cs="Palatino Linotype"/>
            </w:rPr>
          </w:pPr>
          <w:r>
            <w:rPr>
              <w:rFonts w:ascii="Palatino Linotype" w:hAnsi="Palatino Linotype" w:cs="Tahoma"/>
              <w:b/>
            </w:rPr>
            <w:t>Sujeto Obligado:</w:t>
          </w:r>
          <w:r>
            <w:rPr>
              <w:rFonts w:ascii="Palatino Linotype" w:eastAsia="Palatino Linotype" w:hAnsi="Palatino Linotype" w:cs="Palatino Linotype"/>
              <w:b/>
            </w:rPr>
            <w:t xml:space="preserve"> </w:t>
          </w:r>
          <w:r w:rsidRPr="00B775D8">
            <w:rPr>
              <w:rFonts w:ascii="Palatino Linotype" w:eastAsia="Palatino Linotype" w:hAnsi="Palatino Linotype" w:cs="Palatino Linotype"/>
            </w:rPr>
            <w:t>Ayuntamiento de Chicoloapan.</w:t>
          </w:r>
        </w:p>
        <w:p w:rsidR="0041486C" w:rsidRPr="00EA5189" w:rsidRDefault="0041486C" w:rsidP="00B775D8">
          <w:pPr>
            <w:pStyle w:val="Encabezado"/>
            <w:ind w:left="-108" w:right="-250"/>
            <w:jc w:val="both"/>
            <w:rPr>
              <w:rFonts w:ascii="Palatino Linotype" w:hAnsi="Palatino Linotype" w:cs="Tahoma"/>
              <w:b/>
            </w:rPr>
          </w:pPr>
          <w:r>
            <w:rPr>
              <w:rFonts w:ascii="Palatino Linotype" w:hAnsi="Palatino Linotype" w:cs="Tahoma"/>
              <w:b/>
            </w:rPr>
            <w:t xml:space="preserve">Comisionada Ponente: </w:t>
          </w:r>
          <w:r>
            <w:rPr>
              <w:rFonts w:ascii="Palatino Linotype" w:eastAsia="Palatino Linotype" w:hAnsi="Palatino Linotype" w:cs="Palatino Linotype"/>
            </w:rPr>
            <w:t>José Martínez Vilchis</w:t>
          </w:r>
        </w:p>
      </w:tc>
    </w:tr>
  </w:tbl>
  <w:p w:rsidR="0041486C" w:rsidRDefault="0041486C" w:rsidP="001F7B38">
    <w:pPr>
      <w:pStyle w:val="Encabezado"/>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A924CB"/>
    <w:multiLevelType w:val="hybridMultilevel"/>
    <w:tmpl w:val="51605F6A"/>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nsid w:val="1FD4391F"/>
    <w:multiLevelType w:val="hybridMultilevel"/>
    <w:tmpl w:val="2090A8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0A91E3B"/>
    <w:multiLevelType w:val="hybridMultilevel"/>
    <w:tmpl w:val="87540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F4119CE"/>
    <w:multiLevelType w:val="hybridMultilevel"/>
    <w:tmpl w:val="24E0E880"/>
    <w:lvl w:ilvl="0" w:tplc="A1FCC5F6">
      <w:start w:val="1"/>
      <w:numFmt w:val="decimal"/>
      <w:lvlText w:val="%1."/>
      <w:lvlJc w:val="left"/>
      <w:pPr>
        <w:ind w:left="720" w:hanging="360"/>
      </w:pPr>
      <w:rPr>
        <w:rFonts w:eastAsia="Calibri"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ED8417C"/>
    <w:multiLevelType w:val="hybridMultilevel"/>
    <w:tmpl w:val="CB2CFD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0292F48"/>
    <w:multiLevelType w:val="hybridMultilevel"/>
    <w:tmpl w:val="12E641AE"/>
    <w:lvl w:ilvl="0" w:tplc="263AFFD0">
      <w:start w:val="1"/>
      <w:numFmt w:val="lowerLetter"/>
      <w:lvlText w:val="%1)"/>
      <w:lvlJc w:val="left"/>
      <w:pPr>
        <w:ind w:left="1431" w:hanging="360"/>
      </w:pPr>
      <w:rPr>
        <w:rFonts w:hint="default"/>
        <w:b/>
      </w:rPr>
    </w:lvl>
    <w:lvl w:ilvl="1" w:tplc="080A0019" w:tentative="1">
      <w:start w:val="1"/>
      <w:numFmt w:val="lowerLetter"/>
      <w:lvlText w:val="%2."/>
      <w:lvlJc w:val="left"/>
      <w:pPr>
        <w:ind w:left="2151" w:hanging="360"/>
      </w:pPr>
    </w:lvl>
    <w:lvl w:ilvl="2" w:tplc="080A001B" w:tentative="1">
      <w:start w:val="1"/>
      <w:numFmt w:val="lowerRoman"/>
      <w:lvlText w:val="%3."/>
      <w:lvlJc w:val="right"/>
      <w:pPr>
        <w:ind w:left="2871" w:hanging="180"/>
      </w:pPr>
    </w:lvl>
    <w:lvl w:ilvl="3" w:tplc="080A000F" w:tentative="1">
      <w:start w:val="1"/>
      <w:numFmt w:val="decimal"/>
      <w:lvlText w:val="%4."/>
      <w:lvlJc w:val="left"/>
      <w:pPr>
        <w:ind w:left="3591" w:hanging="360"/>
      </w:pPr>
    </w:lvl>
    <w:lvl w:ilvl="4" w:tplc="080A0019" w:tentative="1">
      <w:start w:val="1"/>
      <w:numFmt w:val="lowerLetter"/>
      <w:lvlText w:val="%5."/>
      <w:lvlJc w:val="left"/>
      <w:pPr>
        <w:ind w:left="4311" w:hanging="360"/>
      </w:pPr>
    </w:lvl>
    <w:lvl w:ilvl="5" w:tplc="080A001B" w:tentative="1">
      <w:start w:val="1"/>
      <w:numFmt w:val="lowerRoman"/>
      <w:lvlText w:val="%6."/>
      <w:lvlJc w:val="right"/>
      <w:pPr>
        <w:ind w:left="5031" w:hanging="180"/>
      </w:pPr>
    </w:lvl>
    <w:lvl w:ilvl="6" w:tplc="080A000F" w:tentative="1">
      <w:start w:val="1"/>
      <w:numFmt w:val="decimal"/>
      <w:lvlText w:val="%7."/>
      <w:lvlJc w:val="left"/>
      <w:pPr>
        <w:ind w:left="5751" w:hanging="360"/>
      </w:pPr>
    </w:lvl>
    <w:lvl w:ilvl="7" w:tplc="080A0019" w:tentative="1">
      <w:start w:val="1"/>
      <w:numFmt w:val="lowerLetter"/>
      <w:lvlText w:val="%8."/>
      <w:lvlJc w:val="left"/>
      <w:pPr>
        <w:ind w:left="6471" w:hanging="360"/>
      </w:pPr>
    </w:lvl>
    <w:lvl w:ilvl="8" w:tplc="080A001B" w:tentative="1">
      <w:start w:val="1"/>
      <w:numFmt w:val="lowerRoman"/>
      <w:lvlText w:val="%9."/>
      <w:lvlJc w:val="right"/>
      <w:pPr>
        <w:ind w:left="7191" w:hanging="180"/>
      </w:pPr>
    </w:lvl>
  </w:abstractNum>
  <w:abstractNum w:abstractNumId="7">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7166AC6"/>
    <w:multiLevelType w:val="hybridMultilevel"/>
    <w:tmpl w:val="057812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4"/>
  </w:num>
  <w:num w:numId="2">
    <w:abstractNumId w:val="6"/>
  </w:num>
  <w:num w:numId="3">
    <w:abstractNumId w:val="5"/>
  </w:num>
  <w:num w:numId="4">
    <w:abstractNumId w:val="9"/>
  </w:num>
  <w:num w:numId="5">
    <w:abstractNumId w:val="0"/>
  </w:num>
  <w:num w:numId="6">
    <w:abstractNumId w:val="2"/>
  </w:num>
  <w:num w:numId="7">
    <w:abstractNumId w:val="3"/>
  </w:num>
  <w:num w:numId="8">
    <w:abstractNumId w:val="8"/>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0F7F"/>
    <w:rsid w:val="000014FF"/>
    <w:rsid w:val="00003415"/>
    <w:rsid w:val="00003CE8"/>
    <w:rsid w:val="00012664"/>
    <w:rsid w:val="000128A8"/>
    <w:rsid w:val="00012E0B"/>
    <w:rsid w:val="00037BC1"/>
    <w:rsid w:val="000408A4"/>
    <w:rsid w:val="00042A3C"/>
    <w:rsid w:val="00043C5D"/>
    <w:rsid w:val="00051C17"/>
    <w:rsid w:val="00054A97"/>
    <w:rsid w:val="00057319"/>
    <w:rsid w:val="000607BA"/>
    <w:rsid w:val="000615FF"/>
    <w:rsid w:val="00065EED"/>
    <w:rsid w:val="00067737"/>
    <w:rsid w:val="00071236"/>
    <w:rsid w:val="000776CE"/>
    <w:rsid w:val="000779DE"/>
    <w:rsid w:val="0008362F"/>
    <w:rsid w:val="00085B55"/>
    <w:rsid w:val="0009644F"/>
    <w:rsid w:val="000A199A"/>
    <w:rsid w:val="000A1CD3"/>
    <w:rsid w:val="000A496D"/>
    <w:rsid w:val="000D5992"/>
    <w:rsid w:val="000E1145"/>
    <w:rsid w:val="000E3ABF"/>
    <w:rsid w:val="000E4C81"/>
    <w:rsid w:val="000E588D"/>
    <w:rsid w:val="000E65A7"/>
    <w:rsid w:val="000E68E0"/>
    <w:rsid w:val="000F5EB6"/>
    <w:rsid w:val="001013D1"/>
    <w:rsid w:val="00112814"/>
    <w:rsid w:val="00112D13"/>
    <w:rsid w:val="001235DC"/>
    <w:rsid w:val="001363F6"/>
    <w:rsid w:val="0014193E"/>
    <w:rsid w:val="001455F9"/>
    <w:rsid w:val="00145D59"/>
    <w:rsid w:val="00153A3F"/>
    <w:rsid w:val="00154BEE"/>
    <w:rsid w:val="00155046"/>
    <w:rsid w:val="0015586F"/>
    <w:rsid w:val="00164C93"/>
    <w:rsid w:val="00164DA6"/>
    <w:rsid w:val="00165971"/>
    <w:rsid w:val="00170FF9"/>
    <w:rsid w:val="00172F76"/>
    <w:rsid w:val="001822F4"/>
    <w:rsid w:val="001833AB"/>
    <w:rsid w:val="001858A4"/>
    <w:rsid w:val="001A6A2D"/>
    <w:rsid w:val="001A7C78"/>
    <w:rsid w:val="001B1F85"/>
    <w:rsid w:val="001C4652"/>
    <w:rsid w:val="001C4C0D"/>
    <w:rsid w:val="001C6C98"/>
    <w:rsid w:val="001D5D9B"/>
    <w:rsid w:val="001D7256"/>
    <w:rsid w:val="001E169C"/>
    <w:rsid w:val="001E3B4A"/>
    <w:rsid w:val="001F02F2"/>
    <w:rsid w:val="001F7B38"/>
    <w:rsid w:val="002029D7"/>
    <w:rsid w:val="002073F9"/>
    <w:rsid w:val="0021233A"/>
    <w:rsid w:val="00212E59"/>
    <w:rsid w:val="00215353"/>
    <w:rsid w:val="00217360"/>
    <w:rsid w:val="00222385"/>
    <w:rsid w:val="002243CB"/>
    <w:rsid w:val="00232C29"/>
    <w:rsid w:val="00235BA8"/>
    <w:rsid w:val="00250084"/>
    <w:rsid w:val="0025033B"/>
    <w:rsid w:val="00253645"/>
    <w:rsid w:val="00255951"/>
    <w:rsid w:val="00256959"/>
    <w:rsid w:val="002618A9"/>
    <w:rsid w:val="002814FD"/>
    <w:rsid w:val="00282741"/>
    <w:rsid w:val="002839ED"/>
    <w:rsid w:val="00286E04"/>
    <w:rsid w:val="00290EE4"/>
    <w:rsid w:val="00292D40"/>
    <w:rsid w:val="002A066C"/>
    <w:rsid w:val="002A279D"/>
    <w:rsid w:val="002A46BE"/>
    <w:rsid w:val="002A58A9"/>
    <w:rsid w:val="002A5ADD"/>
    <w:rsid w:val="002A6104"/>
    <w:rsid w:val="002A6359"/>
    <w:rsid w:val="002A6FB8"/>
    <w:rsid w:val="002B211C"/>
    <w:rsid w:val="002B27FB"/>
    <w:rsid w:val="002B287A"/>
    <w:rsid w:val="002B593D"/>
    <w:rsid w:val="002B7481"/>
    <w:rsid w:val="002C2227"/>
    <w:rsid w:val="002C452B"/>
    <w:rsid w:val="002E57B3"/>
    <w:rsid w:val="00302DEC"/>
    <w:rsid w:val="00316B10"/>
    <w:rsid w:val="003277EB"/>
    <w:rsid w:val="00334867"/>
    <w:rsid w:val="00334A53"/>
    <w:rsid w:val="00337419"/>
    <w:rsid w:val="00342485"/>
    <w:rsid w:val="00345DBD"/>
    <w:rsid w:val="00347C52"/>
    <w:rsid w:val="00350A00"/>
    <w:rsid w:val="00355832"/>
    <w:rsid w:val="0035774D"/>
    <w:rsid w:val="0036408D"/>
    <w:rsid w:val="003707EB"/>
    <w:rsid w:val="00377A63"/>
    <w:rsid w:val="00386268"/>
    <w:rsid w:val="0038757F"/>
    <w:rsid w:val="00390D90"/>
    <w:rsid w:val="00394A51"/>
    <w:rsid w:val="003A11C1"/>
    <w:rsid w:val="003A2FA3"/>
    <w:rsid w:val="003A62A7"/>
    <w:rsid w:val="003A795B"/>
    <w:rsid w:val="003A7B43"/>
    <w:rsid w:val="003B33CF"/>
    <w:rsid w:val="003B5CC9"/>
    <w:rsid w:val="003F2744"/>
    <w:rsid w:val="00406CA5"/>
    <w:rsid w:val="0041486C"/>
    <w:rsid w:val="00415D0E"/>
    <w:rsid w:val="0041755E"/>
    <w:rsid w:val="00420C88"/>
    <w:rsid w:val="00423EF9"/>
    <w:rsid w:val="00427A46"/>
    <w:rsid w:val="0043178E"/>
    <w:rsid w:val="004333A7"/>
    <w:rsid w:val="00433D38"/>
    <w:rsid w:val="00434A13"/>
    <w:rsid w:val="004365F9"/>
    <w:rsid w:val="00437C12"/>
    <w:rsid w:val="004413CB"/>
    <w:rsid w:val="0044539C"/>
    <w:rsid w:val="00447044"/>
    <w:rsid w:val="0045298E"/>
    <w:rsid w:val="00455E38"/>
    <w:rsid w:val="00456467"/>
    <w:rsid w:val="00460287"/>
    <w:rsid w:val="004653B1"/>
    <w:rsid w:val="004656EB"/>
    <w:rsid w:val="004702A0"/>
    <w:rsid w:val="004802D1"/>
    <w:rsid w:val="00482614"/>
    <w:rsid w:val="00485ADE"/>
    <w:rsid w:val="0048769D"/>
    <w:rsid w:val="0049111C"/>
    <w:rsid w:val="004967C2"/>
    <w:rsid w:val="004A7024"/>
    <w:rsid w:val="004A749E"/>
    <w:rsid w:val="004B4084"/>
    <w:rsid w:val="004C07CA"/>
    <w:rsid w:val="004C39D6"/>
    <w:rsid w:val="004D5A8F"/>
    <w:rsid w:val="004E721D"/>
    <w:rsid w:val="004F3213"/>
    <w:rsid w:val="004F5134"/>
    <w:rsid w:val="00500CC7"/>
    <w:rsid w:val="005012F9"/>
    <w:rsid w:val="005017F3"/>
    <w:rsid w:val="00503956"/>
    <w:rsid w:val="00505F5A"/>
    <w:rsid w:val="00513572"/>
    <w:rsid w:val="00515B24"/>
    <w:rsid w:val="005208B7"/>
    <w:rsid w:val="00525E46"/>
    <w:rsid w:val="0052766A"/>
    <w:rsid w:val="00541636"/>
    <w:rsid w:val="00541970"/>
    <w:rsid w:val="00542F8A"/>
    <w:rsid w:val="0054431B"/>
    <w:rsid w:val="00544E68"/>
    <w:rsid w:val="005512E6"/>
    <w:rsid w:val="00551B01"/>
    <w:rsid w:val="005549ED"/>
    <w:rsid w:val="00554BF1"/>
    <w:rsid w:val="005702E5"/>
    <w:rsid w:val="00570D88"/>
    <w:rsid w:val="00574532"/>
    <w:rsid w:val="00575F81"/>
    <w:rsid w:val="005764B7"/>
    <w:rsid w:val="005777C1"/>
    <w:rsid w:val="00583657"/>
    <w:rsid w:val="0059378F"/>
    <w:rsid w:val="00597077"/>
    <w:rsid w:val="005A11AE"/>
    <w:rsid w:val="005A18DD"/>
    <w:rsid w:val="005A223C"/>
    <w:rsid w:val="005A5EBF"/>
    <w:rsid w:val="005B0B13"/>
    <w:rsid w:val="005C2E6D"/>
    <w:rsid w:val="005C74A9"/>
    <w:rsid w:val="005D066B"/>
    <w:rsid w:val="005D0E4E"/>
    <w:rsid w:val="005D190F"/>
    <w:rsid w:val="005E0BCA"/>
    <w:rsid w:val="005E608D"/>
    <w:rsid w:val="005E6134"/>
    <w:rsid w:val="005E7F58"/>
    <w:rsid w:val="005F4C0C"/>
    <w:rsid w:val="005F5C11"/>
    <w:rsid w:val="00601DA4"/>
    <w:rsid w:val="00602C7A"/>
    <w:rsid w:val="006214D7"/>
    <w:rsid w:val="00624EEE"/>
    <w:rsid w:val="00625413"/>
    <w:rsid w:val="00636B80"/>
    <w:rsid w:val="006424B6"/>
    <w:rsid w:val="00642FEF"/>
    <w:rsid w:val="00664E38"/>
    <w:rsid w:val="0067083B"/>
    <w:rsid w:val="00675C15"/>
    <w:rsid w:val="006776AE"/>
    <w:rsid w:val="006803F6"/>
    <w:rsid w:val="006812F1"/>
    <w:rsid w:val="0068138D"/>
    <w:rsid w:val="0068453F"/>
    <w:rsid w:val="00687FF1"/>
    <w:rsid w:val="006A46F0"/>
    <w:rsid w:val="006A6AF4"/>
    <w:rsid w:val="006B10B8"/>
    <w:rsid w:val="006B4511"/>
    <w:rsid w:val="006C02E2"/>
    <w:rsid w:val="006C048C"/>
    <w:rsid w:val="006C34A1"/>
    <w:rsid w:val="006D6BAA"/>
    <w:rsid w:val="006E048C"/>
    <w:rsid w:val="006E64D7"/>
    <w:rsid w:val="006E7F49"/>
    <w:rsid w:val="006F1A1E"/>
    <w:rsid w:val="006F346D"/>
    <w:rsid w:val="00700E4D"/>
    <w:rsid w:val="007046AB"/>
    <w:rsid w:val="007053A8"/>
    <w:rsid w:val="007119EA"/>
    <w:rsid w:val="00713B16"/>
    <w:rsid w:val="00715F8B"/>
    <w:rsid w:val="0072288B"/>
    <w:rsid w:val="007252AA"/>
    <w:rsid w:val="00733946"/>
    <w:rsid w:val="00737BBE"/>
    <w:rsid w:val="00741B33"/>
    <w:rsid w:val="00743BDE"/>
    <w:rsid w:val="00747A1A"/>
    <w:rsid w:val="00750FE1"/>
    <w:rsid w:val="007514DF"/>
    <w:rsid w:val="0075591F"/>
    <w:rsid w:val="0075778C"/>
    <w:rsid w:val="0077072F"/>
    <w:rsid w:val="00787C47"/>
    <w:rsid w:val="0079066A"/>
    <w:rsid w:val="00790EBC"/>
    <w:rsid w:val="00791327"/>
    <w:rsid w:val="00792AC3"/>
    <w:rsid w:val="007942DE"/>
    <w:rsid w:val="007947D4"/>
    <w:rsid w:val="007959DD"/>
    <w:rsid w:val="00797AD9"/>
    <w:rsid w:val="007A0BD4"/>
    <w:rsid w:val="007A0DE4"/>
    <w:rsid w:val="007A0EDD"/>
    <w:rsid w:val="007A23EB"/>
    <w:rsid w:val="007B6EE5"/>
    <w:rsid w:val="007C0906"/>
    <w:rsid w:val="007C0F6E"/>
    <w:rsid w:val="007C56B2"/>
    <w:rsid w:val="007C6C71"/>
    <w:rsid w:val="007E4684"/>
    <w:rsid w:val="007E6322"/>
    <w:rsid w:val="007E79CA"/>
    <w:rsid w:val="007F0307"/>
    <w:rsid w:val="007F2434"/>
    <w:rsid w:val="00807896"/>
    <w:rsid w:val="00807B02"/>
    <w:rsid w:val="00812BA8"/>
    <w:rsid w:val="00812CB2"/>
    <w:rsid w:val="00817AA2"/>
    <w:rsid w:val="00824149"/>
    <w:rsid w:val="0082523E"/>
    <w:rsid w:val="00825FB4"/>
    <w:rsid w:val="0084099F"/>
    <w:rsid w:val="00855FCC"/>
    <w:rsid w:val="008612B2"/>
    <w:rsid w:val="0086476F"/>
    <w:rsid w:val="00871E3F"/>
    <w:rsid w:val="00874A70"/>
    <w:rsid w:val="0087565F"/>
    <w:rsid w:val="00883ABB"/>
    <w:rsid w:val="00887103"/>
    <w:rsid w:val="00892DF4"/>
    <w:rsid w:val="00895041"/>
    <w:rsid w:val="00897E24"/>
    <w:rsid w:val="008A4206"/>
    <w:rsid w:val="008B2413"/>
    <w:rsid w:val="008C6097"/>
    <w:rsid w:val="008C6673"/>
    <w:rsid w:val="008C72F2"/>
    <w:rsid w:val="008D108C"/>
    <w:rsid w:val="008E2933"/>
    <w:rsid w:val="008E3980"/>
    <w:rsid w:val="008E3E2C"/>
    <w:rsid w:val="008E41C5"/>
    <w:rsid w:val="008E5E16"/>
    <w:rsid w:val="008F1DDB"/>
    <w:rsid w:val="008F1E42"/>
    <w:rsid w:val="008F24F5"/>
    <w:rsid w:val="00902BEC"/>
    <w:rsid w:val="00907451"/>
    <w:rsid w:val="00921613"/>
    <w:rsid w:val="00922792"/>
    <w:rsid w:val="00927D8F"/>
    <w:rsid w:val="00935EDE"/>
    <w:rsid w:val="00943ECF"/>
    <w:rsid w:val="009530AD"/>
    <w:rsid w:val="009549EF"/>
    <w:rsid w:val="00956FEF"/>
    <w:rsid w:val="009611D3"/>
    <w:rsid w:val="00962155"/>
    <w:rsid w:val="00966EC6"/>
    <w:rsid w:val="00971811"/>
    <w:rsid w:val="0097337C"/>
    <w:rsid w:val="009851E0"/>
    <w:rsid w:val="0098525D"/>
    <w:rsid w:val="0098633B"/>
    <w:rsid w:val="00991D2C"/>
    <w:rsid w:val="009974A8"/>
    <w:rsid w:val="009A1E66"/>
    <w:rsid w:val="009A3AFC"/>
    <w:rsid w:val="009A4C82"/>
    <w:rsid w:val="009A5DD7"/>
    <w:rsid w:val="009B0AA8"/>
    <w:rsid w:val="009B77B1"/>
    <w:rsid w:val="009B7800"/>
    <w:rsid w:val="009C1A8B"/>
    <w:rsid w:val="009C4FFE"/>
    <w:rsid w:val="009C6D4B"/>
    <w:rsid w:val="009D3F5D"/>
    <w:rsid w:val="009D4A3C"/>
    <w:rsid w:val="009D631C"/>
    <w:rsid w:val="009F0439"/>
    <w:rsid w:val="009F1218"/>
    <w:rsid w:val="009F4EB8"/>
    <w:rsid w:val="009F66DE"/>
    <w:rsid w:val="00A01E1E"/>
    <w:rsid w:val="00A072DB"/>
    <w:rsid w:val="00A07925"/>
    <w:rsid w:val="00A1161D"/>
    <w:rsid w:val="00A11E04"/>
    <w:rsid w:val="00A16E1D"/>
    <w:rsid w:val="00A21005"/>
    <w:rsid w:val="00A2316F"/>
    <w:rsid w:val="00A26E2B"/>
    <w:rsid w:val="00A3060F"/>
    <w:rsid w:val="00A35FCC"/>
    <w:rsid w:val="00A50EE2"/>
    <w:rsid w:val="00A55B9D"/>
    <w:rsid w:val="00A61CE9"/>
    <w:rsid w:val="00A63576"/>
    <w:rsid w:val="00A73443"/>
    <w:rsid w:val="00A74171"/>
    <w:rsid w:val="00A83C5C"/>
    <w:rsid w:val="00A83FF4"/>
    <w:rsid w:val="00A96272"/>
    <w:rsid w:val="00AA1E2A"/>
    <w:rsid w:val="00AA53B5"/>
    <w:rsid w:val="00AA5B7B"/>
    <w:rsid w:val="00AA5FEA"/>
    <w:rsid w:val="00AC0126"/>
    <w:rsid w:val="00AC5703"/>
    <w:rsid w:val="00AC769A"/>
    <w:rsid w:val="00AD0389"/>
    <w:rsid w:val="00AD0BC9"/>
    <w:rsid w:val="00AD1185"/>
    <w:rsid w:val="00AD2094"/>
    <w:rsid w:val="00AE2A77"/>
    <w:rsid w:val="00AE64AC"/>
    <w:rsid w:val="00AF2BB2"/>
    <w:rsid w:val="00B02DEB"/>
    <w:rsid w:val="00B061A2"/>
    <w:rsid w:val="00B1469E"/>
    <w:rsid w:val="00B15229"/>
    <w:rsid w:val="00B16A59"/>
    <w:rsid w:val="00B2149E"/>
    <w:rsid w:val="00B26002"/>
    <w:rsid w:val="00B32BBD"/>
    <w:rsid w:val="00B32D33"/>
    <w:rsid w:val="00B365EB"/>
    <w:rsid w:val="00B42B2C"/>
    <w:rsid w:val="00B42E5B"/>
    <w:rsid w:val="00B45846"/>
    <w:rsid w:val="00B46543"/>
    <w:rsid w:val="00B51880"/>
    <w:rsid w:val="00B5384A"/>
    <w:rsid w:val="00B547F4"/>
    <w:rsid w:val="00B60059"/>
    <w:rsid w:val="00B62F6E"/>
    <w:rsid w:val="00B63363"/>
    <w:rsid w:val="00B64C32"/>
    <w:rsid w:val="00B71BFC"/>
    <w:rsid w:val="00B74B7A"/>
    <w:rsid w:val="00B74B82"/>
    <w:rsid w:val="00B74BEB"/>
    <w:rsid w:val="00B75F92"/>
    <w:rsid w:val="00B775D8"/>
    <w:rsid w:val="00B80C9C"/>
    <w:rsid w:val="00B87AB3"/>
    <w:rsid w:val="00B929CF"/>
    <w:rsid w:val="00B95ED4"/>
    <w:rsid w:val="00B97069"/>
    <w:rsid w:val="00B976C5"/>
    <w:rsid w:val="00BA6922"/>
    <w:rsid w:val="00BA7B0D"/>
    <w:rsid w:val="00BB1B83"/>
    <w:rsid w:val="00BB488A"/>
    <w:rsid w:val="00BB7D8E"/>
    <w:rsid w:val="00BC661B"/>
    <w:rsid w:val="00BD3823"/>
    <w:rsid w:val="00BD520A"/>
    <w:rsid w:val="00BD5E0B"/>
    <w:rsid w:val="00BD7B4B"/>
    <w:rsid w:val="00BE1582"/>
    <w:rsid w:val="00BE4436"/>
    <w:rsid w:val="00BE6B5D"/>
    <w:rsid w:val="00BF0B33"/>
    <w:rsid w:val="00BF7288"/>
    <w:rsid w:val="00C01565"/>
    <w:rsid w:val="00C0344C"/>
    <w:rsid w:val="00C11623"/>
    <w:rsid w:val="00C14F42"/>
    <w:rsid w:val="00C25C57"/>
    <w:rsid w:val="00C26DAC"/>
    <w:rsid w:val="00C40418"/>
    <w:rsid w:val="00C44E15"/>
    <w:rsid w:val="00C465A1"/>
    <w:rsid w:val="00C46764"/>
    <w:rsid w:val="00C5358D"/>
    <w:rsid w:val="00C53ECF"/>
    <w:rsid w:val="00C569A8"/>
    <w:rsid w:val="00C64D70"/>
    <w:rsid w:val="00C65338"/>
    <w:rsid w:val="00C810D7"/>
    <w:rsid w:val="00C84509"/>
    <w:rsid w:val="00C84C72"/>
    <w:rsid w:val="00C86256"/>
    <w:rsid w:val="00C8733B"/>
    <w:rsid w:val="00CA7E34"/>
    <w:rsid w:val="00CB1CEB"/>
    <w:rsid w:val="00CB3AEB"/>
    <w:rsid w:val="00CB795D"/>
    <w:rsid w:val="00CC1FFA"/>
    <w:rsid w:val="00CC34B2"/>
    <w:rsid w:val="00CC5CDC"/>
    <w:rsid w:val="00CC73E1"/>
    <w:rsid w:val="00CD27D3"/>
    <w:rsid w:val="00CD457B"/>
    <w:rsid w:val="00CE45F1"/>
    <w:rsid w:val="00CF1446"/>
    <w:rsid w:val="00CF29D2"/>
    <w:rsid w:val="00D016D3"/>
    <w:rsid w:val="00D01AF4"/>
    <w:rsid w:val="00D04C63"/>
    <w:rsid w:val="00D06F94"/>
    <w:rsid w:val="00D079EF"/>
    <w:rsid w:val="00D1272D"/>
    <w:rsid w:val="00D145B9"/>
    <w:rsid w:val="00D235EF"/>
    <w:rsid w:val="00D32E4F"/>
    <w:rsid w:val="00D35B0C"/>
    <w:rsid w:val="00D40D53"/>
    <w:rsid w:val="00D40FD0"/>
    <w:rsid w:val="00D410B0"/>
    <w:rsid w:val="00D42AA8"/>
    <w:rsid w:val="00D44190"/>
    <w:rsid w:val="00D51E42"/>
    <w:rsid w:val="00D51F76"/>
    <w:rsid w:val="00D53641"/>
    <w:rsid w:val="00D54152"/>
    <w:rsid w:val="00D608AE"/>
    <w:rsid w:val="00D608B8"/>
    <w:rsid w:val="00D60C30"/>
    <w:rsid w:val="00D6676A"/>
    <w:rsid w:val="00D74303"/>
    <w:rsid w:val="00D76655"/>
    <w:rsid w:val="00D85629"/>
    <w:rsid w:val="00D861D8"/>
    <w:rsid w:val="00D94CDB"/>
    <w:rsid w:val="00D957D0"/>
    <w:rsid w:val="00DA3926"/>
    <w:rsid w:val="00DA7E3F"/>
    <w:rsid w:val="00DB416E"/>
    <w:rsid w:val="00DB70E3"/>
    <w:rsid w:val="00DC4E1C"/>
    <w:rsid w:val="00DC752B"/>
    <w:rsid w:val="00DE7BE8"/>
    <w:rsid w:val="00DF1252"/>
    <w:rsid w:val="00DF1368"/>
    <w:rsid w:val="00DF5213"/>
    <w:rsid w:val="00E01C7C"/>
    <w:rsid w:val="00E06EE1"/>
    <w:rsid w:val="00E10A7E"/>
    <w:rsid w:val="00E15470"/>
    <w:rsid w:val="00E1738F"/>
    <w:rsid w:val="00E20299"/>
    <w:rsid w:val="00E220C2"/>
    <w:rsid w:val="00E30FFD"/>
    <w:rsid w:val="00E31742"/>
    <w:rsid w:val="00E355E0"/>
    <w:rsid w:val="00E35D2D"/>
    <w:rsid w:val="00E406C5"/>
    <w:rsid w:val="00E427C6"/>
    <w:rsid w:val="00E4662D"/>
    <w:rsid w:val="00E5402A"/>
    <w:rsid w:val="00E55A56"/>
    <w:rsid w:val="00E6590E"/>
    <w:rsid w:val="00E71E7D"/>
    <w:rsid w:val="00E75921"/>
    <w:rsid w:val="00E77FBE"/>
    <w:rsid w:val="00E91AAF"/>
    <w:rsid w:val="00E920D4"/>
    <w:rsid w:val="00E92600"/>
    <w:rsid w:val="00E928B3"/>
    <w:rsid w:val="00E94169"/>
    <w:rsid w:val="00E95E01"/>
    <w:rsid w:val="00EA0E32"/>
    <w:rsid w:val="00EA36AF"/>
    <w:rsid w:val="00EB1119"/>
    <w:rsid w:val="00EB3B46"/>
    <w:rsid w:val="00EB470A"/>
    <w:rsid w:val="00EB51C9"/>
    <w:rsid w:val="00EC572B"/>
    <w:rsid w:val="00ED2333"/>
    <w:rsid w:val="00EE5D56"/>
    <w:rsid w:val="00EF146A"/>
    <w:rsid w:val="00EF2DBE"/>
    <w:rsid w:val="00EF3E2E"/>
    <w:rsid w:val="00F01676"/>
    <w:rsid w:val="00F12682"/>
    <w:rsid w:val="00F13DA6"/>
    <w:rsid w:val="00F16D7B"/>
    <w:rsid w:val="00F20E02"/>
    <w:rsid w:val="00F335B7"/>
    <w:rsid w:val="00F3690F"/>
    <w:rsid w:val="00F43FDE"/>
    <w:rsid w:val="00F466F2"/>
    <w:rsid w:val="00F46B79"/>
    <w:rsid w:val="00F50A38"/>
    <w:rsid w:val="00F54751"/>
    <w:rsid w:val="00F62FE1"/>
    <w:rsid w:val="00F65507"/>
    <w:rsid w:val="00F76B05"/>
    <w:rsid w:val="00F97255"/>
    <w:rsid w:val="00F974AA"/>
    <w:rsid w:val="00FA32E0"/>
    <w:rsid w:val="00FB130A"/>
    <w:rsid w:val="00FC4E42"/>
    <w:rsid w:val="00FC4F24"/>
    <w:rsid w:val="00FD322D"/>
    <w:rsid w:val="00FD3336"/>
    <w:rsid w:val="00FD3A3F"/>
    <w:rsid w:val="00FD6386"/>
    <w:rsid w:val="00FD7A44"/>
    <w:rsid w:val="00FE653C"/>
    <w:rsid w:val="00FF1E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921613"/>
    <w:rPr>
      <w:vertAlign w:val="superscript"/>
    </w:rPr>
  </w:style>
  <w:style w:type="character" w:styleId="Hipervnculo">
    <w:name w:val="Hyperlink"/>
    <w:uiPriority w:val="99"/>
    <w:unhideWhenUsed/>
    <w:rsid w:val="0025033B"/>
    <w:rPr>
      <w:strike w:val="0"/>
      <w:dstrike w:val="0"/>
      <w:color w:val="035899"/>
      <w:u w:val="none"/>
      <w:effect w:val="none"/>
    </w:rPr>
  </w:style>
  <w:style w:type="table" w:styleId="Tablaconcuadrcula">
    <w:name w:val="Table Grid"/>
    <w:basedOn w:val="Tablanormal"/>
    <w:uiPriority w:val="39"/>
    <w:rsid w:val="00DE7B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B775D8"/>
    <w:pPr>
      <w:widowControl w:val="0"/>
      <w:autoSpaceDE w:val="0"/>
      <w:autoSpaceDN w:val="0"/>
      <w:spacing w:after="0" w:line="240" w:lineRule="auto"/>
    </w:pPr>
    <w:rPr>
      <w:rFonts w:ascii="Palatino Linotype" w:eastAsia="Palatino Linotype" w:hAnsi="Palatino Linotype" w:cs="Palatino Linotype"/>
      <w:sz w:val="24"/>
      <w:szCs w:val="24"/>
      <w:lang w:val="es-ES"/>
    </w:rPr>
  </w:style>
  <w:style w:type="character" w:customStyle="1" w:styleId="TextoindependienteCar">
    <w:name w:val="Texto independiente Car"/>
    <w:basedOn w:val="Fuentedeprrafopredeter"/>
    <w:link w:val="Textoindependiente"/>
    <w:uiPriority w:val="1"/>
    <w:rsid w:val="00B775D8"/>
    <w:rPr>
      <w:rFonts w:ascii="Palatino Linotype" w:eastAsia="Palatino Linotype" w:hAnsi="Palatino Linotype" w:cs="Palatino Linotype"/>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26632">
      <w:bodyDiv w:val="1"/>
      <w:marLeft w:val="0"/>
      <w:marRight w:val="0"/>
      <w:marTop w:val="0"/>
      <w:marBottom w:val="0"/>
      <w:divBdr>
        <w:top w:val="none" w:sz="0" w:space="0" w:color="auto"/>
        <w:left w:val="none" w:sz="0" w:space="0" w:color="auto"/>
        <w:bottom w:val="none" w:sz="0" w:space="0" w:color="auto"/>
        <w:right w:val="none" w:sz="0" w:space="0" w:color="auto"/>
      </w:divBdr>
    </w:div>
    <w:div w:id="149905976">
      <w:bodyDiv w:val="1"/>
      <w:marLeft w:val="0"/>
      <w:marRight w:val="0"/>
      <w:marTop w:val="0"/>
      <w:marBottom w:val="0"/>
      <w:divBdr>
        <w:top w:val="none" w:sz="0" w:space="0" w:color="auto"/>
        <w:left w:val="none" w:sz="0" w:space="0" w:color="auto"/>
        <w:bottom w:val="none" w:sz="0" w:space="0" w:color="auto"/>
        <w:right w:val="none" w:sz="0" w:space="0" w:color="auto"/>
      </w:divBdr>
    </w:div>
    <w:div w:id="204831887">
      <w:bodyDiv w:val="1"/>
      <w:marLeft w:val="0"/>
      <w:marRight w:val="0"/>
      <w:marTop w:val="0"/>
      <w:marBottom w:val="0"/>
      <w:divBdr>
        <w:top w:val="none" w:sz="0" w:space="0" w:color="auto"/>
        <w:left w:val="none" w:sz="0" w:space="0" w:color="auto"/>
        <w:bottom w:val="none" w:sz="0" w:space="0" w:color="auto"/>
        <w:right w:val="none" w:sz="0" w:space="0" w:color="auto"/>
      </w:divBdr>
    </w:div>
    <w:div w:id="253712390">
      <w:bodyDiv w:val="1"/>
      <w:marLeft w:val="0"/>
      <w:marRight w:val="0"/>
      <w:marTop w:val="0"/>
      <w:marBottom w:val="0"/>
      <w:divBdr>
        <w:top w:val="none" w:sz="0" w:space="0" w:color="auto"/>
        <w:left w:val="none" w:sz="0" w:space="0" w:color="auto"/>
        <w:bottom w:val="none" w:sz="0" w:space="0" w:color="auto"/>
        <w:right w:val="none" w:sz="0" w:space="0" w:color="auto"/>
      </w:divBdr>
    </w:div>
    <w:div w:id="345134263">
      <w:bodyDiv w:val="1"/>
      <w:marLeft w:val="0"/>
      <w:marRight w:val="0"/>
      <w:marTop w:val="0"/>
      <w:marBottom w:val="0"/>
      <w:divBdr>
        <w:top w:val="none" w:sz="0" w:space="0" w:color="auto"/>
        <w:left w:val="none" w:sz="0" w:space="0" w:color="auto"/>
        <w:bottom w:val="none" w:sz="0" w:space="0" w:color="auto"/>
        <w:right w:val="none" w:sz="0" w:space="0" w:color="auto"/>
      </w:divBdr>
    </w:div>
    <w:div w:id="354964941">
      <w:bodyDiv w:val="1"/>
      <w:marLeft w:val="0"/>
      <w:marRight w:val="0"/>
      <w:marTop w:val="0"/>
      <w:marBottom w:val="0"/>
      <w:divBdr>
        <w:top w:val="none" w:sz="0" w:space="0" w:color="auto"/>
        <w:left w:val="none" w:sz="0" w:space="0" w:color="auto"/>
        <w:bottom w:val="none" w:sz="0" w:space="0" w:color="auto"/>
        <w:right w:val="none" w:sz="0" w:space="0" w:color="auto"/>
      </w:divBdr>
    </w:div>
    <w:div w:id="358168692">
      <w:bodyDiv w:val="1"/>
      <w:marLeft w:val="0"/>
      <w:marRight w:val="0"/>
      <w:marTop w:val="0"/>
      <w:marBottom w:val="0"/>
      <w:divBdr>
        <w:top w:val="none" w:sz="0" w:space="0" w:color="auto"/>
        <w:left w:val="none" w:sz="0" w:space="0" w:color="auto"/>
        <w:bottom w:val="none" w:sz="0" w:space="0" w:color="auto"/>
        <w:right w:val="none" w:sz="0" w:space="0" w:color="auto"/>
      </w:divBdr>
    </w:div>
    <w:div w:id="467549231">
      <w:bodyDiv w:val="1"/>
      <w:marLeft w:val="0"/>
      <w:marRight w:val="0"/>
      <w:marTop w:val="0"/>
      <w:marBottom w:val="0"/>
      <w:divBdr>
        <w:top w:val="none" w:sz="0" w:space="0" w:color="auto"/>
        <w:left w:val="none" w:sz="0" w:space="0" w:color="auto"/>
        <w:bottom w:val="none" w:sz="0" w:space="0" w:color="auto"/>
        <w:right w:val="none" w:sz="0" w:space="0" w:color="auto"/>
      </w:divBdr>
    </w:div>
    <w:div w:id="570579523">
      <w:bodyDiv w:val="1"/>
      <w:marLeft w:val="0"/>
      <w:marRight w:val="0"/>
      <w:marTop w:val="0"/>
      <w:marBottom w:val="0"/>
      <w:divBdr>
        <w:top w:val="none" w:sz="0" w:space="0" w:color="auto"/>
        <w:left w:val="none" w:sz="0" w:space="0" w:color="auto"/>
        <w:bottom w:val="none" w:sz="0" w:space="0" w:color="auto"/>
        <w:right w:val="none" w:sz="0" w:space="0" w:color="auto"/>
      </w:divBdr>
    </w:div>
    <w:div w:id="697388780">
      <w:bodyDiv w:val="1"/>
      <w:marLeft w:val="0"/>
      <w:marRight w:val="0"/>
      <w:marTop w:val="0"/>
      <w:marBottom w:val="0"/>
      <w:divBdr>
        <w:top w:val="none" w:sz="0" w:space="0" w:color="auto"/>
        <w:left w:val="none" w:sz="0" w:space="0" w:color="auto"/>
        <w:bottom w:val="none" w:sz="0" w:space="0" w:color="auto"/>
        <w:right w:val="none" w:sz="0" w:space="0" w:color="auto"/>
      </w:divBdr>
    </w:div>
    <w:div w:id="782531011">
      <w:bodyDiv w:val="1"/>
      <w:marLeft w:val="0"/>
      <w:marRight w:val="0"/>
      <w:marTop w:val="0"/>
      <w:marBottom w:val="0"/>
      <w:divBdr>
        <w:top w:val="none" w:sz="0" w:space="0" w:color="auto"/>
        <w:left w:val="none" w:sz="0" w:space="0" w:color="auto"/>
        <w:bottom w:val="none" w:sz="0" w:space="0" w:color="auto"/>
        <w:right w:val="none" w:sz="0" w:space="0" w:color="auto"/>
      </w:divBdr>
    </w:div>
    <w:div w:id="785198492">
      <w:bodyDiv w:val="1"/>
      <w:marLeft w:val="0"/>
      <w:marRight w:val="0"/>
      <w:marTop w:val="0"/>
      <w:marBottom w:val="0"/>
      <w:divBdr>
        <w:top w:val="none" w:sz="0" w:space="0" w:color="auto"/>
        <w:left w:val="none" w:sz="0" w:space="0" w:color="auto"/>
        <w:bottom w:val="none" w:sz="0" w:space="0" w:color="auto"/>
        <w:right w:val="none" w:sz="0" w:space="0" w:color="auto"/>
      </w:divBdr>
    </w:div>
    <w:div w:id="899678840">
      <w:bodyDiv w:val="1"/>
      <w:marLeft w:val="0"/>
      <w:marRight w:val="0"/>
      <w:marTop w:val="0"/>
      <w:marBottom w:val="0"/>
      <w:divBdr>
        <w:top w:val="none" w:sz="0" w:space="0" w:color="auto"/>
        <w:left w:val="none" w:sz="0" w:space="0" w:color="auto"/>
        <w:bottom w:val="none" w:sz="0" w:space="0" w:color="auto"/>
        <w:right w:val="none" w:sz="0" w:space="0" w:color="auto"/>
      </w:divBdr>
    </w:div>
    <w:div w:id="1001005227">
      <w:bodyDiv w:val="1"/>
      <w:marLeft w:val="0"/>
      <w:marRight w:val="0"/>
      <w:marTop w:val="0"/>
      <w:marBottom w:val="0"/>
      <w:divBdr>
        <w:top w:val="none" w:sz="0" w:space="0" w:color="auto"/>
        <w:left w:val="none" w:sz="0" w:space="0" w:color="auto"/>
        <w:bottom w:val="none" w:sz="0" w:space="0" w:color="auto"/>
        <w:right w:val="none" w:sz="0" w:space="0" w:color="auto"/>
      </w:divBdr>
    </w:div>
    <w:div w:id="1081023092">
      <w:bodyDiv w:val="1"/>
      <w:marLeft w:val="0"/>
      <w:marRight w:val="0"/>
      <w:marTop w:val="0"/>
      <w:marBottom w:val="0"/>
      <w:divBdr>
        <w:top w:val="none" w:sz="0" w:space="0" w:color="auto"/>
        <w:left w:val="none" w:sz="0" w:space="0" w:color="auto"/>
        <w:bottom w:val="none" w:sz="0" w:space="0" w:color="auto"/>
        <w:right w:val="none" w:sz="0" w:space="0" w:color="auto"/>
      </w:divBdr>
    </w:div>
    <w:div w:id="1216239908">
      <w:bodyDiv w:val="1"/>
      <w:marLeft w:val="0"/>
      <w:marRight w:val="0"/>
      <w:marTop w:val="0"/>
      <w:marBottom w:val="0"/>
      <w:divBdr>
        <w:top w:val="none" w:sz="0" w:space="0" w:color="auto"/>
        <w:left w:val="none" w:sz="0" w:space="0" w:color="auto"/>
        <w:bottom w:val="none" w:sz="0" w:space="0" w:color="auto"/>
        <w:right w:val="none" w:sz="0" w:space="0" w:color="auto"/>
      </w:divBdr>
    </w:div>
    <w:div w:id="1477140216">
      <w:bodyDiv w:val="1"/>
      <w:marLeft w:val="0"/>
      <w:marRight w:val="0"/>
      <w:marTop w:val="0"/>
      <w:marBottom w:val="0"/>
      <w:divBdr>
        <w:top w:val="none" w:sz="0" w:space="0" w:color="auto"/>
        <w:left w:val="none" w:sz="0" w:space="0" w:color="auto"/>
        <w:bottom w:val="none" w:sz="0" w:space="0" w:color="auto"/>
        <w:right w:val="none" w:sz="0" w:space="0" w:color="auto"/>
      </w:divBdr>
    </w:div>
    <w:div w:id="1659765872">
      <w:bodyDiv w:val="1"/>
      <w:marLeft w:val="0"/>
      <w:marRight w:val="0"/>
      <w:marTop w:val="0"/>
      <w:marBottom w:val="0"/>
      <w:divBdr>
        <w:top w:val="none" w:sz="0" w:space="0" w:color="auto"/>
        <w:left w:val="none" w:sz="0" w:space="0" w:color="auto"/>
        <w:bottom w:val="none" w:sz="0" w:space="0" w:color="auto"/>
        <w:right w:val="none" w:sz="0" w:space="0" w:color="auto"/>
      </w:divBdr>
    </w:div>
    <w:div w:id="1910534504">
      <w:bodyDiv w:val="1"/>
      <w:marLeft w:val="0"/>
      <w:marRight w:val="0"/>
      <w:marTop w:val="0"/>
      <w:marBottom w:val="0"/>
      <w:divBdr>
        <w:top w:val="none" w:sz="0" w:space="0" w:color="auto"/>
        <w:left w:val="none" w:sz="0" w:space="0" w:color="auto"/>
        <w:bottom w:val="none" w:sz="0" w:space="0" w:color="auto"/>
        <w:right w:val="none" w:sz="0" w:space="0" w:color="auto"/>
      </w:divBdr>
    </w:div>
    <w:div w:id="201182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D4E0338-6D9E-4065-B5A9-9A29D2624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2029</Words>
  <Characters>11160</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2</cp:revision>
  <cp:lastPrinted>2019-05-17T16:17:00Z</cp:lastPrinted>
  <dcterms:created xsi:type="dcterms:W3CDTF">2022-04-04T22:54:00Z</dcterms:created>
  <dcterms:modified xsi:type="dcterms:W3CDTF">2022-04-04T22:54:00Z</dcterms:modified>
</cp:coreProperties>
</file>