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355B" w:rsidR="00D8203F" w:rsidP="00E23B35" w:rsidRDefault="00D8203F" w14:paraId="396EC2E0" w14:textId="2CE9B620">
      <w:pPr>
        <w:spacing w:after="0"/>
        <w:rPr>
          <w:rFonts w:eastAsia="Times New Roman" w:cs="Tahoma"/>
          <w:bCs/>
          <w:color w:val="auto"/>
          <w:lang w:eastAsia="es-ES"/>
        </w:rPr>
      </w:pPr>
      <w:r w:rsidRPr="00A2355B">
        <w:rPr>
          <w:rFonts w:cs="Tahoma"/>
          <w:bCs/>
        </w:rPr>
        <w:t xml:space="preserve">Resolución del Pleno del Instituto de Transparencia, Acceso a la Información Pública y </w:t>
      </w:r>
      <w:r w:rsidRPr="00A2355B">
        <w:rPr>
          <w:rFonts w:eastAsia="Times New Roman" w:cs="Tahoma"/>
          <w:bCs/>
          <w:color w:val="auto"/>
          <w:lang w:eastAsia="es-ES"/>
        </w:rPr>
        <w:t xml:space="preserve">Protección de Datos Personales del Estado de México y Municipios, con domicilio en Metepec, Estado de México, de fecha </w:t>
      </w:r>
      <w:r w:rsidR="001B033A">
        <w:rPr>
          <w:rFonts w:eastAsia="Times New Roman" w:cs="Tahoma"/>
          <w:bCs/>
          <w:color w:val="auto"/>
          <w:lang w:eastAsia="es-ES"/>
        </w:rPr>
        <w:t>veintisiete</w:t>
      </w:r>
      <w:r w:rsidR="009E13DA">
        <w:rPr>
          <w:rFonts w:eastAsia="Times New Roman" w:cs="Tahoma"/>
          <w:bCs/>
          <w:color w:val="auto"/>
          <w:lang w:eastAsia="es-ES"/>
        </w:rPr>
        <w:t xml:space="preserve"> de abril de dos mil veintidós</w:t>
      </w:r>
      <w:r w:rsidRPr="00A2355B">
        <w:rPr>
          <w:rFonts w:eastAsia="Times New Roman" w:cs="Tahoma"/>
          <w:bCs/>
          <w:color w:val="auto"/>
          <w:lang w:eastAsia="es-ES"/>
        </w:rPr>
        <w:t xml:space="preserve">. </w:t>
      </w:r>
    </w:p>
    <w:p w:rsidRPr="00A2355B" w:rsidR="00D8203F" w:rsidP="00E23B35" w:rsidRDefault="00D8203F" w14:paraId="6936EE21" w14:textId="77777777">
      <w:pPr>
        <w:spacing w:after="0"/>
      </w:pPr>
    </w:p>
    <w:p w:rsidRPr="00A2355B" w:rsidR="00D8203F" w:rsidP="00E23B35" w:rsidRDefault="00D8203F" w14:paraId="7B5A5142" w14:textId="281D8D09">
      <w:pPr>
        <w:spacing w:after="0"/>
      </w:pPr>
      <w:r w:rsidRPr="22F38F87" w:rsidR="22F38F87">
        <w:rPr>
          <w:b w:val="1"/>
          <w:bCs w:val="1"/>
        </w:rPr>
        <w:t xml:space="preserve">VISTO </w:t>
      </w:r>
      <w:r w:rsidR="22F38F87">
        <w:rPr/>
        <w:t xml:space="preserve">el expediente conformado con motivo del Recurso de Revisión 01046/INFOEM/IP/RR/2022, interpuesto por </w:t>
      </w:r>
      <w:r w:rsidRPr="22F38F87" w:rsidR="22F38F87">
        <w:rPr>
          <w:highlight w:val="black"/>
        </w:rPr>
        <w:t>XXXXXXXXXXXXXXXXXXXXXX</w:t>
      </w:r>
      <w:r w:rsidR="22F38F87">
        <w:rPr/>
        <w:t xml:space="preserve">, </w:t>
      </w:r>
      <w:r w:rsidRPr="22F38F87" w:rsidR="22F38F87">
        <w:rPr>
          <w:rFonts w:cs="Tahoma"/>
          <w:color w:val="0D0D0D" w:themeColor="text1" w:themeTint="F2" w:themeShade="FF"/>
        </w:rPr>
        <w:t>en lo sucesivo Recurrente o Particular</w:t>
      </w:r>
      <w:r w:rsidR="22F38F87">
        <w:rPr/>
        <w:t>, en contra de la respuesta del Sujeto Obligado, Ayuntamiento de Toluca, a la solicitud de acceso a la información pública 00387/TOLUCA/IP/2022, se emite la presente Resolución, con base en los Antecedentes y Considerandos que a continuación se exponen:</w:t>
      </w:r>
    </w:p>
    <w:p w:rsidRPr="00A2355B" w:rsidR="00D8203F" w:rsidP="00E23B35" w:rsidRDefault="00D8203F" w14:paraId="52EC590C" w14:textId="77777777">
      <w:pPr>
        <w:spacing w:after="0"/>
        <w:rPr>
          <w:bCs/>
        </w:rPr>
      </w:pPr>
    </w:p>
    <w:p w:rsidRPr="00A2355B" w:rsidR="00D8203F" w:rsidP="00E23B35" w:rsidRDefault="00D8203F" w14:paraId="5020F5CE" w14:textId="77777777">
      <w:pPr>
        <w:spacing w:after="0"/>
        <w:jc w:val="center"/>
        <w:rPr>
          <w:b/>
        </w:rPr>
      </w:pPr>
      <w:r w:rsidRPr="00A2355B">
        <w:rPr>
          <w:b/>
        </w:rPr>
        <w:t>A N T E C E D E N TE S:</w:t>
      </w:r>
    </w:p>
    <w:p w:rsidRPr="00A2355B" w:rsidR="00D8203F" w:rsidP="00E23B35" w:rsidRDefault="00D8203F" w14:paraId="1B82AE83" w14:textId="77777777">
      <w:pPr>
        <w:tabs>
          <w:tab w:val="left" w:pos="567"/>
        </w:tabs>
        <w:spacing w:after="0"/>
        <w:rPr>
          <w:rFonts w:eastAsia="Times New Roman" w:cs="Tahoma"/>
          <w:b/>
          <w:color w:val="auto"/>
          <w:lang w:eastAsia="es-ES"/>
        </w:rPr>
      </w:pPr>
    </w:p>
    <w:p w:rsidRPr="00A2355B" w:rsidR="00D8203F" w:rsidP="00E23B35" w:rsidRDefault="00D8203F" w14:paraId="7F6DA6C9" w14:textId="77777777">
      <w:pPr>
        <w:tabs>
          <w:tab w:val="left" w:pos="567"/>
        </w:tabs>
        <w:spacing w:after="0"/>
        <w:rPr>
          <w:rFonts w:eastAsia="Times New Roman" w:cs="Tahoma"/>
          <w:b/>
          <w:color w:val="auto"/>
          <w:lang w:eastAsia="es-ES"/>
        </w:rPr>
      </w:pPr>
      <w:r w:rsidRPr="00A2355B">
        <w:rPr>
          <w:rFonts w:eastAsia="Times New Roman" w:cs="Tahoma"/>
          <w:b/>
          <w:color w:val="auto"/>
          <w:lang w:eastAsia="es-ES"/>
        </w:rPr>
        <w:t>I. Presentación de la solicitud de información:</w:t>
      </w:r>
    </w:p>
    <w:p w:rsidRPr="00A2355B" w:rsidR="00D8203F" w:rsidP="00E23B35" w:rsidRDefault="00D8203F" w14:paraId="2CA46D00" w14:textId="01152D4E">
      <w:pPr>
        <w:tabs>
          <w:tab w:val="left" w:pos="567"/>
        </w:tabs>
        <w:spacing w:after="0"/>
        <w:rPr>
          <w:rFonts w:eastAsia="Times New Roman" w:cs="Tahoma"/>
          <w:color w:val="auto"/>
          <w:lang w:eastAsia="es-ES"/>
        </w:rPr>
      </w:pPr>
    </w:p>
    <w:p w:rsidRPr="00A2355B" w:rsidR="00C138ED" w:rsidP="00E23B35" w:rsidRDefault="00C138ED" w14:paraId="375762E1" w14:textId="326E0F89">
      <w:pPr>
        <w:tabs>
          <w:tab w:val="left" w:pos="567"/>
        </w:tabs>
        <w:spacing w:after="0"/>
        <w:contextualSpacing/>
        <w:rPr>
          <w:rFonts w:eastAsia="Times New Roman" w:cs="Tahoma"/>
          <w:color w:val="auto"/>
          <w:lang w:eastAsia="es-ES"/>
        </w:rPr>
      </w:pPr>
      <w:r w:rsidRPr="00A2355B">
        <w:rPr>
          <w:rFonts w:eastAsia="Times New Roman" w:cs="Tahoma"/>
          <w:color w:val="auto"/>
          <w:lang w:eastAsia="es-ES"/>
        </w:rPr>
        <w:t xml:space="preserve">Con fecha </w:t>
      </w:r>
      <w:r w:rsidR="001B033A">
        <w:rPr>
          <w:rFonts w:eastAsia="Times New Roman" w:cs="Tahoma"/>
          <w:color w:val="auto"/>
          <w:lang w:eastAsia="es-ES"/>
        </w:rPr>
        <w:t>veinti</w:t>
      </w:r>
      <w:r w:rsidR="009E13DA">
        <w:rPr>
          <w:rFonts w:eastAsia="Times New Roman" w:cs="Tahoma"/>
          <w:color w:val="auto"/>
          <w:lang w:eastAsia="es-ES"/>
        </w:rPr>
        <w:t>siete de enero de dos mil veintidós</w:t>
      </w:r>
      <w:r w:rsidRPr="00A2355B">
        <w:rPr>
          <w:rFonts w:eastAsia="Times New Roman" w:cs="Tahoma"/>
          <w:color w:val="auto"/>
          <w:lang w:eastAsia="es-ES"/>
        </w:rPr>
        <w:t xml:space="preserve">, </w:t>
      </w:r>
      <w:r w:rsidRPr="00A2355B" w:rsidR="002351AB">
        <w:rPr>
          <w:rFonts w:eastAsia="Times New Roman" w:cs="Tahoma"/>
          <w:color w:val="auto"/>
          <w:lang w:eastAsia="es-ES"/>
        </w:rPr>
        <w:t>el Particular presentó una solicitud de acceso a la información pública</w:t>
      </w:r>
      <w:r w:rsidRPr="00A2355B" w:rsidR="008A5840">
        <w:rPr>
          <w:rFonts w:eastAsia="Times New Roman" w:cs="Tahoma"/>
          <w:color w:val="auto"/>
          <w:lang w:eastAsia="es-ES"/>
        </w:rPr>
        <w:t>,</w:t>
      </w:r>
      <w:r w:rsidRPr="00A2355B" w:rsidR="002351AB">
        <w:rPr>
          <w:rFonts w:eastAsia="Times New Roman" w:cs="Tahoma"/>
          <w:color w:val="auto"/>
          <w:lang w:eastAsia="es-ES"/>
        </w:rPr>
        <w:t xml:space="preserve"> a través del Sistema de Acceso a la Información Mexiquense (SAIMEX), ante el </w:t>
      </w:r>
      <w:r w:rsidR="009E13DA">
        <w:t>Ayuntamiento de Toluca</w:t>
      </w:r>
      <w:r w:rsidRPr="00A2355B">
        <w:rPr>
          <w:rFonts w:eastAsia="Batang" w:cs="Tahoma"/>
          <w:color w:val="auto"/>
          <w:lang w:val="es-ES" w:eastAsia="es-ES"/>
        </w:rPr>
        <w:t>,</w:t>
      </w:r>
      <w:r w:rsidRPr="00A2355B">
        <w:rPr>
          <w:rFonts w:cs="Tahoma"/>
          <w:b/>
          <w:bCs/>
          <w:lang w:val="es-ES"/>
        </w:rPr>
        <w:t xml:space="preserve"> </w:t>
      </w:r>
      <w:r w:rsidRPr="00A2355B" w:rsidR="008A5840">
        <w:rPr>
          <w:rFonts w:cs="Tahoma"/>
          <w:lang w:val="es-ES"/>
        </w:rPr>
        <w:t>en los siguientes términos:</w:t>
      </w:r>
    </w:p>
    <w:p w:rsidRPr="00A2355B" w:rsidR="00D8203F" w:rsidP="00E23B35" w:rsidRDefault="00D8203F" w14:paraId="174525F5" w14:textId="77777777">
      <w:pPr>
        <w:tabs>
          <w:tab w:val="left" w:pos="567"/>
        </w:tabs>
        <w:spacing w:after="0"/>
        <w:rPr>
          <w:rFonts w:eastAsia="Times New Roman" w:cs="Tahoma"/>
          <w:color w:val="auto"/>
          <w:lang w:eastAsia="es-ES"/>
        </w:rPr>
      </w:pPr>
    </w:p>
    <w:p w:rsidRPr="00A2355B" w:rsidR="00D8203F" w:rsidP="00E23B35" w:rsidRDefault="00D8203F" w14:paraId="52CDF51B" w14:textId="77777777">
      <w:pPr>
        <w:tabs>
          <w:tab w:val="left" w:pos="4667"/>
        </w:tabs>
        <w:spacing w:after="0"/>
        <w:ind w:left="567" w:right="567"/>
        <w:rPr>
          <w:rFonts w:eastAsia="Times New Roman" w:cs="Tahoma"/>
          <w:b/>
          <w:i/>
          <w:iCs/>
          <w:color w:val="auto"/>
          <w:sz w:val="20"/>
          <w:szCs w:val="20"/>
          <w:lang w:eastAsia="es-ES"/>
        </w:rPr>
      </w:pPr>
      <w:r w:rsidRPr="00A2355B">
        <w:rPr>
          <w:rFonts w:eastAsia="Times New Roman" w:cs="Tahoma"/>
          <w:b/>
          <w:i/>
          <w:iCs/>
          <w:color w:val="auto"/>
          <w:sz w:val="20"/>
          <w:szCs w:val="20"/>
          <w:lang w:eastAsia="es-ES"/>
        </w:rPr>
        <w:t>“DESCRIPCIÓN CLARA Y PRECISA DE LA INFORMACIÓN SOLICITADA.</w:t>
      </w:r>
    </w:p>
    <w:p w:rsidRPr="00A2355B" w:rsidR="00D8203F" w:rsidP="00E23B35" w:rsidRDefault="001B033A" w14:paraId="4240E320" w14:textId="1FDF5E35">
      <w:pPr>
        <w:widowControl w:val="0"/>
        <w:tabs>
          <w:tab w:val="left" w:pos="4667"/>
        </w:tabs>
        <w:spacing w:after="0"/>
        <w:ind w:left="567" w:right="567"/>
        <w:rPr>
          <w:rFonts w:eastAsia="Times New Roman" w:cs="Tahoma"/>
          <w:bCs/>
          <w:i/>
          <w:iCs/>
          <w:color w:val="auto"/>
          <w:sz w:val="20"/>
          <w:szCs w:val="20"/>
          <w:lang w:eastAsia="es-ES"/>
        </w:rPr>
      </w:pPr>
      <w:r w:rsidRPr="001B033A">
        <w:rPr>
          <w:rFonts w:eastAsia="Times New Roman" w:cs="Tahoma"/>
          <w:bCs/>
          <w:i/>
          <w:iCs/>
          <w:color w:val="auto"/>
          <w:sz w:val="20"/>
          <w:szCs w:val="20"/>
          <w:lang w:eastAsia="es-ES"/>
        </w:rPr>
        <w:t xml:space="preserve">Cuanto gastaron y que empresa se contrató para sanitizar los espacios públicos y edificios públicos, en mes de enero del 2022, tal y como lo informaron a través de sus redes sociales de la dirección General de servicios públicos “Ante el alza de contagios continuamos tomando medidas preventivas, </w:t>
      </w:r>
      <w:proofErr w:type="spellStart"/>
      <w:r w:rsidRPr="001B033A">
        <w:rPr>
          <w:rFonts w:eastAsia="Times New Roman" w:cs="Tahoma"/>
          <w:bCs/>
          <w:i/>
          <w:iCs/>
          <w:color w:val="auto"/>
          <w:sz w:val="20"/>
          <w:szCs w:val="20"/>
          <w:lang w:eastAsia="es-ES"/>
        </w:rPr>
        <w:t>sanitizando</w:t>
      </w:r>
      <w:proofErr w:type="spellEnd"/>
      <w:r w:rsidRPr="001B033A">
        <w:rPr>
          <w:rFonts w:eastAsia="Times New Roman" w:cs="Tahoma"/>
          <w:bCs/>
          <w:i/>
          <w:iCs/>
          <w:color w:val="auto"/>
          <w:sz w:val="20"/>
          <w:szCs w:val="20"/>
          <w:lang w:eastAsia="es-ES"/>
        </w:rPr>
        <w:t xml:space="preserve"> las áreas de cajas de recaudación, Informática, Gobierno Digital y la iglesia de Catedral.</w:t>
      </w:r>
      <w:r w:rsidRPr="00A2355B" w:rsidR="00D8203F">
        <w:rPr>
          <w:rFonts w:eastAsia="Times New Roman" w:cs="Tahoma"/>
          <w:bCs/>
          <w:i/>
          <w:iCs/>
          <w:color w:val="auto"/>
          <w:sz w:val="20"/>
          <w:szCs w:val="20"/>
          <w:lang w:eastAsia="es-ES"/>
        </w:rPr>
        <w:t xml:space="preserve">” (Sic) </w:t>
      </w:r>
    </w:p>
    <w:p w:rsidRPr="00A2355B" w:rsidR="00084170" w:rsidP="00E23B35" w:rsidRDefault="00084170" w14:paraId="42F3D394" w14:textId="77777777">
      <w:pPr>
        <w:tabs>
          <w:tab w:val="left" w:pos="4667"/>
        </w:tabs>
        <w:spacing w:after="0"/>
        <w:ind w:left="567" w:right="567"/>
        <w:rPr>
          <w:rFonts w:eastAsia="Times New Roman" w:cs="Tahoma"/>
          <w:bCs/>
          <w:i/>
          <w:iCs/>
          <w:color w:val="auto"/>
          <w:sz w:val="20"/>
          <w:szCs w:val="20"/>
          <w:lang w:eastAsia="es-ES"/>
        </w:rPr>
      </w:pPr>
    </w:p>
    <w:p w:rsidRPr="00A2355B" w:rsidR="00D8203F" w:rsidP="00E23B35" w:rsidRDefault="00D8203F" w14:paraId="59FEC259" w14:textId="77777777">
      <w:pPr>
        <w:tabs>
          <w:tab w:val="left" w:pos="4667"/>
        </w:tabs>
        <w:spacing w:after="0"/>
        <w:ind w:left="567" w:right="567"/>
        <w:rPr>
          <w:rFonts w:eastAsia="Times New Roman" w:cs="Tahoma"/>
          <w:b/>
          <w:bCs/>
          <w:i/>
          <w:iCs/>
          <w:color w:val="auto"/>
          <w:sz w:val="20"/>
          <w:lang w:eastAsia="es-ES"/>
        </w:rPr>
      </w:pPr>
      <w:r w:rsidRPr="00A2355B">
        <w:rPr>
          <w:rFonts w:eastAsia="Times New Roman" w:cs="Tahoma"/>
          <w:b/>
          <w:bCs/>
          <w:i/>
          <w:iCs/>
          <w:color w:val="auto"/>
          <w:sz w:val="20"/>
          <w:lang w:eastAsia="es-ES"/>
        </w:rPr>
        <w:t>“MODALIDAD DE ENTREGA</w:t>
      </w:r>
    </w:p>
    <w:p w:rsidRPr="00A2355B" w:rsidR="00D8203F" w:rsidP="00E23B35" w:rsidRDefault="00084170" w14:paraId="1D72B351" w14:textId="367AE76F">
      <w:pPr>
        <w:spacing w:after="0"/>
        <w:ind w:left="567" w:right="567"/>
        <w:rPr>
          <w:rFonts w:eastAsia="Times New Roman" w:cs="Arial"/>
          <w:bCs/>
          <w:i/>
          <w:iCs/>
          <w:color w:val="auto"/>
          <w:sz w:val="20"/>
          <w:lang w:eastAsia="es-ES"/>
        </w:rPr>
      </w:pPr>
      <w:r w:rsidRPr="00084170">
        <w:rPr>
          <w:rFonts w:eastAsia="Times New Roman" w:cs="Arial"/>
          <w:bCs/>
          <w:i/>
          <w:iCs/>
          <w:color w:val="auto"/>
          <w:sz w:val="20"/>
          <w:lang w:eastAsia="es-ES"/>
        </w:rPr>
        <w:t>A través del SAIMEX</w:t>
      </w:r>
      <w:r w:rsidRPr="00A2355B" w:rsidR="00D8203F">
        <w:rPr>
          <w:rFonts w:eastAsia="Times New Roman" w:cs="Arial"/>
          <w:bCs/>
          <w:i/>
          <w:iCs/>
          <w:color w:val="auto"/>
          <w:sz w:val="20"/>
          <w:lang w:eastAsia="es-ES"/>
        </w:rPr>
        <w:t>”</w:t>
      </w:r>
    </w:p>
    <w:p w:rsidRPr="00A2355B" w:rsidR="00D8203F" w:rsidP="00E23B35" w:rsidRDefault="00D8203F" w14:paraId="5455DBE1" w14:textId="77777777">
      <w:pPr>
        <w:spacing w:after="0"/>
        <w:rPr>
          <w:b/>
        </w:rPr>
      </w:pPr>
    </w:p>
    <w:p w:rsidRPr="00A2355B" w:rsidR="00D8203F" w:rsidP="00E23B35" w:rsidRDefault="00D8203F" w14:paraId="7CE11C14" w14:textId="77777777">
      <w:pPr>
        <w:spacing w:after="0"/>
        <w:rPr>
          <w:b/>
        </w:rPr>
      </w:pPr>
      <w:r w:rsidRPr="00A2355B">
        <w:rPr>
          <w:b/>
        </w:rPr>
        <w:lastRenderedPageBreak/>
        <w:t>II. Respuesta del Sujeto Obligado.</w:t>
      </w:r>
    </w:p>
    <w:p w:rsidRPr="00A2355B" w:rsidR="00D8203F" w:rsidP="00E23B35" w:rsidRDefault="00D8203F" w14:paraId="62FF2732" w14:textId="77777777">
      <w:pPr>
        <w:spacing w:after="0"/>
        <w:rPr>
          <w:rFonts w:eastAsia="Times New Roman" w:cs="Tahoma"/>
          <w:bCs/>
          <w:iCs/>
          <w:lang w:eastAsia="es-ES"/>
        </w:rPr>
      </w:pPr>
    </w:p>
    <w:p w:rsidR="00F97409" w:rsidP="00E23B35" w:rsidRDefault="00F97409" w14:paraId="4ECB2064" w14:textId="27CD133A">
      <w:pPr>
        <w:spacing w:after="0"/>
        <w:rPr>
          <w:rFonts w:eastAsia="Times New Roman" w:cs="Tahoma"/>
          <w:bCs/>
          <w:iCs/>
          <w:lang w:eastAsia="es-ES"/>
        </w:rPr>
      </w:pPr>
      <w:r w:rsidRPr="00A2355B">
        <w:rPr>
          <w:rFonts w:eastAsia="Times New Roman" w:cs="Tahoma"/>
          <w:bCs/>
          <w:iCs/>
          <w:lang w:eastAsia="es-ES"/>
        </w:rPr>
        <w:t xml:space="preserve">Con fecha </w:t>
      </w:r>
      <w:r w:rsidR="00F55196">
        <w:rPr>
          <w:rFonts w:eastAsia="Times New Roman" w:cs="Tahoma"/>
          <w:bCs/>
          <w:iCs/>
          <w:lang w:eastAsia="es-ES"/>
        </w:rPr>
        <w:t>dieci</w:t>
      </w:r>
      <w:r w:rsidR="00F55758">
        <w:rPr>
          <w:rFonts w:eastAsia="Times New Roman" w:cs="Tahoma"/>
          <w:bCs/>
          <w:iCs/>
          <w:lang w:eastAsia="es-ES"/>
        </w:rPr>
        <w:t>ocho de febrero de dos mil veintidós</w:t>
      </w:r>
      <w:r w:rsidRPr="00A2355B" w:rsidR="00D8203F">
        <w:rPr>
          <w:rFonts w:eastAsia="Times New Roman" w:cs="Tahoma"/>
          <w:bCs/>
          <w:iCs/>
          <w:lang w:eastAsia="es-ES"/>
        </w:rPr>
        <w:t>, el</w:t>
      </w:r>
      <w:r w:rsidR="009E13DA">
        <w:rPr>
          <w:rFonts w:eastAsia="Times New Roman" w:cs="Tahoma"/>
          <w:bCs/>
          <w:iCs/>
          <w:lang w:eastAsia="es-ES"/>
        </w:rPr>
        <w:t xml:space="preserve"> Ayuntamiento de Toluca</w:t>
      </w:r>
      <w:r w:rsidRPr="00A2355B" w:rsidR="00D8203F">
        <w:rPr>
          <w:rFonts w:eastAsia="Times New Roman" w:cs="Tahoma"/>
          <w:bCs/>
          <w:iCs/>
          <w:lang w:eastAsia="es-ES"/>
        </w:rPr>
        <w:t xml:space="preserve">, a través del Sistema de Acceso a la Información Mexiquense (SAIMEX), notificó la respuesta </w:t>
      </w:r>
      <w:r w:rsidRPr="00A2355B" w:rsidR="008A5840">
        <w:rPr>
          <w:rFonts w:eastAsia="Times New Roman" w:cs="Tahoma"/>
          <w:bCs/>
          <w:iCs/>
          <w:lang w:eastAsia="es-ES"/>
        </w:rPr>
        <w:t>al</w:t>
      </w:r>
      <w:r w:rsidRPr="00A2355B" w:rsidR="00D8203F">
        <w:rPr>
          <w:rFonts w:eastAsia="Times New Roman" w:cs="Tahoma"/>
          <w:bCs/>
          <w:iCs/>
          <w:lang w:eastAsia="es-ES"/>
        </w:rPr>
        <w:t xml:space="preserve"> Solicitante, por medio del oficio</w:t>
      </w:r>
      <w:r w:rsidR="00F55758">
        <w:rPr>
          <w:rFonts w:eastAsia="Times New Roman" w:cs="Tahoma"/>
          <w:bCs/>
          <w:iCs/>
          <w:lang w:eastAsia="es-ES"/>
        </w:rPr>
        <w:t xml:space="preserve"> sin</w:t>
      </w:r>
      <w:r w:rsidRPr="00A2355B" w:rsidR="00D8203F">
        <w:rPr>
          <w:rFonts w:eastAsia="Times New Roman" w:cs="Tahoma"/>
          <w:bCs/>
          <w:iCs/>
          <w:lang w:eastAsia="es-ES"/>
        </w:rPr>
        <w:t xml:space="preserve"> número</w:t>
      </w:r>
      <w:r w:rsidRPr="00A2355B" w:rsidR="008A5840">
        <w:rPr>
          <w:rFonts w:eastAsia="Times New Roman" w:cs="Tahoma"/>
          <w:bCs/>
          <w:iCs/>
          <w:lang w:eastAsia="es-ES"/>
        </w:rPr>
        <w:t xml:space="preserve">, </w:t>
      </w:r>
      <w:r w:rsidR="00C029E2">
        <w:rPr>
          <w:rFonts w:eastAsia="Times New Roman" w:cs="Tahoma"/>
          <w:bCs/>
          <w:iCs/>
          <w:lang w:eastAsia="es-ES"/>
        </w:rPr>
        <w:t>de la misma fecha de contestación</w:t>
      </w:r>
      <w:r w:rsidRPr="00A2355B" w:rsidR="008A5840">
        <w:rPr>
          <w:rFonts w:eastAsia="Times New Roman" w:cs="Tahoma"/>
          <w:bCs/>
          <w:iCs/>
          <w:lang w:eastAsia="es-ES"/>
        </w:rPr>
        <w:t>,</w:t>
      </w:r>
      <w:r w:rsidRPr="00A2355B">
        <w:rPr>
          <w:rFonts w:eastAsia="Times New Roman" w:cs="Tahoma"/>
          <w:bCs/>
          <w:iCs/>
          <w:lang w:eastAsia="es-ES"/>
        </w:rPr>
        <w:t xml:space="preserve"> suscrito por la Titular de la Unidad de Transparencia, por medio del cual </w:t>
      </w:r>
      <w:r w:rsidRPr="00A2355B" w:rsidR="008A5840">
        <w:rPr>
          <w:rFonts w:eastAsia="Times New Roman" w:cs="Tahoma"/>
          <w:bCs/>
          <w:iCs/>
          <w:lang w:eastAsia="es-ES"/>
        </w:rPr>
        <w:t xml:space="preserve">precisa </w:t>
      </w:r>
      <w:r w:rsidR="00C029E2">
        <w:rPr>
          <w:rFonts w:eastAsia="Times New Roman" w:cs="Tahoma"/>
          <w:bCs/>
          <w:iCs/>
          <w:lang w:eastAsia="es-ES"/>
        </w:rPr>
        <w:t>lo siguiente:</w:t>
      </w:r>
    </w:p>
    <w:p w:rsidR="00C029E2" w:rsidP="00E23B35" w:rsidRDefault="00C029E2" w14:paraId="2F254AD1" w14:textId="77777777">
      <w:pPr>
        <w:spacing w:after="0"/>
        <w:rPr>
          <w:rFonts w:eastAsia="Times New Roman" w:cs="Tahoma"/>
          <w:bCs/>
          <w:iCs/>
          <w:lang w:eastAsia="es-ES"/>
        </w:rPr>
      </w:pPr>
    </w:p>
    <w:p w:rsidR="00F55196" w:rsidP="00E23B35" w:rsidRDefault="00C029E2" w14:paraId="471995F4" w14:textId="0165DBBD">
      <w:pPr>
        <w:spacing w:after="0"/>
        <w:ind w:left="567" w:right="567"/>
        <w:rPr>
          <w:rFonts w:eastAsia="Times New Roman" w:cs="Tahoma"/>
          <w:bCs/>
          <w:i/>
          <w:iCs/>
          <w:sz w:val="20"/>
          <w:lang w:eastAsia="es-ES"/>
        </w:rPr>
      </w:pPr>
      <w:r w:rsidRPr="00C029E2">
        <w:rPr>
          <w:rFonts w:eastAsia="Times New Roman" w:cs="Tahoma"/>
          <w:bCs/>
          <w:i/>
          <w:iCs/>
          <w:sz w:val="20"/>
          <w:lang w:eastAsia="es-ES"/>
        </w:rPr>
        <w:t>“…</w:t>
      </w:r>
      <w:r w:rsidR="00F55196">
        <w:rPr>
          <w:rFonts w:eastAsia="Times New Roman" w:cs="Tahoma"/>
          <w:bCs/>
          <w:i/>
          <w:iCs/>
          <w:sz w:val="20"/>
          <w:lang w:eastAsia="es-ES"/>
        </w:rPr>
        <w:t xml:space="preserve">hago de su conocimiento que la Directora General de </w:t>
      </w:r>
      <w:r w:rsidR="000C67BD">
        <w:rPr>
          <w:rFonts w:eastAsia="Times New Roman" w:cs="Tahoma"/>
          <w:bCs/>
          <w:i/>
          <w:iCs/>
          <w:sz w:val="20"/>
          <w:lang w:eastAsia="es-ES"/>
        </w:rPr>
        <w:t>Administración</w:t>
      </w:r>
      <w:r w:rsidR="00F55196">
        <w:rPr>
          <w:rFonts w:eastAsia="Times New Roman" w:cs="Tahoma"/>
          <w:bCs/>
          <w:i/>
          <w:iCs/>
          <w:sz w:val="20"/>
          <w:lang w:eastAsia="es-ES"/>
        </w:rPr>
        <w:t xml:space="preserve"> y Servidora Pública Habilitada </w:t>
      </w:r>
      <w:r w:rsidR="000C67BD">
        <w:rPr>
          <w:rFonts w:eastAsia="Times New Roman" w:cs="Tahoma"/>
          <w:bCs/>
          <w:i/>
          <w:iCs/>
          <w:sz w:val="20"/>
          <w:lang w:eastAsia="es-ES"/>
        </w:rPr>
        <w:t>informó</w:t>
      </w:r>
      <w:r w:rsidR="00F55196">
        <w:rPr>
          <w:rFonts w:eastAsia="Times New Roman" w:cs="Tahoma"/>
          <w:bCs/>
          <w:i/>
          <w:iCs/>
          <w:sz w:val="20"/>
          <w:lang w:eastAsia="es-ES"/>
        </w:rPr>
        <w:t xml:space="preserve"> a la </w:t>
      </w:r>
      <w:r w:rsidR="000C67BD">
        <w:rPr>
          <w:rFonts w:eastAsia="Times New Roman" w:cs="Tahoma"/>
          <w:bCs/>
          <w:i/>
          <w:iCs/>
          <w:sz w:val="20"/>
          <w:lang w:eastAsia="es-ES"/>
        </w:rPr>
        <w:t>que</w:t>
      </w:r>
      <w:r w:rsidR="00F55196">
        <w:rPr>
          <w:rFonts w:eastAsia="Times New Roman" w:cs="Tahoma"/>
          <w:bCs/>
          <w:i/>
          <w:iCs/>
          <w:sz w:val="20"/>
          <w:lang w:eastAsia="es-ES"/>
        </w:rPr>
        <w:t xml:space="preserve"> suscribe, derivado de una búsqueda exhaustiva y minuciosa en los archivos que obran en la </w:t>
      </w:r>
      <w:r w:rsidR="000C67BD">
        <w:rPr>
          <w:rFonts w:eastAsia="Times New Roman" w:cs="Tahoma"/>
          <w:bCs/>
          <w:i/>
          <w:iCs/>
          <w:sz w:val="20"/>
          <w:lang w:eastAsia="es-ES"/>
        </w:rPr>
        <w:t>Dirección</w:t>
      </w:r>
      <w:r w:rsidR="00F55196">
        <w:rPr>
          <w:rFonts w:eastAsia="Times New Roman" w:cs="Tahoma"/>
          <w:bCs/>
          <w:i/>
          <w:iCs/>
          <w:sz w:val="20"/>
          <w:lang w:eastAsia="es-ES"/>
        </w:rPr>
        <w:t xml:space="preserve"> de </w:t>
      </w:r>
      <w:r w:rsidR="000C67BD">
        <w:rPr>
          <w:rFonts w:eastAsia="Times New Roman" w:cs="Tahoma"/>
          <w:bCs/>
          <w:i/>
          <w:iCs/>
          <w:sz w:val="20"/>
          <w:lang w:eastAsia="es-ES"/>
        </w:rPr>
        <w:t>Recursos</w:t>
      </w:r>
      <w:r w:rsidR="00F55196">
        <w:rPr>
          <w:rFonts w:eastAsia="Times New Roman" w:cs="Tahoma"/>
          <w:bCs/>
          <w:i/>
          <w:iCs/>
          <w:sz w:val="20"/>
          <w:lang w:eastAsia="es-ES"/>
        </w:rPr>
        <w:t xml:space="preserve"> Materiales, hago de su conocimiento que no se localizaron registros, datos o información relacionada a la contratación de servicios o adquisición  de </w:t>
      </w:r>
      <w:r w:rsidR="00342014">
        <w:rPr>
          <w:rFonts w:eastAsia="Times New Roman" w:cs="Tahoma"/>
          <w:bCs/>
          <w:i/>
          <w:iCs/>
          <w:sz w:val="20"/>
          <w:lang w:eastAsia="es-ES"/>
        </w:rPr>
        <w:t>bienes,</w:t>
      </w:r>
      <w:r w:rsidR="00F55196">
        <w:rPr>
          <w:rFonts w:eastAsia="Times New Roman" w:cs="Tahoma"/>
          <w:bCs/>
          <w:i/>
          <w:iCs/>
          <w:sz w:val="20"/>
          <w:lang w:eastAsia="es-ES"/>
        </w:rPr>
        <w:t xml:space="preserve"> para sanitizar los </w:t>
      </w:r>
      <w:r w:rsidR="000C67BD">
        <w:rPr>
          <w:rFonts w:eastAsia="Times New Roman" w:cs="Tahoma"/>
          <w:bCs/>
          <w:i/>
          <w:iCs/>
          <w:sz w:val="20"/>
          <w:lang w:eastAsia="es-ES"/>
        </w:rPr>
        <w:t>espacios</w:t>
      </w:r>
      <w:r w:rsidR="00F55196">
        <w:rPr>
          <w:rFonts w:eastAsia="Times New Roman" w:cs="Tahoma"/>
          <w:bCs/>
          <w:i/>
          <w:iCs/>
          <w:sz w:val="20"/>
          <w:lang w:eastAsia="es-ES"/>
        </w:rPr>
        <w:t xml:space="preserve"> </w:t>
      </w:r>
      <w:r w:rsidR="000C67BD">
        <w:rPr>
          <w:rFonts w:eastAsia="Times New Roman" w:cs="Tahoma"/>
          <w:bCs/>
          <w:i/>
          <w:iCs/>
          <w:sz w:val="20"/>
          <w:lang w:eastAsia="es-ES"/>
        </w:rPr>
        <w:t>públicos</w:t>
      </w:r>
      <w:r w:rsidR="00F55196">
        <w:rPr>
          <w:rFonts w:eastAsia="Times New Roman" w:cs="Tahoma"/>
          <w:bCs/>
          <w:i/>
          <w:iCs/>
          <w:sz w:val="20"/>
          <w:lang w:eastAsia="es-ES"/>
        </w:rPr>
        <w:t xml:space="preserve"> y edificios públicos, en el mes de enero de 2022.</w:t>
      </w:r>
    </w:p>
    <w:p w:rsidR="00F55196" w:rsidP="00E23B35" w:rsidRDefault="00F55196" w14:paraId="3380F85F" w14:textId="77777777">
      <w:pPr>
        <w:spacing w:after="0"/>
        <w:ind w:left="567" w:right="567"/>
        <w:rPr>
          <w:rFonts w:eastAsia="Times New Roman" w:cs="Tahoma"/>
          <w:bCs/>
          <w:i/>
          <w:iCs/>
          <w:sz w:val="20"/>
          <w:lang w:eastAsia="es-ES"/>
        </w:rPr>
      </w:pPr>
    </w:p>
    <w:p w:rsidRPr="00C029E2" w:rsidR="00F55196" w:rsidP="00E23B35" w:rsidRDefault="00F55196" w14:paraId="25F162AC" w14:textId="61A06DCD">
      <w:pPr>
        <w:spacing w:after="0"/>
        <w:ind w:left="567" w:right="567"/>
        <w:rPr>
          <w:rFonts w:eastAsia="Times New Roman" w:cs="Tahoma"/>
          <w:bCs/>
          <w:i/>
          <w:iCs/>
          <w:sz w:val="20"/>
          <w:lang w:eastAsia="es-ES"/>
        </w:rPr>
      </w:pPr>
      <w:r>
        <w:rPr>
          <w:rFonts w:eastAsia="Times New Roman" w:cs="Tahoma"/>
          <w:bCs/>
          <w:i/>
          <w:iCs/>
          <w:sz w:val="20"/>
          <w:lang w:eastAsia="es-ES"/>
        </w:rPr>
        <w:t xml:space="preserve">Bajo esa misma tesitura el Tesorero Municipal y Servidor Público Habilitado informó </w:t>
      </w:r>
      <w:r w:rsidR="00342014">
        <w:rPr>
          <w:rFonts w:eastAsia="Times New Roman" w:cs="Tahoma"/>
          <w:bCs/>
          <w:i/>
          <w:iCs/>
          <w:sz w:val="20"/>
          <w:lang w:eastAsia="es-ES"/>
        </w:rPr>
        <w:t>q</w:t>
      </w:r>
      <w:r>
        <w:rPr>
          <w:rFonts w:eastAsia="Times New Roman" w:cs="Tahoma"/>
          <w:bCs/>
          <w:i/>
          <w:iCs/>
          <w:sz w:val="20"/>
          <w:lang w:eastAsia="es-ES"/>
        </w:rPr>
        <w:t xml:space="preserve">ue una vez realizada la búsqueda exhaustiva en los archivos que </w:t>
      </w:r>
      <w:r w:rsidR="000C67BD">
        <w:rPr>
          <w:rFonts w:eastAsia="Times New Roman" w:cs="Tahoma"/>
          <w:bCs/>
          <w:i/>
          <w:iCs/>
          <w:sz w:val="20"/>
          <w:lang w:eastAsia="es-ES"/>
        </w:rPr>
        <w:t>obran</w:t>
      </w:r>
      <w:r>
        <w:rPr>
          <w:rFonts w:eastAsia="Times New Roman" w:cs="Tahoma"/>
          <w:bCs/>
          <w:i/>
          <w:iCs/>
          <w:sz w:val="20"/>
          <w:lang w:eastAsia="es-ES"/>
        </w:rPr>
        <w:t xml:space="preserve"> en esta Tesorería, no se </w:t>
      </w:r>
      <w:r w:rsidR="000C67BD">
        <w:rPr>
          <w:rFonts w:eastAsia="Times New Roman" w:cs="Tahoma"/>
          <w:bCs/>
          <w:i/>
          <w:iCs/>
          <w:sz w:val="20"/>
          <w:lang w:eastAsia="es-ES"/>
        </w:rPr>
        <w:t>localizó</w:t>
      </w:r>
      <w:r>
        <w:rPr>
          <w:rFonts w:eastAsia="Times New Roman" w:cs="Tahoma"/>
          <w:bCs/>
          <w:i/>
          <w:iCs/>
          <w:sz w:val="20"/>
          <w:lang w:eastAsia="es-ES"/>
        </w:rPr>
        <w:t xml:space="preserve"> información, en virtud de que a</w:t>
      </w:r>
      <w:r w:rsidR="000C67BD">
        <w:rPr>
          <w:rFonts w:eastAsia="Times New Roman" w:cs="Tahoma"/>
          <w:bCs/>
          <w:i/>
          <w:iCs/>
          <w:sz w:val="20"/>
          <w:lang w:eastAsia="es-ES"/>
        </w:rPr>
        <w:t xml:space="preserve"> </w:t>
      </w:r>
      <w:r>
        <w:rPr>
          <w:rFonts w:eastAsia="Times New Roman" w:cs="Tahoma"/>
          <w:bCs/>
          <w:i/>
          <w:iCs/>
          <w:sz w:val="20"/>
          <w:lang w:eastAsia="es-ES"/>
        </w:rPr>
        <w:t>la fecha el área competente no ha turnado información alguna para pago bajo ese concepto, en consecuencia no se ha realizado erogación al respecto.</w:t>
      </w:r>
    </w:p>
    <w:p w:rsidRPr="00C029E2" w:rsidR="00C029E2" w:rsidP="00E23B35" w:rsidRDefault="00C029E2" w14:paraId="6AB5E466" w14:textId="7237831A">
      <w:pPr>
        <w:spacing w:after="0"/>
        <w:ind w:left="567" w:right="567"/>
        <w:rPr>
          <w:rFonts w:eastAsia="Times New Roman" w:cs="Tahoma"/>
          <w:bCs/>
          <w:i/>
          <w:iCs/>
          <w:sz w:val="20"/>
          <w:lang w:eastAsia="es-ES"/>
        </w:rPr>
      </w:pPr>
      <w:r w:rsidRPr="00C029E2">
        <w:rPr>
          <w:rFonts w:eastAsia="Times New Roman" w:cs="Tahoma"/>
          <w:bCs/>
          <w:i/>
          <w:iCs/>
          <w:sz w:val="20"/>
          <w:lang w:eastAsia="es-ES"/>
        </w:rPr>
        <w:t>…”</w:t>
      </w:r>
    </w:p>
    <w:p w:rsidRPr="00A2355B" w:rsidR="007B0411" w:rsidP="00E23B35" w:rsidRDefault="007B0411" w14:paraId="6CFE54A7" w14:textId="77777777">
      <w:pPr>
        <w:spacing w:after="0"/>
        <w:rPr>
          <w:rFonts w:eastAsia="Times New Roman" w:cs="Tahoma"/>
          <w:bCs/>
          <w:iCs/>
          <w:lang w:eastAsia="es-ES"/>
        </w:rPr>
      </w:pPr>
    </w:p>
    <w:p w:rsidRPr="00A2355B" w:rsidR="00D8203F" w:rsidP="00E23B35" w:rsidRDefault="00D8203F" w14:paraId="21F292FF" w14:textId="77777777">
      <w:pPr>
        <w:spacing w:after="0"/>
        <w:rPr>
          <w:b/>
          <w:bCs/>
        </w:rPr>
      </w:pPr>
      <w:r w:rsidRPr="00A2355B">
        <w:rPr>
          <w:b/>
          <w:bCs/>
        </w:rPr>
        <w:t xml:space="preserve">III. Interposición del Recurso de Revisión. </w:t>
      </w:r>
    </w:p>
    <w:p w:rsidRPr="00A2355B" w:rsidR="00D8203F" w:rsidP="00E23B35" w:rsidRDefault="00D8203F" w14:paraId="71FE0651" w14:textId="77777777">
      <w:pPr>
        <w:spacing w:after="0"/>
        <w:rPr>
          <w:b/>
          <w:bCs/>
        </w:rPr>
      </w:pPr>
    </w:p>
    <w:p w:rsidRPr="00A2355B" w:rsidR="007B0411" w:rsidP="00E23B35" w:rsidRDefault="007B0411" w14:paraId="7E37C3DB" w14:textId="5D98EE02">
      <w:pPr>
        <w:spacing w:after="0"/>
      </w:pPr>
      <w:r w:rsidRPr="00A2355B">
        <w:rPr>
          <w:rFonts w:eastAsia="Times New Roman" w:cs="Tahoma"/>
          <w:color w:val="auto"/>
          <w:lang w:eastAsia="es-ES"/>
        </w:rPr>
        <w:t xml:space="preserve">Con fecha </w:t>
      </w:r>
      <w:r w:rsidR="000C67BD">
        <w:rPr>
          <w:rFonts w:eastAsia="Times New Roman" w:cs="Tahoma"/>
          <w:color w:val="auto"/>
          <w:lang w:eastAsia="es-ES"/>
        </w:rPr>
        <w:t>veintiuno</w:t>
      </w:r>
      <w:r w:rsidR="00152D75">
        <w:rPr>
          <w:rFonts w:eastAsia="Times New Roman" w:cs="Tahoma"/>
          <w:color w:val="auto"/>
          <w:lang w:eastAsia="es-ES"/>
        </w:rPr>
        <w:t xml:space="preserve"> de febrero de dos mil veintidós</w:t>
      </w:r>
      <w:r w:rsidRPr="00A2355B">
        <w:rPr>
          <w:rFonts w:eastAsia="Times New Roman" w:cs="Tahoma"/>
          <w:color w:val="auto"/>
          <w:lang w:eastAsia="es-ES"/>
        </w:rPr>
        <w:t xml:space="preserve">, </w:t>
      </w:r>
      <w:r w:rsidRPr="00A2355B" w:rsidR="00BD08C5">
        <w:t xml:space="preserve">se </w:t>
      </w:r>
      <w:r w:rsidRPr="00A2355B" w:rsidR="00CA1B00">
        <w:t>tuvo por recibido</w:t>
      </w:r>
      <w:r w:rsidRPr="00A2355B" w:rsidR="00BD08C5">
        <w:t xml:space="preserve"> en este Instituto, a través del Sistema</w:t>
      </w:r>
      <w:r w:rsidRPr="00A2355B" w:rsidR="00BD08C5">
        <w:rPr>
          <w:lang w:val="es-ES"/>
        </w:rPr>
        <w:t xml:space="preserve"> de Acceso a la Información Mexiquense (SAIMEX)</w:t>
      </w:r>
      <w:r w:rsidRPr="00A2355B" w:rsidR="00BD08C5">
        <w:t>, el Recurso de Revisión interpuesto por la parte Recurrente</w:t>
      </w:r>
      <w:r w:rsidRPr="00A2355B">
        <w:rPr>
          <w:rFonts w:eastAsia="Batang" w:cs="Tahoma"/>
          <w:color w:val="auto"/>
          <w:lang w:val="es-ES" w:eastAsia="es-ES"/>
        </w:rPr>
        <w:t>,</w:t>
      </w:r>
      <w:r w:rsidRPr="00A2355B" w:rsidR="00BD08C5">
        <w:rPr>
          <w:rFonts w:eastAsia="Batang" w:cs="Tahoma"/>
          <w:color w:val="auto"/>
          <w:lang w:val="es-ES" w:eastAsia="es-ES"/>
        </w:rPr>
        <w:t xml:space="preserve"> </w:t>
      </w:r>
      <w:r w:rsidRPr="00A2355B" w:rsidR="00BD08C5">
        <w:t>en contra de la respuesta del Sujeto Obligado</w:t>
      </w:r>
      <w:r w:rsidRPr="00A2355B" w:rsidR="00CA1B00">
        <w:rPr>
          <w:rFonts w:cs="Tahoma"/>
          <w:b/>
          <w:bCs/>
          <w:lang w:val="es-ES"/>
        </w:rPr>
        <w:t xml:space="preserve">, </w:t>
      </w:r>
      <w:r w:rsidRPr="00A2355B" w:rsidR="00BD08C5">
        <w:rPr>
          <w:rFonts w:cs="Tahoma"/>
          <w:lang w:val="es-ES"/>
        </w:rPr>
        <w:t xml:space="preserve">en los siguientes términos: </w:t>
      </w:r>
    </w:p>
    <w:p w:rsidRPr="00A2355B" w:rsidR="00D8203F" w:rsidP="00E23B35" w:rsidRDefault="00D8203F" w14:paraId="32EC2427" w14:textId="77777777">
      <w:pPr>
        <w:spacing w:after="0"/>
      </w:pPr>
    </w:p>
    <w:p w:rsidRPr="00A2355B" w:rsidR="00D8203F" w:rsidP="00E23B35" w:rsidRDefault="00D8203F" w14:paraId="2833A950" w14:textId="77777777">
      <w:pPr>
        <w:spacing w:after="0"/>
        <w:ind w:left="567" w:right="567"/>
        <w:rPr>
          <w:bCs/>
          <w:i/>
          <w:sz w:val="20"/>
          <w:szCs w:val="20"/>
        </w:rPr>
      </w:pPr>
      <w:r w:rsidRPr="00A2355B">
        <w:rPr>
          <w:b/>
          <w:bCs/>
          <w:i/>
          <w:sz w:val="20"/>
          <w:szCs w:val="20"/>
        </w:rPr>
        <w:t>“ACTO IMPUGNADO</w:t>
      </w:r>
    </w:p>
    <w:p w:rsidRPr="00A2355B" w:rsidR="00D8203F" w:rsidP="00E23B35" w:rsidRDefault="00152D75" w14:paraId="60F31DEE" w14:textId="0D48F87F">
      <w:pPr>
        <w:spacing w:after="0"/>
        <w:ind w:left="567" w:right="567"/>
        <w:rPr>
          <w:i/>
          <w:sz w:val="20"/>
          <w:szCs w:val="20"/>
        </w:rPr>
      </w:pPr>
      <w:r w:rsidRPr="00152D75">
        <w:rPr>
          <w:i/>
          <w:sz w:val="20"/>
          <w:szCs w:val="20"/>
        </w:rPr>
        <w:t>LA RESPUESTA PROPORCIONADA</w:t>
      </w:r>
      <w:r w:rsidRPr="00A2355B" w:rsidR="00BD08C5">
        <w:rPr>
          <w:i/>
          <w:sz w:val="20"/>
          <w:szCs w:val="20"/>
        </w:rPr>
        <w:t>.</w:t>
      </w:r>
      <w:r w:rsidRPr="00A2355B" w:rsidR="00D8203F">
        <w:rPr>
          <w:i/>
          <w:sz w:val="20"/>
          <w:szCs w:val="20"/>
        </w:rPr>
        <w:t>” (Sic.)</w:t>
      </w:r>
    </w:p>
    <w:p w:rsidR="00D8203F" w:rsidP="00E23B35" w:rsidRDefault="00D8203F" w14:paraId="69D01251" w14:textId="77777777">
      <w:pPr>
        <w:spacing w:after="0"/>
        <w:ind w:left="567" w:right="567"/>
        <w:rPr>
          <w:i/>
          <w:sz w:val="20"/>
          <w:szCs w:val="20"/>
        </w:rPr>
      </w:pPr>
    </w:p>
    <w:p w:rsidRPr="00A2355B" w:rsidR="00BD08C5" w:rsidP="00E23B35" w:rsidRDefault="00D8203F" w14:paraId="46664227" w14:textId="61AAD6B7">
      <w:pPr>
        <w:spacing w:after="0"/>
        <w:ind w:left="567" w:right="567"/>
        <w:rPr>
          <w:b/>
          <w:i/>
          <w:sz w:val="20"/>
          <w:szCs w:val="20"/>
        </w:rPr>
      </w:pPr>
      <w:r w:rsidRPr="00A2355B">
        <w:rPr>
          <w:b/>
          <w:i/>
          <w:sz w:val="20"/>
          <w:szCs w:val="20"/>
        </w:rPr>
        <w:lastRenderedPageBreak/>
        <w:t>“RAZONES O MOTIVOS DE LA INCONFORMIDAD</w:t>
      </w:r>
    </w:p>
    <w:p w:rsidRPr="00A2355B" w:rsidR="00D8203F" w:rsidP="00E23B35" w:rsidRDefault="000C67BD" w14:paraId="4DE18E01" w14:textId="77786C4D">
      <w:pPr>
        <w:spacing w:after="0"/>
        <w:ind w:left="567" w:right="567"/>
        <w:rPr>
          <w:i/>
          <w:sz w:val="20"/>
          <w:szCs w:val="20"/>
        </w:rPr>
      </w:pPr>
      <w:r w:rsidRPr="000C67BD">
        <w:rPr>
          <w:i/>
          <w:sz w:val="20"/>
          <w:szCs w:val="20"/>
        </w:rPr>
        <w:t xml:space="preserve">No me entregaron los oficios de las </w:t>
      </w:r>
      <w:proofErr w:type="spellStart"/>
      <w:r w:rsidRPr="000C67BD">
        <w:rPr>
          <w:i/>
          <w:sz w:val="20"/>
          <w:szCs w:val="20"/>
        </w:rPr>
        <w:t>areas</w:t>
      </w:r>
      <w:proofErr w:type="spellEnd"/>
      <w:r w:rsidRPr="000C67BD">
        <w:rPr>
          <w:i/>
          <w:sz w:val="20"/>
          <w:szCs w:val="20"/>
        </w:rPr>
        <w:t xml:space="preserve"> que atendieron la solicitud.</w:t>
      </w:r>
      <w:r w:rsidRPr="00A2355B" w:rsidR="00D8203F">
        <w:rPr>
          <w:i/>
          <w:sz w:val="20"/>
          <w:szCs w:val="20"/>
        </w:rPr>
        <w:t>” (Sic.)</w:t>
      </w:r>
    </w:p>
    <w:p w:rsidRPr="00A2355B" w:rsidR="00D8203F" w:rsidP="00E23B35" w:rsidRDefault="00D8203F" w14:paraId="6111A3B0" w14:textId="77777777">
      <w:pPr>
        <w:spacing w:after="0"/>
      </w:pPr>
    </w:p>
    <w:p w:rsidRPr="00A2355B" w:rsidR="00D8203F" w:rsidP="00E23B35" w:rsidRDefault="00D8203F" w14:paraId="7CC18348" w14:textId="77777777">
      <w:pPr>
        <w:spacing w:after="0"/>
        <w:rPr>
          <w:b/>
          <w:bCs/>
        </w:rPr>
      </w:pPr>
      <w:r w:rsidRPr="00A2355B">
        <w:rPr>
          <w:b/>
          <w:bCs/>
        </w:rPr>
        <w:t>IV. Trámite del Recurso de Revisión ante el Instituto.</w:t>
      </w:r>
    </w:p>
    <w:p w:rsidRPr="00A2355B" w:rsidR="00D8203F" w:rsidP="00E23B35" w:rsidRDefault="00D8203F" w14:paraId="26D65406" w14:textId="77777777">
      <w:pPr>
        <w:spacing w:after="0"/>
      </w:pPr>
    </w:p>
    <w:p w:rsidRPr="00A2355B" w:rsidR="00D8203F" w:rsidP="00E23B35" w:rsidRDefault="00D8203F" w14:paraId="07622F31" w14:textId="4890524F">
      <w:pPr>
        <w:spacing w:after="0"/>
        <w:rPr>
          <w:rFonts w:eastAsia="Batang" w:cs="Tahoma"/>
          <w:bCs/>
          <w:lang w:eastAsia="es-ES"/>
        </w:rPr>
      </w:pPr>
      <w:r w:rsidRPr="00A2355B">
        <w:rPr>
          <w:b/>
          <w:bCs/>
        </w:rPr>
        <w:t xml:space="preserve">a) Turno del Recurso de Revisión. </w:t>
      </w:r>
      <w:r w:rsidRPr="00A2355B">
        <w:t xml:space="preserve">El </w:t>
      </w:r>
      <w:r w:rsidR="000C67BD">
        <w:t>veintiuno</w:t>
      </w:r>
      <w:r w:rsidR="00152D75">
        <w:t xml:space="preserve"> de febrero  de dos mil veintidós</w:t>
      </w:r>
      <w:r w:rsidRPr="00A2355B">
        <w:rPr>
          <w:rFonts w:eastAsia="Batang" w:cs="Tahoma"/>
          <w:bCs/>
          <w:lang w:eastAsia="es-ES"/>
        </w:rPr>
        <w:t xml:space="preserve">, el </w:t>
      </w:r>
      <w:r w:rsidRPr="00A2355B">
        <w:rPr>
          <w:rFonts w:eastAsia="Times New Roman" w:cs="Tahoma"/>
          <w:lang w:val="es-ES" w:eastAsia="es-ES"/>
        </w:rPr>
        <w:t>Sistema de Acceso a la Información Mexiquense (SAIMEX),</w:t>
      </w:r>
      <w:r w:rsidRPr="00A2355B">
        <w:rPr>
          <w:rFonts w:eastAsia="Batang" w:cs="Tahoma"/>
          <w:bCs/>
          <w:lang w:eastAsia="es-ES"/>
        </w:rPr>
        <w:t xml:space="preserve"> asignó el número de expediente </w:t>
      </w:r>
      <w:r w:rsidRPr="000C67BD" w:rsidR="000C67BD">
        <w:rPr>
          <w:rFonts w:eastAsia="Batang" w:cs="Tahoma"/>
          <w:b/>
          <w:bCs/>
          <w:lang w:eastAsia="es-ES"/>
        </w:rPr>
        <w:t>01046/INFOEM/IP/RR/2022</w:t>
      </w:r>
      <w:r w:rsidRPr="00A2355B">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2355B" w:rsidR="00D8203F" w:rsidP="00E23B35" w:rsidRDefault="00D8203F" w14:paraId="5CB92970" w14:textId="77777777">
      <w:pPr>
        <w:spacing w:after="0"/>
        <w:rPr>
          <w:rFonts w:eastAsia="Batang" w:cs="Tahoma"/>
          <w:bCs/>
          <w:lang w:eastAsia="es-ES"/>
        </w:rPr>
      </w:pPr>
    </w:p>
    <w:p w:rsidRPr="00A2355B" w:rsidR="00D8203F" w:rsidP="00E23B35" w:rsidRDefault="00D8203F" w14:paraId="4677A832" w14:textId="49EA3ECA">
      <w:pPr>
        <w:spacing w:after="0"/>
        <w:rPr>
          <w:rFonts w:eastAsia="Batang" w:cs="Tahoma"/>
          <w:bCs/>
          <w:lang w:val="es-ES_tradnl" w:eastAsia="es-ES"/>
        </w:rPr>
      </w:pPr>
      <w:r w:rsidRPr="00A2355B">
        <w:rPr>
          <w:rFonts w:eastAsia="Batang" w:cs="Tahoma"/>
          <w:b/>
          <w:bCs/>
          <w:lang w:eastAsia="es-ES"/>
        </w:rPr>
        <w:t xml:space="preserve">b) Admisión del </w:t>
      </w:r>
      <w:r w:rsidRPr="00A2355B">
        <w:rPr>
          <w:rFonts w:eastAsia="Times New Roman" w:cs="Tahoma"/>
          <w:b/>
          <w:lang w:eastAsia="es-ES"/>
        </w:rPr>
        <w:t>Recurso de Revisión</w:t>
      </w:r>
      <w:r w:rsidRPr="00A2355B">
        <w:rPr>
          <w:rFonts w:eastAsia="Batang" w:cs="Tahoma"/>
          <w:b/>
          <w:bCs/>
          <w:lang w:val="es-ES_tradnl" w:eastAsia="es-ES"/>
        </w:rPr>
        <w:t xml:space="preserve">. </w:t>
      </w:r>
      <w:r w:rsidRPr="00A2355B">
        <w:rPr>
          <w:rFonts w:eastAsia="Batang" w:cs="Tahoma"/>
          <w:bCs/>
          <w:lang w:eastAsia="es-ES"/>
        </w:rPr>
        <w:t xml:space="preserve">El </w:t>
      </w:r>
      <w:r w:rsidR="00DE1EB3">
        <w:rPr>
          <w:rFonts w:eastAsia="Batang" w:cs="Tahoma"/>
          <w:bCs/>
          <w:lang w:eastAsia="es-ES"/>
        </w:rPr>
        <w:t>veintiocho</w:t>
      </w:r>
      <w:r w:rsidRPr="00A2355B" w:rsidR="00593B72">
        <w:rPr>
          <w:rFonts w:eastAsia="Batang" w:cs="Tahoma"/>
          <w:bCs/>
          <w:lang w:eastAsia="es-ES"/>
        </w:rPr>
        <w:t xml:space="preserve"> </w:t>
      </w:r>
      <w:r w:rsidRPr="006E5B44" w:rsidR="006E5B44">
        <w:rPr>
          <w:rFonts w:eastAsia="Batang" w:cs="Tahoma"/>
          <w:bCs/>
          <w:lang w:eastAsia="es-ES"/>
        </w:rPr>
        <w:t>de febrero  de dos mil veintidós</w:t>
      </w:r>
      <w:r w:rsidRPr="00A2355B">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A2355B" w:rsidR="00D8203F" w:rsidP="00E23B35" w:rsidRDefault="00D8203F" w14:paraId="777C5F53" w14:textId="77777777">
      <w:pPr>
        <w:spacing w:after="0"/>
        <w:rPr>
          <w:rFonts w:eastAsia="Batang" w:cs="Tahoma"/>
          <w:bCs/>
          <w:lang w:val="es-ES_tradnl" w:eastAsia="es-ES"/>
        </w:rPr>
      </w:pPr>
    </w:p>
    <w:p w:rsidRPr="00A2355B" w:rsidR="00C44AF0" w:rsidP="00E23B35" w:rsidRDefault="00D8203F" w14:paraId="1578090F" w14:textId="11ED4FE6">
      <w:pPr>
        <w:spacing w:after="0"/>
        <w:rPr>
          <w:rFonts w:eastAsia="Times New Roman" w:cs="Tahoma"/>
          <w:bCs/>
          <w:lang w:val="es-ES_tradnl" w:eastAsia="es-ES"/>
        </w:rPr>
      </w:pPr>
      <w:r w:rsidRPr="00A2355B">
        <w:rPr>
          <w:rFonts w:eastAsia="Times New Roman" w:cs="Tahoma"/>
          <w:b/>
          <w:lang w:eastAsia="es-ES"/>
        </w:rPr>
        <w:t>c)</w:t>
      </w:r>
      <w:r w:rsidRPr="00A2355B">
        <w:rPr>
          <w:rFonts w:eastAsia="Times New Roman" w:cs="Tahoma"/>
          <w:lang w:val="es-ES_tradnl" w:eastAsia="es-ES"/>
        </w:rPr>
        <w:t xml:space="preserve"> </w:t>
      </w:r>
      <w:r w:rsidRPr="00A2355B">
        <w:rPr>
          <w:rFonts w:eastAsia="Times New Roman" w:cs="Tahoma"/>
          <w:b/>
          <w:lang w:val="es-ES_tradnl" w:eastAsia="es-ES"/>
        </w:rPr>
        <w:t xml:space="preserve">Informe Justificado. </w:t>
      </w:r>
      <w:r w:rsidRPr="00A2355B" w:rsidR="00C44AF0">
        <w:rPr>
          <w:rFonts w:eastAsia="Times New Roman" w:cs="Tahoma"/>
          <w:bCs/>
          <w:lang w:val="es-ES_tradnl" w:eastAsia="es-ES"/>
        </w:rPr>
        <w:t xml:space="preserve">El </w:t>
      </w:r>
      <w:r w:rsidR="00DE1EB3">
        <w:rPr>
          <w:rFonts w:eastAsia="Times New Roman" w:cs="Tahoma"/>
          <w:bCs/>
          <w:lang w:val="es-ES_tradnl" w:eastAsia="es-ES"/>
        </w:rPr>
        <w:t>diez de marzo</w:t>
      </w:r>
      <w:r w:rsidR="006E5B44">
        <w:rPr>
          <w:rFonts w:eastAsia="Times New Roman" w:cs="Tahoma"/>
          <w:bCs/>
          <w:lang w:val="es-ES_tradnl" w:eastAsia="es-ES"/>
        </w:rPr>
        <w:t xml:space="preserve"> dos mil veintidós</w:t>
      </w:r>
      <w:r w:rsidRPr="00A2355B">
        <w:rPr>
          <w:rFonts w:eastAsia="Times New Roman" w:cs="Tahoma"/>
          <w:lang w:val="es-ES_tradnl" w:eastAsia="es-ES"/>
        </w:rPr>
        <w:t xml:space="preserve">, se recibió, a través del </w:t>
      </w:r>
      <w:r w:rsidRPr="00A2355B">
        <w:rPr>
          <w:rFonts w:eastAsia="Times New Roman" w:cs="Tahoma"/>
          <w:lang w:val="es-ES" w:eastAsia="es-ES"/>
        </w:rPr>
        <w:t>Sistema de Acceso a la Información Mexiquense (SAIMEX)</w:t>
      </w:r>
      <w:r w:rsidRPr="00A2355B">
        <w:rPr>
          <w:rFonts w:eastAsia="Times New Roman" w:cs="Tahoma"/>
          <w:lang w:val="es-ES_tradnl" w:eastAsia="es-ES"/>
        </w:rPr>
        <w:t xml:space="preserve">, </w:t>
      </w:r>
      <w:r w:rsidRPr="00A2355B">
        <w:rPr>
          <w:rFonts w:eastAsia="Times New Roman" w:cs="Tahoma"/>
          <w:bCs/>
          <w:iCs/>
          <w:lang w:val="es-ES" w:eastAsia="es-ES"/>
        </w:rPr>
        <w:t xml:space="preserve">el Informe Justificado </w:t>
      </w:r>
      <w:r w:rsidR="00F22F5C">
        <w:rPr>
          <w:rFonts w:eastAsia="Times New Roman" w:cs="Tahoma"/>
          <w:bCs/>
          <w:iCs/>
          <w:lang w:eastAsia="es-ES"/>
        </w:rPr>
        <w:t>del</w:t>
      </w:r>
      <w:r w:rsidRPr="00A2355B">
        <w:rPr>
          <w:rFonts w:eastAsia="Times New Roman" w:cs="Tahoma"/>
          <w:bCs/>
          <w:iCs/>
          <w:lang w:eastAsia="es-ES"/>
        </w:rPr>
        <w:t xml:space="preserve"> Sujeto Obligado, por medio del oficio número </w:t>
      </w:r>
      <w:r w:rsidR="00DE1EB3">
        <w:rPr>
          <w:rFonts w:eastAsia="Times New Roman" w:cs="Tahoma"/>
          <w:bCs/>
          <w:iCs/>
          <w:lang w:eastAsia="es-ES"/>
        </w:rPr>
        <w:t>UT/00101/2022</w:t>
      </w:r>
      <w:r w:rsidRPr="00A2355B" w:rsidR="00CA1B00">
        <w:rPr>
          <w:rFonts w:eastAsia="Times New Roman" w:cs="Tahoma"/>
          <w:bCs/>
          <w:iCs/>
          <w:lang w:eastAsia="es-ES"/>
        </w:rPr>
        <w:t xml:space="preserve">, del </w:t>
      </w:r>
      <w:r w:rsidR="00DE1EB3">
        <w:rPr>
          <w:rFonts w:eastAsia="Times New Roman" w:cs="Tahoma"/>
          <w:bCs/>
          <w:iCs/>
          <w:lang w:eastAsia="es-ES"/>
        </w:rPr>
        <w:t>diez</w:t>
      </w:r>
      <w:r w:rsidR="006E5B44">
        <w:rPr>
          <w:rFonts w:eastAsia="Times New Roman" w:cs="Tahoma"/>
          <w:bCs/>
          <w:iCs/>
          <w:lang w:eastAsia="es-ES"/>
        </w:rPr>
        <w:t xml:space="preserve"> </w:t>
      </w:r>
      <w:r w:rsidR="00F22F5C">
        <w:rPr>
          <w:rFonts w:eastAsia="Times New Roman" w:cs="Tahoma"/>
          <w:bCs/>
          <w:iCs/>
          <w:lang w:eastAsia="es-ES"/>
        </w:rPr>
        <w:t>de dicho mes y año</w:t>
      </w:r>
      <w:r w:rsidRPr="00A2355B" w:rsidR="006E5B44">
        <w:rPr>
          <w:rFonts w:eastAsia="Times New Roman" w:cs="Tahoma"/>
          <w:bCs/>
          <w:iCs/>
          <w:lang w:eastAsia="es-ES"/>
        </w:rPr>
        <w:t xml:space="preserve">, suscrito la </w:t>
      </w:r>
      <w:r w:rsidRPr="00A2355B" w:rsidR="00C44AF0">
        <w:rPr>
          <w:rFonts w:eastAsia="Times New Roman" w:cs="Tahoma"/>
          <w:bCs/>
          <w:iCs/>
          <w:lang w:eastAsia="es-ES"/>
        </w:rPr>
        <w:t xml:space="preserve">Titular </w:t>
      </w:r>
      <w:r w:rsidRPr="00A2355B" w:rsidR="006900B8">
        <w:rPr>
          <w:rFonts w:eastAsia="Times New Roman" w:cs="Tahoma"/>
          <w:bCs/>
          <w:iCs/>
          <w:lang w:eastAsia="es-ES"/>
        </w:rPr>
        <w:t xml:space="preserve">de la Unidad de Transparencia, </w:t>
      </w:r>
      <w:r w:rsidRPr="00515FA8" w:rsidR="006900B8">
        <w:rPr>
          <w:rFonts w:eastAsia="Times New Roman" w:cs="Tahoma"/>
          <w:bCs/>
          <w:iCs/>
          <w:lang w:eastAsia="es-ES"/>
        </w:rPr>
        <w:t>por med</w:t>
      </w:r>
      <w:r w:rsidRPr="00515FA8" w:rsidR="00EC7552">
        <w:rPr>
          <w:rFonts w:eastAsia="Times New Roman" w:cs="Tahoma"/>
          <w:bCs/>
          <w:iCs/>
          <w:lang w:eastAsia="es-ES"/>
        </w:rPr>
        <w:t xml:space="preserve">io </w:t>
      </w:r>
      <w:r w:rsidRPr="00515FA8" w:rsidR="006900B8">
        <w:rPr>
          <w:rFonts w:eastAsia="Times New Roman" w:cs="Tahoma"/>
          <w:bCs/>
          <w:iCs/>
          <w:lang w:eastAsia="es-ES"/>
        </w:rPr>
        <w:t>del cual manifiesta y expone:</w:t>
      </w:r>
      <w:r w:rsidRPr="00A2355B" w:rsidR="006900B8">
        <w:rPr>
          <w:rFonts w:eastAsia="Times New Roman" w:cs="Tahoma"/>
          <w:bCs/>
          <w:iCs/>
          <w:lang w:eastAsia="es-ES"/>
        </w:rPr>
        <w:t xml:space="preserve"> </w:t>
      </w:r>
    </w:p>
    <w:p w:rsidRPr="00A2355B" w:rsidR="006900B8" w:rsidP="00E23B35" w:rsidRDefault="006900B8" w14:paraId="1652618B" w14:textId="7174D561">
      <w:pPr>
        <w:spacing w:after="0"/>
        <w:rPr>
          <w:rFonts w:eastAsia="Times New Roman" w:cs="Tahoma"/>
          <w:bCs/>
          <w:iCs/>
          <w:lang w:eastAsia="es-ES"/>
        </w:rPr>
      </w:pPr>
    </w:p>
    <w:p w:rsidR="00342014" w:rsidP="00342014" w:rsidRDefault="006900B8" w14:paraId="462FCA47" w14:textId="5E7632F9">
      <w:pPr>
        <w:spacing w:after="0"/>
        <w:ind w:left="567" w:right="567"/>
        <w:rPr>
          <w:rFonts w:eastAsia="Times New Roman" w:cs="Tahoma"/>
          <w:bCs/>
          <w:i/>
          <w:sz w:val="20"/>
          <w:szCs w:val="20"/>
          <w:lang w:eastAsia="es-ES"/>
        </w:rPr>
      </w:pPr>
      <w:r w:rsidRPr="00A2355B">
        <w:rPr>
          <w:rFonts w:eastAsia="Times New Roman" w:cs="Tahoma"/>
          <w:bCs/>
          <w:i/>
          <w:sz w:val="20"/>
          <w:szCs w:val="20"/>
          <w:lang w:eastAsia="es-ES"/>
        </w:rPr>
        <w:t>“…</w:t>
      </w:r>
      <w:r w:rsidR="00342014">
        <w:rPr>
          <w:rFonts w:eastAsia="Times New Roman" w:cs="Tahoma"/>
          <w:bCs/>
          <w:i/>
          <w:sz w:val="20"/>
          <w:szCs w:val="20"/>
          <w:lang w:eastAsia="es-ES"/>
        </w:rPr>
        <w:t xml:space="preserve">Me permito hacer hincapié que este Sujeto Obligado en aras de salvaguardar el derecho de acceso a la información pública que tiene toda persona, </w:t>
      </w:r>
      <w:proofErr w:type="spellStart"/>
      <w:r w:rsidR="00342014">
        <w:rPr>
          <w:rFonts w:eastAsia="Times New Roman" w:cs="Tahoma"/>
          <w:bCs/>
          <w:i/>
          <w:sz w:val="20"/>
          <w:szCs w:val="20"/>
          <w:lang w:eastAsia="es-ES"/>
        </w:rPr>
        <w:t>tuvoa</w:t>
      </w:r>
      <w:proofErr w:type="spellEnd"/>
      <w:r w:rsidR="00342014">
        <w:rPr>
          <w:rFonts w:eastAsia="Times New Roman" w:cs="Tahoma"/>
          <w:bCs/>
          <w:i/>
          <w:sz w:val="20"/>
          <w:szCs w:val="20"/>
          <w:lang w:eastAsia="es-ES"/>
        </w:rPr>
        <w:t xml:space="preserve">  bien informar al hoy recurrente que, después de una búsqueda exhaustiva y razonable en los archivos de la </w:t>
      </w:r>
      <w:proofErr w:type="spellStart"/>
      <w:r w:rsidR="00342014">
        <w:rPr>
          <w:rFonts w:eastAsia="Times New Roman" w:cs="Tahoma"/>
          <w:bCs/>
          <w:i/>
          <w:sz w:val="20"/>
          <w:szCs w:val="20"/>
          <w:lang w:eastAsia="es-ES"/>
        </w:rPr>
        <w:t>Direcci´pon</w:t>
      </w:r>
      <w:proofErr w:type="spellEnd"/>
      <w:r w:rsidR="00342014">
        <w:rPr>
          <w:rFonts w:eastAsia="Times New Roman" w:cs="Tahoma"/>
          <w:bCs/>
          <w:i/>
          <w:sz w:val="20"/>
          <w:szCs w:val="20"/>
          <w:lang w:eastAsia="es-ES"/>
        </w:rPr>
        <w:t xml:space="preserve"> General de Administración </w:t>
      </w:r>
      <w:r w:rsidR="00342014">
        <w:rPr>
          <w:rFonts w:eastAsia="Times New Roman" w:cs="Tahoma"/>
          <w:bCs/>
          <w:i/>
          <w:sz w:val="20"/>
          <w:szCs w:val="20"/>
          <w:lang w:eastAsia="es-ES"/>
        </w:rPr>
        <w:lastRenderedPageBreak/>
        <w:t xml:space="preserve">y de la </w:t>
      </w:r>
      <w:proofErr w:type="spellStart"/>
      <w:r w:rsidR="00342014">
        <w:rPr>
          <w:rFonts w:eastAsia="Times New Roman" w:cs="Tahoma"/>
          <w:bCs/>
          <w:i/>
          <w:sz w:val="20"/>
          <w:szCs w:val="20"/>
          <w:lang w:eastAsia="es-ES"/>
        </w:rPr>
        <w:t>Tesore´ria</w:t>
      </w:r>
      <w:proofErr w:type="spellEnd"/>
      <w:r w:rsidR="00342014">
        <w:rPr>
          <w:rFonts w:eastAsia="Times New Roman" w:cs="Tahoma"/>
          <w:bCs/>
          <w:i/>
          <w:sz w:val="20"/>
          <w:szCs w:val="20"/>
          <w:lang w:eastAsia="es-ES"/>
        </w:rPr>
        <w:t xml:space="preserve">, y con el objeto de </w:t>
      </w:r>
      <w:r w:rsidR="00C71D28">
        <w:rPr>
          <w:rFonts w:eastAsia="Times New Roman" w:cs="Tahoma"/>
          <w:bCs/>
          <w:i/>
          <w:sz w:val="20"/>
          <w:szCs w:val="20"/>
          <w:lang w:eastAsia="es-ES"/>
        </w:rPr>
        <w:t>cumplir con máxima diligencia y en ejercicio de máxima publicidad se informó que no se encontró la documentación que requirió…</w:t>
      </w:r>
    </w:p>
    <w:p w:rsidR="00C71D28" w:rsidP="00342014" w:rsidRDefault="00C71D28" w14:paraId="778E565B" w14:textId="3A4A139B">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C71D28" w:rsidP="00342014" w:rsidRDefault="00C71D28" w14:paraId="46DEFF7F" w14:textId="391A9659">
      <w:pPr>
        <w:spacing w:after="0"/>
        <w:ind w:left="567" w:right="567"/>
        <w:rPr>
          <w:rFonts w:eastAsia="Times New Roman" w:cs="Tahoma"/>
          <w:bCs/>
          <w:i/>
          <w:sz w:val="20"/>
          <w:szCs w:val="20"/>
          <w:lang w:eastAsia="es-ES"/>
        </w:rPr>
      </w:pPr>
      <w:r>
        <w:rPr>
          <w:rFonts w:eastAsia="Times New Roman" w:cs="Tahoma"/>
          <w:bCs/>
          <w:i/>
          <w:sz w:val="20"/>
          <w:szCs w:val="20"/>
          <w:lang w:eastAsia="es-ES"/>
        </w:rPr>
        <w:t xml:space="preserve">Lo anterior, en razón de ser los Servidores Públicos Habilitados competentes que </w:t>
      </w:r>
      <w:proofErr w:type="spellStart"/>
      <w:r>
        <w:rPr>
          <w:rFonts w:eastAsia="Times New Roman" w:cs="Tahoma"/>
          <w:bCs/>
          <w:i/>
          <w:sz w:val="20"/>
          <w:szCs w:val="20"/>
          <w:lang w:eastAsia="es-ES"/>
        </w:rPr>
        <w:t>pudierasn</w:t>
      </w:r>
      <w:proofErr w:type="spellEnd"/>
      <w:r>
        <w:rPr>
          <w:rFonts w:eastAsia="Times New Roman" w:cs="Tahoma"/>
          <w:bCs/>
          <w:i/>
          <w:sz w:val="20"/>
          <w:szCs w:val="20"/>
          <w:lang w:eastAsia="es-ES"/>
        </w:rPr>
        <w:t xml:space="preserve"> contar con la información peticionada, atendiendo en todo momento el derecho de acceso a la información pública, en el entendido de </w:t>
      </w:r>
      <w:proofErr w:type="spellStart"/>
      <w:r>
        <w:rPr>
          <w:rFonts w:eastAsia="Times New Roman" w:cs="Tahoma"/>
          <w:bCs/>
          <w:i/>
          <w:sz w:val="20"/>
          <w:szCs w:val="20"/>
          <w:lang w:eastAsia="es-ES"/>
        </w:rPr>
        <w:t>qu</w:t>
      </w:r>
      <w:proofErr w:type="spellEnd"/>
      <w:r>
        <w:rPr>
          <w:rFonts w:eastAsia="Times New Roman" w:cs="Tahoma"/>
          <w:bCs/>
          <w:i/>
          <w:sz w:val="20"/>
          <w:szCs w:val="20"/>
          <w:lang w:eastAsia="es-ES"/>
        </w:rPr>
        <w:t xml:space="preserve"> </w:t>
      </w:r>
      <w:proofErr w:type="spellStart"/>
      <w:r>
        <w:rPr>
          <w:rFonts w:eastAsia="Times New Roman" w:cs="Tahoma"/>
          <w:bCs/>
          <w:i/>
          <w:sz w:val="20"/>
          <w:szCs w:val="20"/>
          <w:lang w:eastAsia="es-ES"/>
        </w:rPr>
        <w:t>est</w:t>
      </w:r>
      <w:proofErr w:type="spellEnd"/>
      <w:r>
        <w:rPr>
          <w:rFonts w:eastAsia="Times New Roman" w:cs="Tahoma"/>
          <w:bCs/>
          <w:i/>
          <w:sz w:val="20"/>
          <w:szCs w:val="20"/>
          <w:lang w:eastAsia="es-ES"/>
        </w:rPr>
        <w:t xml:space="preserve"> Sujeto Obligado no cuenta </w:t>
      </w:r>
      <w:proofErr w:type="spellStart"/>
      <w:r>
        <w:rPr>
          <w:rFonts w:eastAsia="Times New Roman" w:cs="Tahoma"/>
          <w:bCs/>
          <w:i/>
          <w:sz w:val="20"/>
          <w:szCs w:val="20"/>
          <w:lang w:eastAsia="es-ES"/>
        </w:rPr>
        <w:t>cojn</w:t>
      </w:r>
      <w:proofErr w:type="spellEnd"/>
      <w:r>
        <w:rPr>
          <w:rFonts w:eastAsia="Times New Roman" w:cs="Tahoma"/>
          <w:bCs/>
          <w:i/>
          <w:sz w:val="20"/>
          <w:szCs w:val="20"/>
          <w:lang w:eastAsia="es-ES"/>
        </w:rPr>
        <w:t xml:space="preserve"> la obligación de generar, poseer o administrar la información con el grado de detalle solicitado y/o bien de generar un documente0 Ad </w:t>
      </w:r>
      <w:proofErr w:type="gramStart"/>
      <w:r>
        <w:rPr>
          <w:rFonts w:eastAsia="Times New Roman" w:cs="Tahoma"/>
          <w:bCs/>
          <w:i/>
          <w:sz w:val="20"/>
          <w:szCs w:val="20"/>
          <w:lang w:eastAsia="es-ES"/>
        </w:rPr>
        <w:t>Hoc..</w:t>
      </w:r>
      <w:proofErr w:type="gramEnd"/>
    </w:p>
    <w:p w:rsidR="00C71D28" w:rsidP="00342014" w:rsidRDefault="00C71D28" w14:paraId="760857BB" w14:textId="48C805FA">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C71D28" w:rsidP="00342014" w:rsidRDefault="00C71D28" w14:paraId="3C9A1C57" w14:textId="112A51E1">
      <w:pPr>
        <w:spacing w:after="0"/>
        <w:ind w:left="567" w:right="567"/>
        <w:rPr>
          <w:rFonts w:eastAsia="Times New Roman" w:cs="Tahoma"/>
          <w:bCs/>
          <w:i/>
          <w:sz w:val="20"/>
          <w:szCs w:val="20"/>
          <w:lang w:eastAsia="es-ES"/>
        </w:rPr>
      </w:pPr>
      <w:r>
        <w:rPr>
          <w:rFonts w:eastAsia="Times New Roman" w:cs="Tahoma"/>
          <w:bCs/>
          <w:i/>
          <w:sz w:val="20"/>
          <w:szCs w:val="20"/>
          <w:lang w:eastAsia="es-ES"/>
        </w:rPr>
        <w:t>Bajo esa tesitura se ratifica en todas y cada una de sus partes, la respuesta de inicio teniendo por atendida la solicitud de mérito, en tiempo y forma.</w:t>
      </w:r>
    </w:p>
    <w:p w:rsidRPr="00A2355B" w:rsidR="00F42CAA" w:rsidP="00E23B35" w:rsidRDefault="007A10B1" w14:paraId="4F75C793" w14:textId="62A1441C">
      <w:pPr>
        <w:spacing w:after="0"/>
        <w:ind w:left="567" w:right="567"/>
        <w:rPr>
          <w:rFonts w:eastAsia="Times New Roman" w:cs="Tahoma"/>
          <w:bCs/>
          <w:i/>
          <w:sz w:val="20"/>
          <w:szCs w:val="20"/>
          <w:lang w:eastAsia="es-ES"/>
        </w:rPr>
      </w:pPr>
      <w:r>
        <w:rPr>
          <w:rFonts w:eastAsia="Times New Roman" w:cs="Tahoma"/>
          <w:bCs/>
          <w:i/>
          <w:sz w:val="20"/>
          <w:szCs w:val="20"/>
          <w:lang w:eastAsia="es-ES"/>
        </w:rPr>
        <w:t>…</w:t>
      </w:r>
      <w:r w:rsidR="00E42CFF">
        <w:rPr>
          <w:rFonts w:eastAsia="Times New Roman" w:cs="Tahoma"/>
          <w:bCs/>
          <w:i/>
          <w:sz w:val="20"/>
          <w:szCs w:val="20"/>
          <w:lang w:eastAsia="es-ES"/>
        </w:rPr>
        <w:t>”</w:t>
      </w:r>
      <w:r w:rsidRPr="00A2355B" w:rsidR="00F42CAA">
        <w:rPr>
          <w:rFonts w:eastAsia="Times New Roman" w:cs="Tahoma"/>
          <w:bCs/>
          <w:i/>
          <w:sz w:val="20"/>
          <w:szCs w:val="20"/>
          <w:lang w:eastAsia="es-ES"/>
        </w:rPr>
        <w:t xml:space="preserve"> (Sic) </w:t>
      </w:r>
    </w:p>
    <w:p w:rsidRPr="00A2355B" w:rsidR="00D8203F" w:rsidP="00E23B35" w:rsidRDefault="00D8203F" w14:paraId="6D866CA9" w14:textId="77777777">
      <w:pPr>
        <w:spacing w:after="0"/>
        <w:rPr>
          <w:rFonts w:eastAsia="Times New Roman" w:cs="Tahoma"/>
          <w:iCs/>
          <w:color w:val="auto"/>
          <w:lang w:val="es-ES_tradnl" w:eastAsia="es-ES"/>
        </w:rPr>
      </w:pPr>
    </w:p>
    <w:p w:rsidR="00D8203F" w:rsidP="00E23B35" w:rsidRDefault="00D8203F" w14:paraId="4BF866FA" w14:textId="1DD6D335">
      <w:pPr>
        <w:spacing w:after="0"/>
        <w:rPr>
          <w:rFonts w:cs="Tahoma"/>
          <w:b/>
          <w:bCs/>
          <w:iCs/>
          <w:lang w:val="es-ES_tradnl"/>
        </w:rPr>
      </w:pPr>
      <w:r w:rsidRPr="00A2355B">
        <w:rPr>
          <w:rFonts w:cs="Tahoma"/>
          <w:b/>
          <w:bCs/>
        </w:rPr>
        <w:t xml:space="preserve">d) Vista del informe justificado. </w:t>
      </w:r>
      <w:r w:rsidRPr="00A2355B">
        <w:rPr>
          <w:rFonts w:cs="Tahoma"/>
        </w:rPr>
        <w:t xml:space="preserve">El </w:t>
      </w:r>
      <w:r w:rsidR="00C71D28">
        <w:rPr>
          <w:rFonts w:cs="Tahoma"/>
        </w:rPr>
        <w:t>cuatro</w:t>
      </w:r>
      <w:r w:rsidR="00E42CFF">
        <w:rPr>
          <w:rFonts w:cs="Tahoma"/>
        </w:rPr>
        <w:t xml:space="preserve"> de marzo de dos mil veintidós</w:t>
      </w:r>
      <w:r w:rsidRPr="00A2355B">
        <w:rPr>
          <w:rFonts w:cs="Tahoma"/>
        </w:rPr>
        <w:t xml:space="preserve">, se dictó acuerdo mediante el cual </w:t>
      </w:r>
      <w:r w:rsidRPr="00A2355B">
        <w:rPr>
          <w:rFonts w:cs="Tahoma"/>
          <w:b/>
          <w:bCs/>
        </w:rPr>
        <w:t>se puso a la vista de la Particular el Informe Justificado</w:t>
      </w:r>
      <w:r w:rsidRPr="00A2355B">
        <w:rPr>
          <w:rFonts w:cs="Tahoma"/>
        </w:rPr>
        <w:t xml:space="preserve"> entregado por el Sujeto Obligado, el cual fue notificado al Recurrente, a través del Sistema de Acceso a la Información Mexiquense (SAIMEX), </w:t>
      </w:r>
      <w:r w:rsidR="00C71D28">
        <w:rPr>
          <w:rFonts w:cs="Tahoma"/>
        </w:rPr>
        <w:t>el mismo día</w:t>
      </w:r>
      <w:r w:rsidRPr="00A2355B" w:rsidR="00E77820">
        <w:rPr>
          <w:rFonts w:cs="Tahoma"/>
        </w:rPr>
        <w:t xml:space="preserve">. </w:t>
      </w:r>
      <w:r w:rsidRPr="00A2355B">
        <w:rPr>
          <w:rFonts w:cs="Tahoma"/>
          <w:b/>
        </w:rPr>
        <w:t>No obstante</w:t>
      </w:r>
      <w:r w:rsidRPr="00A2355B">
        <w:rPr>
          <w:rFonts w:cs="Tahoma"/>
          <w:b/>
          <w:bCs/>
          <w:iCs/>
          <w:lang w:val="es-ES_tradnl"/>
        </w:rPr>
        <w:t xml:space="preserve">, </w:t>
      </w:r>
      <w:r w:rsidR="00F22F5C">
        <w:rPr>
          <w:rFonts w:cs="Tahoma"/>
          <w:b/>
          <w:bCs/>
          <w:iCs/>
          <w:lang w:val="es-ES_tradnl"/>
        </w:rPr>
        <w:t>la</w:t>
      </w:r>
      <w:r w:rsidRPr="00A2355B" w:rsidR="00E77820">
        <w:rPr>
          <w:rFonts w:cs="Tahoma"/>
          <w:b/>
          <w:bCs/>
          <w:iCs/>
          <w:lang w:val="es-ES_tradnl"/>
        </w:rPr>
        <w:t xml:space="preserve"> </w:t>
      </w:r>
      <w:r w:rsidRPr="00A2355B">
        <w:rPr>
          <w:rFonts w:cs="Tahoma"/>
          <w:b/>
          <w:bCs/>
          <w:iCs/>
          <w:lang w:val="es-ES_tradnl"/>
        </w:rPr>
        <w:t>Particular omitió realizar manifestación alguna que a su derecho conviniera y asistiera</w:t>
      </w:r>
      <w:r w:rsidR="00E42CFF">
        <w:rPr>
          <w:rFonts w:cs="Tahoma"/>
          <w:b/>
          <w:bCs/>
          <w:iCs/>
          <w:lang w:val="es-ES_tradnl"/>
        </w:rPr>
        <w:t>.</w:t>
      </w:r>
    </w:p>
    <w:p w:rsidR="00E42CFF" w:rsidP="00E23B35" w:rsidRDefault="00E42CFF" w14:paraId="7EF28449" w14:textId="77777777">
      <w:pPr>
        <w:spacing w:after="0"/>
        <w:rPr>
          <w:rFonts w:cs="Tahoma"/>
          <w:b/>
          <w:bCs/>
          <w:iCs/>
          <w:lang w:val="es-ES_tradnl"/>
        </w:rPr>
      </w:pPr>
    </w:p>
    <w:p w:rsidRPr="00E42CFF" w:rsidR="00E42CFF" w:rsidP="00E23B35" w:rsidRDefault="00E42CFF" w14:paraId="43F0C884" w14:textId="60D9D03A">
      <w:pPr>
        <w:spacing w:after="0"/>
        <w:rPr>
          <w:rFonts w:eastAsia="Palatino Linotype" w:cs="Palatino Linotype"/>
          <w:color w:val="auto"/>
          <w:lang w:val="es-ES" w:eastAsia="es-ES"/>
        </w:rPr>
      </w:pPr>
      <w:r w:rsidRPr="00E42CFF">
        <w:rPr>
          <w:rFonts w:eastAsia="Palatino Linotype" w:cs="Palatino Linotype"/>
          <w:b/>
          <w:bCs/>
          <w:color w:val="auto"/>
          <w:lang w:val="es-ES" w:eastAsia="es-ES"/>
        </w:rPr>
        <w:t xml:space="preserve">e) Ampliación de plazo para resolver. </w:t>
      </w:r>
      <w:r w:rsidRPr="00E42CFF">
        <w:rPr>
          <w:rFonts w:eastAsia="Palatino Linotype" w:cs="Palatino Linotype"/>
          <w:color w:val="auto"/>
          <w:lang w:val="es-ES" w:eastAsia="es-ES"/>
        </w:rPr>
        <w:t xml:space="preserve">El </w:t>
      </w:r>
      <w:r w:rsidR="00C71D28">
        <w:rPr>
          <w:rFonts w:eastAsia="Palatino Linotype" w:cs="Palatino Linotype"/>
          <w:color w:val="auto"/>
          <w:lang w:val="es-ES" w:eastAsia="es-ES"/>
        </w:rPr>
        <w:t xml:space="preserve">veinte </w:t>
      </w:r>
      <w:r>
        <w:rPr>
          <w:rFonts w:eastAsia="Palatino Linotype" w:cs="Palatino Linotype"/>
          <w:color w:val="auto"/>
          <w:lang w:val="es-ES" w:eastAsia="es-ES"/>
        </w:rPr>
        <w:t xml:space="preserve">de abril </w:t>
      </w:r>
      <w:r w:rsidRPr="00E42CFF">
        <w:rPr>
          <w:rFonts w:eastAsia="Palatino Linotype" w:cs="Palatino Linotype"/>
          <w:color w:val="auto"/>
          <w:lang w:val="es-ES" w:eastAsia="es-ES"/>
        </w:rPr>
        <w:t xml:space="preserve">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19018C">
        <w:rPr>
          <w:rFonts w:eastAsia="Palatino Linotype" w:cs="Palatino Linotype"/>
          <w:color w:val="auto"/>
          <w:lang w:val="es-ES" w:eastAsia="es-ES"/>
        </w:rPr>
        <w:t xml:space="preserve">el </w:t>
      </w:r>
      <w:r w:rsidR="00515FA8">
        <w:rPr>
          <w:rFonts w:eastAsia="Palatino Linotype" w:cs="Palatino Linotype"/>
          <w:color w:val="auto"/>
          <w:lang w:val="es-ES" w:eastAsia="es-ES"/>
        </w:rPr>
        <w:t>mismo día</w:t>
      </w:r>
      <w:r w:rsidR="0019018C">
        <w:rPr>
          <w:rFonts w:eastAsia="Palatino Linotype" w:cs="Palatino Linotype"/>
          <w:color w:val="auto"/>
          <w:lang w:val="es-ES" w:eastAsia="es-ES"/>
        </w:rPr>
        <w:t>.</w:t>
      </w:r>
    </w:p>
    <w:p w:rsidRPr="00E42CFF" w:rsidR="00E42CFF" w:rsidP="00E23B35" w:rsidRDefault="00E42CFF" w14:paraId="0749594E" w14:textId="77777777">
      <w:pPr>
        <w:spacing w:after="0"/>
        <w:rPr>
          <w:rFonts w:eastAsia="Palatino Linotype" w:cs="Palatino Linotype"/>
          <w:color w:val="auto"/>
          <w:lang w:val="es-ES" w:eastAsia="es-ES"/>
        </w:rPr>
      </w:pPr>
    </w:p>
    <w:p w:rsidRPr="00E42CFF" w:rsidR="00E42CFF" w:rsidP="00E23B35" w:rsidRDefault="00E42CFF" w14:paraId="23F3C7A6" w14:textId="781D5C02">
      <w:pPr>
        <w:spacing w:after="0"/>
        <w:rPr>
          <w:rFonts w:eastAsia="Palatino Linotype" w:cs="Palatino Linotype"/>
          <w:color w:val="auto"/>
          <w:lang w:val="es-ES" w:eastAsia="es-ES"/>
        </w:rPr>
      </w:pPr>
      <w:r w:rsidRPr="00E42CFF">
        <w:rPr>
          <w:rFonts w:eastAsia="Palatino Linotype" w:cs="Palatino Linotype"/>
          <w:color w:val="auto"/>
          <w:lang w:val="es-ES" w:eastAsia="es-ES"/>
        </w:rPr>
        <w:t>f</w:t>
      </w:r>
      <w:r w:rsidRPr="00E42CFF">
        <w:rPr>
          <w:rFonts w:eastAsia="Palatino Linotype" w:cs="Palatino Linotype"/>
          <w:b/>
          <w:color w:val="auto"/>
          <w:lang w:val="es-ES" w:eastAsia="es-ES"/>
        </w:rPr>
        <w:t>) Cierre de instrucción</w:t>
      </w:r>
      <w:r w:rsidRPr="00E42CFF">
        <w:rPr>
          <w:rFonts w:eastAsia="Palatino Linotype" w:cs="Palatino Linotype"/>
          <w:color w:val="auto"/>
          <w:lang w:val="es-ES" w:eastAsia="es-ES"/>
        </w:rPr>
        <w:t xml:space="preserve">. El </w:t>
      </w:r>
      <w:r w:rsidR="00EA4308">
        <w:rPr>
          <w:rFonts w:eastAsia="Palatino Linotype" w:cs="Palatino Linotype"/>
          <w:color w:val="auto"/>
          <w:lang w:val="es-ES" w:eastAsia="es-ES"/>
        </w:rPr>
        <w:t>veintidós</w:t>
      </w:r>
      <w:r w:rsidRPr="00E42CFF">
        <w:rPr>
          <w:rFonts w:eastAsia="Palatino Linotype" w:cs="Palatino Linotype"/>
          <w:color w:val="auto"/>
          <w:lang w:val="es-ES" w:eastAsia="es-ES"/>
        </w:rPr>
        <w:t xml:space="preserve"> de abril de dos mil veintidós, al no existir diligencias pendientes por desahogar, se emitió el acuerdo por medio del cual se declaró cerrada la instrucción y se determinó pasar el expediente a resolución, en términos de lo dispuesto en los </w:t>
      </w:r>
      <w:r w:rsidRPr="00E42CFF">
        <w:rPr>
          <w:rFonts w:eastAsia="Palatino Linotype" w:cs="Palatino Linotype"/>
          <w:color w:val="auto"/>
          <w:lang w:val="es-ES" w:eastAsia="es-ES"/>
        </w:rPr>
        <w:lastRenderedPageBreak/>
        <w:t>artículos 185, fracciones VI y VIII de la Ley de Transparencia y Acceso a la Información Pública del Estado de México y Municipios, mismo qu</w:t>
      </w:r>
      <w:r w:rsidR="00F22F5C">
        <w:rPr>
          <w:rFonts w:eastAsia="Palatino Linotype" w:cs="Palatino Linotype"/>
          <w:color w:val="auto"/>
          <w:lang w:val="es-ES" w:eastAsia="es-ES"/>
        </w:rPr>
        <w:t xml:space="preserve">e fue notificado a las partes, </w:t>
      </w:r>
      <w:r w:rsidR="0019018C">
        <w:rPr>
          <w:rFonts w:eastAsia="Palatino Linotype" w:cs="Palatino Linotype"/>
          <w:color w:val="auto"/>
          <w:lang w:val="es-ES" w:eastAsia="es-ES"/>
        </w:rPr>
        <w:t>el mismo día</w:t>
      </w:r>
      <w:r w:rsidRPr="00E42CFF">
        <w:rPr>
          <w:rFonts w:eastAsia="Palatino Linotype" w:cs="Palatino Linotype"/>
          <w:color w:val="auto"/>
          <w:lang w:val="es-ES" w:eastAsia="es-ES"/>
        </w:rPr>
        <w:t>, a través del Sistema de Acceso a la Información Mexiquense (SAIMEX).</w:t>
      </w:r>
    </w:p>
    <w:p w:rsidRPr="00E42CFF" w:rsidR="00E42CFF" w:rsidP="00E23B35" w:rsidRDefault="00E42CFF" w14:paraId="5A3EFBA0" w14:textId="77777777">
      <w:pPr>
        <w:spacing w:after="0"/>
        <w:rPr>
          <w:rFonts w:eastAsia="Palatino Linotype" w:cs="Palatino Linotype"/>
          <w:color w:val="auto"/>
          <w:lang w:val="es-ES" w:eastAsia="es-ES"/>
        </w:rPr>
      </w:pPr>
    </w:p>
    <w:p w:rsidRPr="00E42CFF" w:rsidR="00E42CFF" w:rsidP="00E23B35" w:rsidRDefault="00E42CFF" w14:paraId="3D481E8A" w14:textId="77777777">
      <w:pPr>
        <w:spacing w:after="0"/>
        <w:rPr>
          <w:rFonts w:eastAsia="Times New Roman" w:cs="Tahoma"/>
          <w:color w:val="000000"/>
          <w:lang w:val="es-ES_tradnl" w:eastAsia="es-ES"/>
        </w:rPr>
      </w:pPr>
      <w:r w:rsidRPr="00E42CFF">
        <w:rPr>
          <w:rFonts w:eastAsia="Times New Roman" w:cs="Tahoma"/>
          <w:color w:val="000000"/>
          <w:lang w:val="es-ES_tradnl" w:eastAsia="es-ES"/>
        </w:rPr>
        <w:t xml:space="preserve">En razón de que fue debidamente sustanciado el expediente electrónico y no existe diligencia pendiente de desahogo, se emite la resolución que conforme a Derecho proceda, de acuerdo a los siguientes: </w:t>
      </w:r>
    </w:p>
    <w:p w:rsidRPr="00E42CFF" w:rsidR="00E42CFF" w:rsidP="00E23B35" w:rsidRDefault="00E42CFF" w14:paraId="12C85FD0" w14:textId="77777777">
      <w:pPr>
        <w:spacing w:after="0"/>
        <w:ind w:left="142"/>
        <w:contextualSpacing/>
        <w:rPr>
          <w:rFonts w:eastAsia="Times New Roman" w:cs="Tahoma"/>
          <w:color w:val="auto"/>
          <w:lang w:eastAsia="es-ES"/>
        </w:rPr>
      </w:pPr>
    </w:p>
    <w:p w:rsidRPr="00E42CFF" w:rsidR="00E42CFF" w:rsidP="00E23B35" w:rsidRDefault="00E42CFF" w14:paraId="2C107393" w14:textId="77777777">
      <w:pPr>
        <w:spacing w:after="0"/>
        <w:jc w:val="center"/>
        <w:rPr>
          <w:rFonts w:eastAsia="Times New Roman" w:cs="Tahoma"/>
          <w:b/>
          <w:color w:val="auto"/>
          <w:lang w:val="es-ES" w:eastAsia="es-ES"/>
        </w:rPr>
      </w:pPr>
      <w:r w:rsidRPr="002C5CA2">
        <w:rPr>
          <w:rFonts w:eastAsia="Times New Roman" w:cs="Tahoma"/>
          <w:b/>
          <w:color w:val="auto"/>
          <w:lang w:val="es-ES" w:eastAsia="es-ES"/>
        </w:rPr>
        <w:t>C O N S I D E R A N D O S:</w:t>
      </w:r>
    </w:p>
    <w:p w:rsidRPr="00E42CFF" w:rsidR="00E42CFF" w:rsidP="00E23B35" w:rsidRDefault="00E42CFF" w14:paraId="0E2E8D0C" w14:textId="77777777">
      <w:pPr>
        <w:spacing w:after="0"/>
        <w:rPr>
          <w:b/>
        </w:rPr>
      </w:pPr>
    </w:p>
    <w:p w:rsidRPr="00E42CFF" w:rsidR="00E42CFF" w:rsidP="00E23B35" w:rsidRDefault="00E42CFF" w14:paraId="2AE5B324" w14:textId="77777777">
      <w:pPr>
        <w:autoSpaceDE w:val="0"/>
        <w:autoSpaceDN w:val="0"/>
        <w:adjustRightInd w:val="0"/>
        <w:spacing w:after="0"/>
        <w:rPr>
          <w:rFonts w:eastAsia="Times New Roman" w:cs="Tahoma"/>
          <w:b/>
          <w:color w:val="auto"/>
          <w:szCs w:val="24"/>
          <w:lang w:val="es-ES" w:eastAsia="es-ES"/>
        </w:rPr>
      </w:pPr>
      <w:r w:rsidRPr="00E42CFF">
        <w:rPr>
          <w:rFonts w:eastAsia="Calibri" w:cs="Tahoma"/>
          <w:b/>
          <w:color w:val="000000"/>
          <w:szCs w:val="24"/>
          <w:lang w:val="es-ES" w:eastAsia="es-MX"/>
        </w:rPr>
        <w:t>PRIMERO</w:t>
      </w:r>
      <w:r w:rsidRPr="00E42CFF">
        <w:rPr>
          <w:rFonts w:eastAsia="Calibri" w:cs="Tahoma"/>
          <w:color w:val="000000"/>
          <w:szCs w:val="24"/>
          <w:lang w:val="es-ES" w:eastAsia="es-MX"/>
        </w:rPr>
        <w:t xml:space="preserve">. </w:t>
      </w:r>
      <w:r w:rsidRPr="00E42CFF">
        <w:rPr>
          <w:rFonts w:eastAsia="Times New Roman" w:cs="Tahoma"/>
          <w:b/>
          <w:color w:val="auto"/>
          <w:szCs w:val="24"/>
          <w:lang w:val="es-ES" w:eastAsia="es-ES"/>
        </w:rPr>
        <w:t>Competencia.</w:t>
      </w:r>
    </w:p>
    <w:p w:rsidRPr="00E42CFF" w:rsidR="00E42CFF" w:rsidP="00E23B35" w:rsidRDefault="00E42CFF" w14:paraId="4916453E" w14:textId="77777777">
      <w:pPr>
        <w:autoSpaceDE w:val="0"/>
        <w:autoSpaceDN w:val="0"/>
        <w:adjustRightInd w:val="0"/>
        <w:spacing w:after="0"/>
        <w:rPr>
          <w:rFonts w:eastAsia="Times New Roman" w:cs="Tahoma"/>
          <w:b/>
          <w:color w:val="auto"/>
          <w:szCs w:val="24"/>
          <w:lang w:val="es-ES" w:eastAsia="es-ES"/>
        </w:rPr>
      </w:pPr>
    </w:p>
    <w:p w:rsidRPr="00E42CFF" w:rsidR="00E42CFF" w:rsidP="00E23B35" w:rsidRDefault="00E42CFF" w14:paraId="766B3B34" w14:textId="77777777">
      <w:pPr>
        <w:spacing w:after="0"/>
        <w:rPr>
          <w:rFonts w:eastAsia="Times New Roman" w:cs="Tahoma"/>
          <w:bCs/>
          <w:color w:val="auto"/>
          <w:lang w:eastAsia="es-ES"/>
        </w:rPr>
      </w:pPr>
      <w:r w:rsidRPr="00E42CFF">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E42CFF">
        <w:rPr>
          <w:rFonts w:eastAsia="Times New Roman" w:cs="Tahoma"/>
          <w:bCs/>
          <w:color w:val="auto"/>
          <w:lang w:eastAsia="es-ES"/>
        </w:rPr>
        <w:t>trig</w:t>
      </w:r>
      <w:r w:rsidRPr="00E42CFF">
        <w:rPr>
          <w:rFonts w:eastAsia="Times New Roman" w:cs="Tahoma"/>
          <w:bCs/>
          <w:color w:val="auto"/>
          <w:lang w:val="x-none" w:eastAsia="es-ES"/>
        </w:rPr>
        <w:t>ésimo</w:t>
      </w:r>
      <w:proofErr w:type="spellEnd"/>
      <w:r w:rsidRPr="00E42CFF">
        <w:rPr>
          <w:rFonts w:eastAsia="Times New Roman" w:cs="Tahoma"/>
          <w:bCs/>
          <w:color w:val="auto"/>
          <w:lang w:val="x-none" w:eastAsia="es-ES"/>
        </w:rPr>
        <w:t>, trigésimo primero</w:t>
      </w:r>
      <w:r w:rsidRPr="00E42CFF">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42CFF">
        <w:rPr>
          <w:rFonts w:eastAsia="Times New Roman" w:cs="Times New Roman"/>
          <w:bCs/>
          <w:color w:val="auto"/>
          <w:lang w:eastAsia="es-ES"/>
        </w:rPr>
        <w:t xml:space="preserve"> 7°, </w:t>
      </w:r>
      <w:r w:rsidRPr="00E42CFF">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E42CFF" w:rsidR="00E42CFF" w:rsidP="00E23B35" w:rsidRDefault="00E42CFF" w14:paraId="0ACB3860" w14:textId="77777777">
      <w:pPr>
        <w:spacing w:after="0"/>
        <w:rPr>
          <w:rFonts w:eastAsia="Times New Roman" w:cs="Tahoma"/>
          <w:bCs/>
          <w:color w:val="auto"/>
          <w:lang w:eastAsia="es-ES"/>
        </w:rPr>
      </w:pPr>
    </w:p>
    <w:p w:rsidRPr="00E42CFF" w:rsidR="00E42CFF" w:rsidP="00E23B35" w:rsidRDefault="00E42CFF" w14:paraId="313E5F5E" w14:textId="77777777">
      <w:pPr>
        <w:autoSpaceDE w:val="0"/>
        <w:autoSpaceDN w:val="0"/>
        <w:adjustRightInd w:val="0"/>
        <w:spacing w:after="0"/>
        <w:rPr>
          <w:rFonts w:eastAsia="Times New Roman" w:cs="Tahoma"/>
          <w:color w:val="auto"/>
          <w:szCs w:val="24"/>
          <w:lang w:val="es-ES" w:eastAsia="es-ES"/>
        </w:rPr>
      </w:pPr>
      <w:r w:rsidRPr="00E42CFF">
        <w:rPr>
          <w:rFonts w:eastAsia="Calibri" w:cs="Tahoma"/>
          <w:b/>
          <w:color w:val="000000"/>
          <w:szCs w:val="24"/>
          <w:lang w:val="es-ES" w:eastAsia="es-MX"/>
        </w:rPr>
        <w:t>SEGUNDO</w:t>
      </w:r>
      <w:r w:rsidRPr="00E42CFF">
        <w:rPr>
          <w:rFonts w:eastAsia="Calibri" w:cs="Tahoma"/>
          <w:color w:val="000000"/>
          <w:szCs w:val="24"/>
          <w:lang w:val="es-ES" w:eastAsia="es-MX"/>
        </w:rPr>
        <w:t xml:space="preserve">. </w:t>
      </w:r>
      <w:r w:rsidRPr="00E42CFF">
        <w:rPr>
          <w:rFonts w:eastAsia="Times New Roman" w:cs="Tahoma"/>
          <w:b/>
          <w:color w:val="auto"/>
          <w:szCs w:val="24"/>
          <w:lang w:val="es-ES" w:eastAsia="es-ES"/>
        </w:rPr>
        <w:t>Causales de improcedencia y sobreseimiento.</w:t>
      </w:r>
      <w:r w:rsidRPr="00E42CFF">
        <w:rPr>
          <w:rFonts w:eastAsia="Times New Roman" w:cs="Tahoma"/>
          <w:color w:val="auto"/>
          <w:szCs w:val="24"/>
          <w:lang w:val="es-ES" w:eastAsia="es-ES"/>
        </w:rPr>
        <w:t xml:space="preserve"> </w:t>
      </w:r>
    </w:p>
    <w:p w:rsidRPr="00E42CFF" w:rsidR="00E42CFF" w:rsidP="00E23B35" w:rsidRDefault="00E42CFF" w14:paraId="40DD5E3C" w14:textId="77777777">
      <w:pPr>
        <w:autoSpaceDE w:val="0"/>
        <w:autoSpaceDN w:val="0"/>
        <w:adjustRightInd w:val="0"/>
        <w:spacing w:after="0"/>
        <w:rPr>
          <w:rFonts w:eastAsia="Times New Roman" w:cs="Tahoma"/>
          <w:color w:val="auto"/>
          <w:szCs w:val="24"/>
          <w:lang w:val="es-ES" w:eastAsia="es-ES"/>
        </w:rPr>
      </w:pPr>
    </w:p>
    <w:p w:rsidRPr="00E42CFF" w:rsidR="00E42CFF" w:rsidP="00E23B35" w:rsidRDefault="00E42CFF" w14:paraId="0774E969" w14:textId="77777777">
      <w:pPr>
        <w:autoSpaceDE w:val="0"/>
        <w:autoSpaceDN w:val="0"/>
        <w:adjustRightInd w:val="0"/>
        <w:spacing w:after="0"/>
        <w:rPr>
          <w:rFonts w:eastAsia="Times New Roman" w:cs="Tahoma"/>
          <w:color w:val="auto"/>
          <w:szCs w:val="24"/>
          <w:lang w:val="es-ES" w:eastAsia="es-ES"/>
        </w:rPr>
      </w:pPr>
      <w:r w:rsidRPr="00E42CFF">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E42CFF">
        <w:rPr>
          <w:rFonts w:eastAsia="Times New Roman" w:cs="Tahoma"/>
          <w:i/>
          <w:color w:val="auto"/>
          <w:szCs w:val="24"/>
          <w:lang w:val="es-ES" w:eastAsia="es-ES"/>
        </w:rPr>
        <w:t>litis</w:t>
      </w:r>
      <w:r w:rsidRPr="00E42CFF">
        <w:rPr>
          <w:rFonts w:eastAsia="Times New Roman" w:cs="Tahoma"/>
          <w:color w:val="auto"/>
          <w:szCs w:val="24"/>
          <w:lang w:val="es-ES" w:eastAsia="es-ES"/>
        </w:rPr>
        <w:t>, es necesario estudiar las causales de improcedencia y sobreseimiento que se adviertan, para determinar lo que en Derecho proceda.</w:t>
      </w:r>
    </w:p>
    <w:p w:rsidRPr="00E42CFF" w:rsidR="00E42CFF" w:rsidP="00E23B35" w:rsidRDefault="00E42CFF" w14:paraId="2B2B0ACE" w14:textId="77777777">
      <w:pPr>
        <w:autoSpaceDE w:val="0"/>
        <w:autoSpaceDN w:val="0"/>
        <w:adjustRightInd w:val="0"/>
        <w:spacing w:after="0"/>
        <w:rPr>
          <w:rFonts w:eastAsia="Times New Roman" w:cs="Tahoma"/>
          <w:color w:val="auto"/>
          <w:szCs w:val="24"/>
          <w:lang w:val="es-ES" w:eastAsia="es-ES"/>
        </w:rPr>
      </w:pPr>
    </w:p>
    <w:p w:rsidRPr="00E42CFF" w:rsidR="00E42CFF" w:rsidP="00E23B35" w:rsidRDefault="00E42CFF" w14:paraId="2D4A5A60" w14:textId="77777777">
      <w:pPr>
        <w:autoSpaceDE w:val="0"/>
        <w:autoSpaceDN w:val="0"/>
        <w:adjustRightInd w:val="0"/>
        <w:spacing w:after="0"/>
        <w:rPr>
          <w:rFonts w:eastAsia="Calibri" w:cs="Tahoma"/>
          <w:color w:val="000000"/>
          <w:szCs w:val="24"/>
          <w:lang w:val="es-ES" w:eastAsia="es-MX"/>
        </w:rPr>
      </w:pPr>
      <w:r w:rsidRPr="00E42CFF">
        <w:rPr>
          <w:rFonts w:eastAsia="Calibri" w:cs="Tahoma"/>
          <w:b/>
          <w:color w:val="000000"/>
          <w:szCs w:val="24"/>
          <w:lang w:val="es-ES" w:eastAsia="es-MX"/>
        </w:rPr>
        <w:t>Causales de improcedencia.</w:t>
      </w:r>
      <w:r w:rsidRPr="00E42CFF">
        <w:rPr>
          <w:rFonts w:eastAsia="Calibri" w:cs="Tahoma"/>
          <w:color w:val="000000"/>
          <w:szCs w:val="24"/>
          <w:lang w:val="es-ES" w:eastAsia="es-MX"/>
        </w:rPr>
        <w:t xml:space="preserve"> </w:t>
      </w:r>
    </w:p>
    <w:p w:rsidRPr="00E42CFF" w:rsidR="00E42CFF" w:rsidP="00E23B35" w:rsidRDefault="00E42CFF" w14:paraId="1879F10A" w14:textId="77777777">
      <w:pPr>
        <w:autoSpaceDE w:val="0"/>
        <w:autoSpaceDN w:val="0"/>
        <w:adjustRightInd w:val="0"/>
        <w:spacing w:after="0"/>
        <w:rPr>
          <w:rFonts w:eastAsia="Calibri" w:cs="Tahoma"/>
          <w:color w:val="000000"/>
          <w:szCs w:val="24"/>
          <w:lang w:val="es-ES" w:eastAsia="es-MX"/>
        </w:rPr>
      </w:pPr>
    </w:p>
    <w:p w:rsidRPr="00E42CFF" w:rsidR="00E42CFF" w:rsidP="00E23B35" w:rsidRDefault="00E42CFF" w14:paraId="1920D025" w14:textId="77777777">
      <w:pPr>
        <w:autoSpaceDE w:val="0"/>
        <w:autoSpaceDN w:val="0"/>
        <w:adjustRightInd w:val="0"/>
        <w:spacing w:after="0"/>
        <w:rPr>
          <w:rFonts w:eastAsia="Calibri" w:cs="Tahoma"/>
          <w:color w:val="000000"/>
          <w:lang w:val="es-ES" w:eastAsia="es-MX"/>
        </w:rPr>
      </w:pPr>
      <w:r w:rsidRPr="00E42CFF">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42CFF">
        <w:rPr>
          <w:rFonts w:eastAsia="Calibri" w:cs="Tahoma"/>
          <w:b/>
          <w:bCs/>
          <w:color w:val="000000"/>
          <w:lang w:eastAsia="es-MX"/>
        </w:rPr>
        <w:t xml:space="preserve"> </w:t>
      </w:r>
      <w:r w:rsidRPr="00E42CFF">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E42CFF" w:rsidR="00E42CFF" w:rsidP="00E23B35" w:rsidRDefault="00E42CFF" w14:paraId="1ADDE82C" w14:textId="77777777">
      <w:pPr>
        <w:autoSpaceDE w:val="0"/>
        <w:autoSpaceDN w:val="0"/>
        <w:adjustRightInd w:val="0"/>
        <w:spacing w:after="0"/>
        <w:rPr>
          <w:rFonts w:eastAsia="Calibri" w:cs="Tahoma"/>
          <w:color w:val="000000"/>
          <w:lang w:eastAsia="es-MX"/>
        </w:rPr>
      </w:pPr>
    </w:p>
    <w:p w:rsidRPr="00E42CFF" w:rsidR="00E42CFF" w:rsidP="00E23B35" w:rsidRDefault="00E42CFF" w14:paraId="4E209376" w14:textId="77777777">
      <w:pPr>
        <w:autoSpaceDE w:val="0"/>
        <w:autoSpaceDN w:val="0"/>
        <w:adjustRightInd w:val="0"/>
        <w:spacing w:after="0"/>
        <w:rPr>
          <w:rFonts w:eastAsia="Calibri" w:cs="Tahoma"/>
          <w:color w:val="000000"/>
          <w:lang w:eastAsia="es-MX"/>
        </w:rPr>
      </w:pPr>
      <w:r w:rsidRPr="00E42CFF">
        <w:rPr>
          <w:rFonts w:eastAsia="Calibri" w:cs="Tahoma"/>
          <w:color w:val="000000"/>
          <w:lang w:eastAsia="es-MX"/>
        </w:rPr>
        <w:t xml:space="preserve">En el presente caso, </w:t>
      </w:r>
      <w:r w:rsidRPr="00E42CFF">
        <w:rPr>
          <w:rFonts w:eastAsia="Calibri" w:cs="Tahoma"/>
          <w:b/>
          <w:color w:val="000000"/>
          <w:lang w:eastAsia="es-MX"/>
        </w:rPr>
        <w:t>no se actualiza ninguna de las causales de improcedencia</w:t>
      </w:r>
      <w:r w:rsidRPr="00E42CF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E42CFF" w:rsidR="00E42CFF" w:rsidP="00E23B35" w:rsidRDefault="00E42CFF" w14:paraId="52C5E78A" w14:textId="77777777">
      <w:pPr>
        <w:spacing w:after="0"/>
        <w:rPr>
          <w:rFonts w:eastAsia="Times New Roman" w:cs="Tahoma"/>
          <w:b/>
          <w:bCs/>
          <w:color w:val="auto"/>
          <w:lang w:eastAsia="es-ES"/>
        </w:rPr>
      </w:pPr>
    </w:p>
    <w:p w:rsidRPr="00CF0CE7" w:rsidR="00CF0CE7" w:rsidP="00CF0CE7" w:rsidRDefault="00CF0CE7" w14:paraId="724E6E20" w14:textId="77777777">
      <w:pPr>
        <w:spacing w:after="0"/>
        <w:rPr>
          <w:rFonts w:eastAsia="Times New Roman" w:cs="Tahoma"/>
          <w:color w:val="auto"/>
          <w:lang w:eastAsia="es-ES"/>
        </w:rPr>
      </w:pPr>
      <w:r w:rsidRPr="00CF0CE7">
        <w:rPr>
          <w:rFonts w:eastAsia="Times New Roman" w:cs="Tahoma"/>
          <w:color w:val="auto"/>
          <w:lang w:eastAsia="es-ES"/>
        </w:rPr>
        <w:t>Asimismo, se actualiza la causal de procedencia del Recurso de Revisión señalada en el artículo 179, fracciones III, Ley de Transparencia y Acceso a la Información Pública del Estado de México y Municipios, pues el Recurrente se inconformó de la inexistencia de la información.</w:t>
      </w:r>
    </w:p>
    <w:p w:rsidRPr="00E42CFF" w:rsidR="00E42CFF" w:rsidP="00E23B35" w:rsidRDefault="00E42CFF" w14:paraId="62464CE7" w14:textId="77777777">
      <w:pPr>
        <w:spacing w:after="0"/>
        <w:rPr>
          <w:rFonts w:eastAsia="Times New Roman" w:cs="Tahoma"/>
          <w:b/>
          <w:bCs/>
          <w:color w:val="auto"/>
          <w:lang w:eastAsia="es-ES"/>
        </w:rPr>
      </w:pPr>
    </w:p>
    <w:p w:rsidRPr="00E42CFF" w:rsidR="00E42CFF" w:rsidP="00E23B35" w:rsidRDefault="00E42CFF" w14:paraId="3E012C09" w14:textId="77777777">
      <w:pPr>
        <w:spacing w:after="0"/>
        <w:rPr>
          <w:rFonts w:eastAsia="Times New Roman" w:cs="Tahoma"/>
          <w:b/>
          <w:bCs/>
          <w:color w:val="auto"/>
          <w:lang w:eastAsia="es-ES"/>
        </w:rPr>
      </w:pPr>
      <w:r w:rsidRPr="00E42CFF">
        <w:rPr>
          <w:rFonts w:eastAsia="Times New Roman" w:cs="Tahoma"/>
          <w:b/>
          <w:bCs/>
          <w:color w:val="auto"/>
          <w:lang w:eastAsia="es-ES"/>
        </w:rPr>
        <w:t>Causales de sobreseimiento.</w:t>
      </w:r>
    </w:p>
    <w:p w:rsidRPr="00E42CFF" w:rsidR="00E42CFF" w:rsidP="00E23B35" w:rsidRDefault="00E42CFF" w14:paraId="4E03213F" w14:textId="77777777">
      <w:pPr>
        <w:spacing w:after="0"/>
        <w:rPr>
          <w:rFonts w:eastAsia="Times New Roman" w:cs="Tahoma"/>
          <w:b/>
          <w:bCs/>
          <w:color w:val="auto"/>
          <w:lang w:eastAsia="es-ES"/>
        </w:rPr>
      </w:pPr>
    </w:p>
    <w:p w:rsidRPr="00E42CFF" w:rsidR="00E42CFF" w:rsidP="00E23B35" w:rsidRDefault="00E42CFF" w14:paraId="691F4EC4" w14:textId="77777777">
      <w:pPr>
        <w:spacing w:after="0"/>
        <w:rPr>
          <w:rFonts w:eastAsia="Times New Roman" w:cs="Tahoma"/>
          <w:color w:val="auto"/>
          <w:szCs w:val="24"/>
          <w:lang w:eastAsia="es-ES"/>
        </w:rPr>
      </w:pPr>
      <w:r w:rsidRPr="00E42CFF">
        <w:rPr>
          <w:rFonts w:eastAsia="Times New Roman" w:cs="Tahoma"/>
          <w:color w:val="auto"/>
          <w:szCs w:val="24"/>
          <w:lang w:eastAsia="es-ES"/>
        </w:rPr>
        <w:lastRenderedPageBreak/>
        <w:t>Por ser de previo y especial pronunciamiento, este Instituto analiza si se actualiza alguna causal de sobreseimiento.</w:t>
      </w:r>
    </w:p>
    <w:p w:rsidRPr="00E42CFF" w:rsidR="00E42CFF" w:rsidP="00E23B35" w:rsidRDefault="00E42CFF" w14:paraId="711DB015" w14:textId="77777777">
      <w:pPr>
        <w:spacing w:after="0"/>
        <w:rPr>
          <w:rFonts w:eastAsia="Times New Roman" w:cs="Tahoma"/>
          <w:color w:val="auto"/>
          <w:szCs w:val="24"/>
          <w:lang w:eastAsia="es-ES"/>
        </w:rPr>
      </w:pPr>
    </w:p>
    <w:p w:rsidR="00E42CFF" w:rsidP="00E23B35" w:rsidRDefault="00E42CFF" w14:paraId="1AF911A3" w14:textId="77777777">
      <w:pPr>
        <w:spacing w:after="0"/>
        <w:rPr>
          <w:rFonts w:eastAsia="Times New Roman" w:cs="Tahoma"/>
          <w:color w:val="auto"/>
          <w:szCs w:val="24"/>
          <w:lang w:eastAsia="es-ES"/>
        </w:rPr>
      </w:pPr>
      <w:r w:rsidRPr="00E42CFF">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42CFF" w:rsidR="0019018C" w:rsidP="00E23B35" w:rsidRDefault="0019018C" w14:paraId="4236ACCE" w14:textId="77777777">
      <w:pPr>
        <w:spacing w:after="0"/>
        <w:rPr>
          <w:rFonts w:eastAsia="Times New Roman" w:cs="Tahoma"/>
          <w:color w:val="auto"/>
          <w:szCs w:val="24"/>
          <w:lang w:eastAsia="es-ES"/>
        </w:rPr>
      </w:pPr>
    </w:p>
    <w:p w:rsidRPr="00E42CFF" w:rsidR="00E42CFF" w:rsidP="00E23B35" w:rsidRDefault="00E42CFF" w14:paraId="6026655E" w14:textId="77777777">
      <w:pPr>
        <w:spacing w:after="0"/>
        <w:rPr>
          <w:rFonts w:eastAsia="Times New Roman" w:cs="Tahoma"/>
          <w:color w:val="auto"/>
          <w:szCs w:val="24"/>
          <w:lang w:val="es-ES" w:eastAsia="es-ES"/>
        </w:rPr>
      </w:pPr>
      <w:r w:rsidRPr="00E42CFF">
        <w:rPr>
          <w:rFonts w:eastAsia="Times New Roman" w:cs="Tahoma"/>
          <w:bCs/>
          <w:color w:val="auto"/>
          <w:szCs w:val="24"/>
          <w:lang w:val="es-ES" w:eastAsia="es-ES"/>
        </w:rPr>
        <w:t xml:space="preserve">Por tales motivos, </w:t>
      </w:r>
      <w:r w:rsidRPr="00E42CFF">
        <w:rPr>
          <w:rFonts w:eastAsia="Times New Roman" w:cs="Tahoma"/>
          <w:color w:val="auto"/>
          <w:szCs w:val="24"/>
          <w:lang w:val="es-ES" w:eastAsia="es-ES"/>
        </w:rPr>
        <w:t>se considera procedente entrar al fondo del presente asunto.</w:t>
      </w:r>
    </w:p>
    <w:p w:rsidRPr="00E42CFF" w:rsidR="00E42CFF" w:rsidP="00E23B35" w:rsidRDefault="00E42CFF" w14:paraId="3C0BA81B" w14:textId="77777777">
      <w:pPr>
        <w:spacing w:after="0"/>
      </w:pPr>
    </w:p>
    <w:p w:rsidRPr="00E42CFF" w:rsidR="00E42CFF" w:rsidP="00E23B35" w:rsidRDefault="00E42CFF" w14:paraId="263CEF4C" w14:textId="77777777">
      <w:pPr>
        <w:spacing w:after="0"/>
        <w:rPr>
          <w:rFonts w:eastAsia="Times New Roman" w:cs="Tahoma"/>
          <w:b/>
          <w:bCs/>
          <w:iCs/>
          <w:color w:val="auto"/>
          <w:lang w:val="es-ES" w:eastAsia="es-ES"/>
        </w:rPr>
      </w:pPr>
      <w:r w:rsidRPr="00E42CFF">
        <w:rPr>
          <w:rFonts w:eastAsia="Times New Roman" w:cs="Tahoma"/>
          <w:b/>
          <w:bCs/>
          <w:iCs/>
          <w:color w:val="auto"/>
          <w:lang w:val="es-ES" w:eastAsia="es-ES"/>
        </w:rPr>
        <w:t xml:space="preserve">TERCERO. Determinación de la Controversia. </w:t>
      </w:r>
    </w:p>
    <w:p w:rsidRPr="00E42CFF" w:rsidR="00E42CFF" w:rsidP="00E23B35" w:rsidRDefault="00E42CFF" w14:paraId="0AB50823" w14:textId="77777777">
      <w:pPr>
        <w:autoSpaceDE w:val="0"/>
        <w:autoSpaceDN w:val="0"/>
        <w:adjustRightInd w:val="0"/>
        <w:spacing w:after="0"/>
        <w:rPr>
          <w:rFonts w:eastAsia="Calibri" w:cs="Tahoma"/>
          <w:color w:val="000000"/>
          <w:szCs w:val="24"/>
          <w:lang w:val="es-ES" w:eastAsia="es-MX"/>
        </w:rPr>
      </w:pPr>
    </w:p>
    <w:p w:rsidR="00560A2B" w:rsidP="00E23B35" w:rsidRDefault="00E42CFF" w14:paraId="639371E0" w14:textId="22FC5741">
      <w:pPr>
        <w:autoSpaceDE w:val="0"/>
        <w:autoSpaceDN w:val="0"/>
        <w:adjustRightInd w:val="0"/>
        <w:spacing w:after="0"/>
        <w:rPr>
          <w:rFonts w:eastAsia="Calibri" w:cs="Tahoma"/>
          <w:color w:val="000000"/>
          <w:szCs w:val="24"/>
          <w:lang w:val="es-ES" w:eastAsia="es-MX"/>
        </w:rPr>
      </w:pPr>
      <w:r w:rsidRPr="00E42CFF">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 r</w:t>
      </w:r>
      <w:r w:rsidR="00866462">
        <w:rPr>
          <w:rFonts w:eastAsia="Calibri" w:cs="Tahoma"/>
          <w:color w:val="000000"/>
          <w:szCs w:val="24"/>
          <w:lang w:val="es-ES" w:eastAsia="es-MX"/>
        </w:rPr>
        <w:t>equirió</w:t>
      </w:r>
      <w:r w:rsidR="00CF0CE7">
        <w:rPr>
          <w:rFonts w:eastAsia="Calibri" w:cs="Tahoma"/>
          <w:color w:val="000000"/>
          <w:szCs w:val="24"/>
          <w:lang w:val="es-ES" w:eastAsia="es-MX"/>
        </w:rPr>
        <w:t xml:space="preserve"> conocer el nombre de la empresa contratada </w:t>
      </w:r>
      <w:r w:rsidRPr="00560A2B" w:rsidR="00560A2B">
        <w:rPr>
          <w:rFonts w:eastAsia="Calibri" w:cs="Tahoma"/>
          <w:color w:val="000000"/>
          <w:szCs w:val="24"/>
          <w:lang w:val="es-ES" w:eastAsia="es-MX"/>
        </w:rPr>
        <w:t>para sanitizar los espacio</w:t>
      </w:r>
      <w:r w:rsidR="00560A2B">
        <w:rPr>
          <w:rFonts w:eastAsia="Calibri" w:cs="Tahoma"/>
          <w:color w:val="000000"/>
          <w:szCs w:val="24"/>
          <w:lang w:val="es-ES" w:eastAsia="es-MX"/>
        </w:rPr>
        <w:t>s públicos y edificios públicos</w:t>
      </w:r>
      <w:r w:rsidR="00CF0CE7">
        <w:rPr>
          <w:rFonts w:eastAsia="Calibri" w:cs="Tahoma"/>
          <w:color w:val="000000"/>
          <w:szCs w:val="24"/>
          <w:lang w:val="es-ES" w:eastAsia="es-MX"/>
        </w:rPr>
        <w:t>, del primero al veintisiete de enero de dos mil veintidós, así como, el monto erogado por el Ayuntamiento para llevar a cabo dicha contratación.</w:t>
      </w:r>
    </w:p>
    <w:p w:rsidR="00CF0CE7" w:rsidP="00E23B35" w:rsidRDefault="00CF0CE7" w14:paraId="6FC35449" w14:textId="77777777">
      <w:pPr>
        <w:autoSpaceDE w:val="0"/>
        <w:autoSpaceDN w:val="0"/>
        <w:adjustRightInd w:val="0"/>
        <w:spacing w:after="0"/>
        <w:rPr>
          <w:rFonts w:eastAsia="Calibri" w:cs="Tahoma"/>
          <w:color w:val="000000"/>
          <w:szCs w:val="24"/>
          <w:lang w:val="es-ES" w:eastAsia="es-MX"/>
        </w:rPr>
      </w:pPr>
    </w:p>
    <w:p w:rsidR="00F976DC" w:rsidP="00E23B35" w:rsidRDefault="00E42CFF" w14:paraId="59854127" w14:textId="77777777">
      <w:pPr>
        <w:autoSpaceDE w:val="0"/>
        <w:autoSpaceDN w:val="0"/>
        <w:adjustRightInd w:val="0"/>
        <w:spacing w:after="0"/>
        <w:rPr>
          <w:rFonts w:eastAsia="Calibri" w:cs="Tahoma"/>
          <w:color w:val="000000"/>
          <w:szCs w:val="24"/>
          <w:lang w:val="es-ES" w:eastAsia="es-MX"/>
        </w:rPr>
      </w:pPr>
      <w:r w:rsidRPr="00E42CFF">
        <w:rPr>
          <w:rFonts w:eastAsia="Calibri" w:cs="Tahoma"/>
          <w:color w:val="000000"/>
          <w:szCs w:val="24"/>
          <w:lang w:val="es-ES" w:eastAsia="es-MX"/>
        </w:rPr>
        <w:t xml:space="preserve">En ese tenor, el Sujeto Obligado, </w:t>
      </w:r>
      <w:r w:rsidR="00866462">
        <w:rPr>
          <w:rFonts w:eastAsia="Calibri" w:cs="Tahoma"/>
          <w:color w:val="000000"/>
          <w:szCs w:val="24"/>
          <w:lang w:val="es-ES" w:eastAsia="es-MX"/>
        </w:rPr>
        <w:t xml:space="preserve">a través de la </w:t>
      </w:r>
      <w:r w:rsidR="00560A2B">
        <w:rPr>
          <w:rFonts w:eastAsia="Calibri" w:cs="Tahoma"/>
          <w:color w:val="000000"/>
          <w:szCs w:val="24"/>
          <w:lang w:val="es-ES" w:eastAsia="es-MX"/>
        </w:rPr>
        <w:t xml:space="preserve">Dirección General de Administración </w:t>
      </w:r>
      <w:r w:rsidRPr="006510E7" w:rsidR="006510E7">
        <w:rPr>
          <w:rFonts w:eastAsia="Calibri" w:cs="Tahoma"/>
          <w:color w:val="000000"/>
          <w:szCs w:val="24"/>
          <w:lang w:val="es-ES" w:eastAsia="es-MX"/>
        </w:rPr>
        <w:t xml:space="preserve">y </w:t>
      </w:r>
      <w:r w:rsidR="00866462">
        <w:rPr>
          <w:rFonts w:eastAsia="Calibri" w:cs="Tahoma"/>
          <w:color w:val="000000"/>
          <w:szCs w:val="24"/>
          <w:lang w:val="es-ES" w:eastAsia="es-MX"/>
        </w:rPr>
        <w:t>la Tesorería Municipal,</w:t>
      </w:r>
      <w:r w:rsidRPr="006510E7" w:rsidR="006510E7">
        <w:rPr>
          <w:rFonts w:eastAsia="Calibri" w:cs="Tahoma"/>
          <w:color w:val="000000"/>
          <w:szCs w:val="24"/>
          <w:lang w:val="es-ES" w:eastAsia="es-MX"/>
        </w:rPr>
        <w:t xml:space="preserve"> </w:t>
      </w:r>
      <w:r w:rsidR="00866462">
        <w:rPr>
          <w:rFonts w:eastAsia="Calibri" w:cs="Tahoma"/>
          <w:color w:val="000000"/>
          <w:szCs w:val="24"/>
          <w:lang w:val="es-ES" w:eastAsia="es-MX"/>
        </w:rPr>
        <w:t>informó</w:t>
      </w:r>
      <w:r w:rsidRPr="006510E7" w:rsidR="006510E7">
        <w:rPr>
          <w:rFonts w:eastAsia="Calibri" w:cs="Tahoma"/>
          <w:color w:val="000000"/>
          <w:szCs w:val="24"/>
          <w:lang w:val="es-ES" w:eastAsia="es-MX"/>
        </w:rPr>
        <w:t xml:space="preserve"> que después de realizar una búsqueda exhaustiva, </w:t>
      </w:r>
      <w:r w:rsidRPr="00560A2B" w:rsidR="00560A2B">
        <w:rPr>
          <w:rFonts w:eastAsia="Calibri" w:cs="Tahoma"/>
          <w:color w:val="000000"/>
          <w:szCs w:val="24"/>
          <w:lang w:val="es-ES" w:eastAsia="es-MX"/>
        </w:rPr>
        <w:t>no se localizaron registros, datos o información relacionada a la contratación de servicios o adquisición de bienes, para sanitizar los espacios públicos y edificios públi</w:t>
      </w:r>
      <w:r w:rsidR="00560A2B">
        <w:rPr>
          <w:rFonts w:eastAsia="Calibri" w:cs="Tahoma"/>
          <w:color w:val="000000"/>
          <w:szCs w:val="24"/>
          <w:lang w:val="es-ES" w:eastAsia="es-MX"/>
        </w:rPr>
        <w:t>cos</w:t>
      </w:r>
      <w:r w:rsidR="00F976DC">
        <w:rPr>
          <w:rFonts w:eastAsia="Calibri" w:cs="Tahoma"/>
          <w:color w:val="000000"/>
          <w:szCs w:val="24"/>
          <w:lang w:val="es-ES" w:eastAsia="es-MX"/>
        </w:rPr>
        <w:t>, durante el mes solicitado</w:t>
      </w:r>
      <w:r w:rsidR="0034286C">
        <w:rPr>
          <w:rFonts w:eastAsia="Calibri" w:cs="Tahoma"/>
          <w:color w:val="000000"/>
          <w:szCs w:val="24"/>
          <w:lang w:val="es-ES" w:eastAsia="es-MX"/>
        </w:rPr>
        <w:t xml:space="preserve">; </w:t>
      </w:r>
      <w:r w:rsidR="00D03AAD">
        <w:rPr>
          <w:rFonts w:eastAsia="Calibri" w:cs="Tahoma"/>
          <w:color w:val="000000"/>
          <w:szCs w:val="24"/>
          <w:lang w:val="es-ES" w:eastAsia="es-MX"/>
        </w:rPr>
        <w:t>an</w:t>
      </w:r>
      <w:r w:rsidRPr="00E42CFF">
        <w:rPr>
          <w:rFonts w:eastAsia="Calibri" w:cs="Tahoma"/>
          <w:color w:val="000000"/>
          <w:szCs w:val="24"/>
          <w:lang w:val="es-ES" w:eastAsia="es-MX"/>
        </w:rPr>
        <w:t xml:space="preserve">te </w:t>
      </w:r>
      <w:r w:rsidR="00D03AAD">
        <w:rPr>
          <w:rFonts w:eastAsia="Calibri" w:cs="Tahoma"/>
          <w:color w:val="000000"/>
          <w:szCs w:val="24"/>
          <w:lang w:val="es-ES" w:eastAsia="es-MX"/>
        </w:rPr>
        <w:t>tal circunstancia</w:t>
      </w:r>
      <w:r w:rsidRPr="00E42CFF">
        <w:rPr>
          <w:rFonts w:eastAsia="Calibri" w:cs="Tahoma"/>
          <w:color w:val="000000"/>
          <w:szCs w:val="24"/>
          <w:lang w:val="es-ES" w:eastAsia="es-MX"/>
        </w:rPr>
        <w:t>, el Particular se inconformó</w:t>
      </w:r>
      <w:r w:rsidR="00F976DC">
        <w:rPr>
          <w:rFonts w:eastAsia="Calibri" w:cs="Tahoma"/>
          <w:color w:val="000000"/>
          <w:szCs w:val="24"/>
          <w:lang w:val="es-ES" w:eastAsia="es-MX"/>
        </w:rPr>
        <w:t xml:space="preserve"> con la inexistencia de la información, al señalar como acto reclamado, la respuesta entregada</w:t>
      </w:r>
      <w:r w:rsidRPr="00E42CFF">
        <w:rPr>
          <w:rFonts w:eastAsia="Calibri" w:cs="Tahoma"/>
          <w:color w:val="000000"/>
          <w:szCs w:val="24"/>
          <w:lang w:val="es-ES" w:eastAsia="es-MX"/>
        </w:rPr>
        <w:t xml:space="preserve"> lo cual se actualiza el </w:t>
      </w:r>
      <w:r w:rsidRPr="00E42CFF">
        <w:rPr>
          <w:rFonts w:eastAsia="Calibri" w:cs="Tahoma"/>
          <w:color w:val="000000"/>
          <w:szCs w:val="24"/>
          <w:lang w:val="es-ES" w:eastAsia="es-MX"/>
        </w:rPr>
        <w:lastRenderedPageBreak/>
        <w:t xml:space="preserve">supuesto previsto en el artículo 179, fracción </w:t>
      </w:r>
      <w:r w:rsidR="00F976DC">
        <w:rPr>
          <w:rFonts w:eastAsia="Calibri" w:cs="Tahoma"/>
          <w:color w:val="000000"/>
          <w:szCs w:val="24"/>
          <w:lang w:val="es-ES" w:eastAsia="es-MX"/>
        </w:rPr>
        <w:t>III</w:t>
      </w:r>
      <w:r w:rsidRPr="00E42CFF">
        <w:rPr>
          <w:rFonts w:eastAsia="Calibri" w:cs="Tahoma"/>
          <w:color w:val="000000"/>
          <w:szCs w:val="24"/>
          <w:lang w:val="es-ES" w:eastAsia="es-MX"/>
        </w:rPr>
        <w:t xml:space="preserve">, de la Ley de Transparencia y Acceso a la Información Pública del Estado de México y Municipios. </w:t>
      </w:r>
    </w:p>
    <w:p w:rsidR="00F976DC" w:rsidP="00E23B35" w:rsidRDefault="00F976DC" w14:paraId="600C1AF8" w14:textId="77777777">
      <w:pPr>
        <w:autoSpaceDE w:val="0"/>
        <w:autoSpaceDN w:val="0"/>
        <w:adjustRightInd w:val="0"/>
        <w:spacing w:after="0"/>
        <w:rPr>
          <w:rFonts w:eastAsia="Calibri" w:cs="Tahoma"/>
          <w:color w:val="000000"/>
          <w:szCs w:val="24"/>
          <w:lang w:val="es-ES" w:eastAsia="es-MX"/>
        </w:rPr>
      </w:pPr>
    </w:p>
    <w:p w:rsidRPr="00F976DC" w:rsidR="00F976DC" w:rsidP="00F976DC" w:rsidRDefault="00F976DC" w14:paraId="6A407058" w14:textId="77777777">
      <w:pPr>
        <w:spacing w:after="0"/>
        <w:rPr>
          <w:rFonts w:eastAsia="Times New Roman" w:cs="Tahoma"/>
          <w:bCs/>
          <w:iCs/>
          <w:color w:val="auto"/>
          <w:lang w:eastAsia="es-ES"/>
        </w:rPr>
      </w:pPr>
      <w:r w:rsidRPr="00F976DC">
        <w:rPr>
          <w:rFonts w:eastAsia="Times New Roman" w:cs="Tahoma"/>
          <w:bCs/>
          <w:iCs/>
          <w:color w:val="auto"/>
          <w:lang w:eastAsia="es-ES"/>
        </w:rPr>
        <w:t xml:space="preserve">Situación que guarda relevancia, pues la Suprema Corte de Justicia de la Nación, ha señalado que los agravios que se hagan valer dentro de los recursos no necesitan cumplir con formalidades rígidas y solemnes, sino que será suficiente </w:t>
      </w:r>
      <w:r w:rsidRPr="00F976DC">
        <w:rPr>
          <w:rFonts w:eastAsia="Times New Roman" w:cs="Tahoma"/>
          <w:b/>
          <w:bCs/>
          <w:iCs/>
          <w:color w:val="auto"/>
          <w:lang w:eastAsia="es-ES"/>
        </w:rPr>
        <w:t>que en alguna parte se expresen con claridad la causa de pedir</w:t>
      </w:r>
      <w:r w:rsidRPr="00F976DC">
        <w:rPr>
          <w:rFonts w:eastAsia="Times New Roman" w:cs="Tahoma"/>
          <w:bCs/>
          <w:iCs/>
          <w:color w:val="auto"/>
          <w:lang w:eastAsia="es-ES"/>
        </w:rPr>
        <w:t>, esto es, la lesión o el agravio con las respectivas consideraciones que los provocan; como se advierte a continuación:</w:t>
      </w:r>
    </w:p>
    <w:p w:rsidRPr="00F976DC" w:rsidR="00F976DC" w:rsidP="00F976DC" w:rsidRDefault="00F976DC" w14:paraId="4522DA67" w14:textId="77777777">
      <w:pPr>
        <w:spacing w:after="0"/>
        <w:ind w:left="567" w:right="567"/>
        <w:contextualSpacing/>
        <w:rPr>
          <w:rFonts w:eastAsia="Calibri" w:cs="Times New Roman"/>
          <w:b/>
          <w:i/>
          <w:sz w:val="20"/>
          <w:szCs w:val="20"/>
        </w:rPr>
      </w:pPr>
    </w:p>
    <w:p w:rsidRPr="00F976DC" w:rsidR="00F976DC" w:rsidP="00F976DC" w:rsidRDefault="00F976DC" w14:paraId="6521739D" w14:textId="77777777">
      <w:pPr>
        <w:spacing w:after="0"/>
        <w:ind w:left="567" w:right="567"/>
        <w:contextualSpacing/>
        <w:rPr>
          <w:i/>
          <w:sz w:val="20"/>
          <w:szCs w:val="20"/>
        </w:rPr>
      </w:pPr>
      <w:r w:rsidRPr="00F976DC">
        <w:rPr>
          <w:b/>
          <w:i/>
          <w:sz w:val="20"/>
          <w:szCs w:val="20"/>
        </w:rPr>
        <w:t>“AGRAVIOS EN RECURSOS INTERPUESTOS DENTRO DEL JUICIO DE AMPARO. PARA QUE SE ESTUDIEN BASTA CON EXPRESAR EN EL ESCRITO RELATIVO, RESPECTO DE LAS CONSIDERACIONES QUE SE CONTROVIERTEN DE LA RESOLUCIÓN IMPUGNADA, LA CAUSA DE PEDIR.</w:t>
      </w:r>
      <w:r w:rsidRPr="00F976DC">
        <w:rPr>
          <w:i/>
          <w:sz w:val="20"/>
          <w:szCs w:val="20"/>
        </w:rPr>
        <w:t xml:space="preserve"> Tomando en cuenta lo dispuesto en la tesis jurisprudencial 2a./J. 63/98, visible en el Semanario Judicial de la Federación y su Gaceta, Tomo VIII, septiembre de 1998, página 323, cuyo rubro es "CONCEPTOS DE VIOLACIÓN. PARA QUE SE ESTUDIEN, BASTA CON EXPRESAR CLARAMENTE EN LA DEMANDA DE GARANTÍAS LA CAUSA DE PEDIR.", esta Suprema Corte de Justicia arriba a la conclusión de que los agravios que se hagan valer dentro de los recursos que prevé la Ley de Amparo no necesitan cumplir con formalidades rígidas y solemnes, ya que, por una parte, los diversos preceptos de este ordenamiento que regulan los referidos medios de defensa no exigen requisitos para su formulación y, por otra, el escrito a través del cual se hagan valer éstos debe examinarse en su conjunto, por lo que será suficiente que en alguna parte de éste se exprese con claridad la causa de pedir, señalándose cuál es la lesión o agravio que las respectivas consideraciones le provocan, así como los motivos que generan esta afectación, para que el órgano revisor deba analizarlos; debiendo precisarse que esta conclusión únicamente exime al recurrente de seguir determinado formalismo al plantear los agravios correspondientes, mas no de controvertir el cúmulo de consideraciones que por su estructura lógica sustentan la resolución recurrida, o, en su caso, las circunstancias de hecho que afectan la validez de esta última.”</w:t>
      </w:r>
    </w:p>
    <w:p w:rsidRPr="00F976DC" w:rsidR="00F976DC" w:rsidP="00F976DC" w:rsidRDefault="00F976DC" w14:paraId="4F5D31D7" w14:textId="77777777">
      <w:pPr>
        <w:spacing w:after="0"/>
        <w:rPr>
          <w:rFonts w:eastAsia="Times New Roman" w:cs="Tahoma"/>
          <w:bCs/>
          <w:iCs/>
          <w:color w:val="auto"/>
          <w:lang w:eastAsia="es-ES"/>
        </w:rPr>
      </w:pPr>
    </w:p>
    <w:p w:rsidRPr="00F976DC" w:rsidR="00F976DC" w:rsidP="00F976DC" w:rsidRDefault="00F976DC" w14:paraId="454DDCD9" w14:textId="05AC7545">
      <w:pPr>
        <w:spacing w:after="0"/>
        <w:rPr>
          <w:rFonts w:eastAsia="Times New Roman" w:cs="Tahoma"/>
          <w:bCs/>
          <w:iCs/>
          <w:color w:val="auto"/>
          <w:lang w:eastAsia="es-ES"/>
        </w:rPr>
      </w:pPr>
      <w:r w:rsidRPr="00F976DC">
        <w:rPr>
          <w:rFonts w:eastAsia="Times New Roman" w:cs="Tahoma"/>
          <w:bCs/>
          <w:iCs/>
          <w:color w:val="auto"/>
          <w:lang w:eastAsia="es-ES"/>
        </w:rPr>
        <w:lastRenderedPageBreak/>
        <w:t xml:space="preserve">Conforme a lo anterior, se establece que es suficiente que en alguna parte del escrito se exprese con claridad la causa de pedir, es decir, que, en derecho de acceso a la información, únicamente señalarse de la lesión o agravio que provoca el Recurso; en el presente caso, el Particular como acto reclamado, señaló la </w:t>
      </w:r>
      <w:r>
        <w:rPr>
          <w:rFonts w:eastAsia="Times New Roman" w:cs="Tahoma"/>
          <w:bCs/>
          <w:iCs/>
          <w:color w:val="auto"/>
          <w:lang w:eastAsia="es-ES"/>
        </w:rPr>
        <w:t xml:space="preserve">respuesta entregada, por lo que, esta hacer alusión a la inexistencia de la información, es evidente que el Particular se </w:t>
      </w:r>
      <w:r w:rsidR="00326EA2">
        <w:rPr>
          <w:rFonts w:eastAsia="Times New Roman" w:cs="Tahoma"/>
          <w:bCs/>
          <w:iCs/>
          <w:color w:val="auto"/>
          <w:lang w:eastAsia="es-ES"/>
        </w:rPr>
        <w:t>inconformó</w:t>
      </w:r>
      <w:r>
        <w:rPr>
          <w:rFonts w:eastAsia="Times New Roman" w:cs="Tahoma"/>
          <w:bCs/>
          <w:iCs/>
          <w:color w:val="auto"/>
          <w:lang w:eastAsia="es-ES"/>
        </w:rPr>
        <w:t xml:space="preserve"> d</w:t>
      </w:r>
      <w:r w:rsidR="00326EA2">
        <w:rPr>
          <w:rFonts w:eastAsia="Times New Roman" w:cs="Tahoma"/>
          <w:bCs/>
          <w:iCs/>
          <w:color w:val="auto"/>
          <w:lang w:eastAsia="es-ES"/>
        </w:rPr>
        <w:t>e dicha circunstancia.</w:t>
      </w:r>
    </w:p>
    <w:p w:rsidR="00F976DC" w:rsidP="00E23B35" w:rsidRDefault="00F976DC" w14:paraId="02043AC9" w14:textId="77777777">
      <w:pPr>
        <w:autoSpaceDE w:val="0"/>
        <w:autoSpaceDN w:val="0"/>
        <w:adjustRightInd w:val="0"/>
        <w:spacing w:after="0"/>
        <w:rPr>
          <w:rFonts w:eastAsia="Calibri" w:cs="Tahoma"/>
          <w:color w:val="000000"/>
          <w:szCs w:val="24"/>
          <w:lang w:val="es-ES" w:eastAsia="es-MX"/>
        </w:rPr>
      </w:pPr>
    </w:p>
    <w:p w:rsidRPr="00E42CFF" w:rsidR="00E42CFF" w:rsidP="00E23B35" w:rsidRDefault="00D03AAD" w14:paraId="33920960" w14:textId="4B737389">
      <w:pPr>
        <w:autoSpaceDE w:val="0"/>
        <w:autoSpaceDN w:val="0"/>
        <w:adjustRightInd w:val="0"/>
        <w:spacing w:after="0"/>
        <w:rPr>
          <w:rFonts w:eastAsia="Calibri" w:cs="Tahoma"/>
          <w:color w:val="000000"/>
          <w:szCs w:val="24"/>
          <w:lang w:val="es-ES" w:eastAsia="es-MX"/>
        </w:rPr>
      </w:pPr>
      <w:r>
        <w:rPr>
          <w:rFonts w:eastAsia="Calibri" w:cs="Tahoma"/>
          <w:color w:val="000000"/>
          <w:szCs w:val="24"/>
          <w:lang w:val="es-ES" w:eastAsia="es-MX"/>
        </w:rPr>
        <w:t>Así las cosas, una vez ad</w:t>
      </w:r>
      <w:r w:rsidR="00560A2B">
        <w:rPr>
          <w:rFonts w:eastAsia="Calibri" w:cs="Tahoma"/>
          <w:color w:val="000000"/>
          <w:szCs w:val="24"/>
          <w:lang w:val="es-ES" w:eastAsia="es-MX"/>
        </w:rPr>
        <w:t xml:space="preserve">mitido y notificado el Recurso </w:t>
      </w:r>
      <w:r>
        <w:rPr>
          <w:rFonts w:eastAsia="Calibri" w:cs="Tahoma"/>
          <w:color w:val="000000"/>
          <w:szCs w:val="24"/>
          <w:lang w:val="es-ES" w:eastAsia="es-MX"/>
        </w:rPr>
        <w:t>de Revisión, el Sujeto Obligado ratificó su respuesta, al señalar que desde respuesta había señalado las razones por las cuales no contaba con lo peticionado, y que en el presente caso</w:t>
      </w:r>
      <w:r w:rsidR="00105FDE">
        <w:rPr>
          <w:rFonts w:eastAsia="Calibri" w:cs="Tahoma"/>
          <w:color w:val="000000"/>
          <w:szCs w:val="24"/>
          <w:lang w:val="es-ES" w:eastAsia="es-MX"/>
        </w:rPr>
        <w:t xml:space="preserve"> s</w:t>
      </w:r>
      <w:r>
        <w:rPr>
          <w:rFonts w:eastAsia="Calibri" w:cs="Tahoma"/>
          <w:color w:val="000000"/>
          <w:szCs w:val="24"/>
          <w:lang w:val="es-ES" w:eastAsia="es-MX"/>
        </w:rPr>
        <w:t>e trataba de un hecho negativo, por lo que, la inexistencia no tenía que ser declarada por el Comité de Transparencia.</w:t>
      </w:r>
    </w:p>
    <w:p w:rsidRPr="00E42CFF" w:rsidR="00E42CFF" w:rsidP="00E23B35" w:rsidRDefault="00E42CFF" w14:paraId="047E8132" w14:textId="77777777">
      <w:pPr>
        <w:autoSpaceDE w:val="0"/>
        <w:autoSpaceDN w:val="0"/>
        <w:adjustRightInd w:val="0"/>
        <w:spacing w:after="0"/>
        <w:rPr>
          <w:rFonts w:eastAsia="Calibri" w:cs="Tahoma"/>
          <w:bCs/>
          <w:lang w:val="es-ES_tradnl"/>
        </w:rPr>
      </w:pPr>
    </w:p>
    <w:p w:rsidRPr="00E42CFF" w:rsidR="00E42CFF" w:rsidP="00E23B35" w:rsidRDefault="00E42CFF" w14:paraId="042EFC10" w14:textId="77777777">
      <w:pPr>
        <w:spacing w:after="0"/>
      </w:pPr>
      <w:r w:rsidRPr="00E42CFF">
        <w:t xml:space="preserve">Lo anterior, se desprende de las documentales que obran en el expediente de referencia, materia de la presente Resolución, consistentes en: la solicitud de acceso a la información; la respuesta del Sujeto Obligado; </w:t>
      </w:r>
      <w:r w:rsidRPr="00E42CFF">
        <w:rPr>
          <w:bCs/>
        </w:rPr>
        <w:t xml:space="preserve">el </w:t>
      </w:r>
      <w:r w:rsidRPr="00E42CFF">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E42CFF" w:rsidR="00E42CFF" w:rsidP="00E23B35" w:rsidRDefault="00E42CFF" w14:paraId="19889B53" w14:textId="77777777">
      <w:pPr>
        <w:spacing w:after="0"/>
      </w:pPr>
    </w:p>
    <w:p w:rsidRPr="00E42CFF" w:rsidR="00E42CFF" w:rsidP="00E23B35" w:rsidRDefault="00E42CFF" w14:paraId="28BB8AC2" w14:textId="77777777">
      <w:pPr>
        <w:spacing w:after="0"/>
        <w:rPr>
          <w:rFonts w:eastAsia="Times New Roman" w:cs="Tahoma"/>
          <w:b/>
          <w:bCs/>
          <w:iCs/>
          <w:color w:val="auto"/>
          <w:lang w:eastAsia="es-ES"/>
        </w:rPr>
      </w:pPr>
      <w:r w:rsidRPr="00E42CFF">
        <w:rPr>
          <w:rFonts w:eastAsia="Times New Roman" w:cs="Tahoma"/>
          <w:b/>
          <w:bCs/>
          <w:iCs/>
          <w:color w:val="auto"/>
          <w:lang w:val="es-ES" w:eastAsia="es-ES"/>
        </w:rPr>
        <w:t xml:space="preserve">CUARTO. </w:t>
      </w:r>
      <w:r w:rsidRPr="00E42CFF">
        <w:rPr>
          <w:rFonts w:eastAsia="Times New Roman" w:cs="Tahoma"/>
          <w:b/>
          <w:bCs/>
          <w:iCs/>
          <w:color w:val="auto"/>
          <w:lang w:eastAsia="es-ES"/>
        </w:rPr>
        <w:t>Marco normativo aplicable en materia de transparencia y acceso a la información pública.</w:t>
      </w:r>
    </w:p>
    <w:p w:rsidRPr="00E42CFF" w:rsidR="00E42CFF" w:rsidP="00E23B35" w:rsidRDefault="00E42CFF" w14:paraId="3DC6F285" w14:textId="77777777">
      <w:pPr>
        <w:spacing w:after="0"/>
        <w:rPr>
          <w:rFonts w:eastAsia="Times New Roman" w:cs="Tahoma"/>
          <w:b/>
          <w:bCs/>
          <w:iCs/>
          <w:color w:val="auto"/>
          <w:lang w:eastAsia="es-ES"/>
        </w:rPr>
      </w:pPr>
    </w:p>
    <w:p w:rsidRPr="00E42CFF" w:rsidR="00E42CFF" w:rsidP="00E23B35" w:rsidRDefault="00E42CFF" w14:paraId="14529B15" w14:textId="77777777">
      <w:pPr>
        <w:spacing w:after="0"/>
        <w:rPr>
          <w:rFonts w:eastAsia="Times New Roman" w:cs="Tahoma"/>
          <w:bCs/>
          <w:iCs/>
          <w:color w:val="auto"/>
          <w:lang w:eastAsia="es-ES"/>
        </w:rPr>
      </w:pPr>
      <w:r w:rsidRPr="00E42CF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42CFF" w:rsidR="00E42CFF" w:rsidP="00E23B35" w:rsidRDefault="00E42CFF" w14:paraId="40142209" w14:textId="77777777">
      <w:pPr>
        <w:spacing w:after="0"/>
        <w:rPr>
          <w:rFonts w:eastAsia="Times New Roman" w:cs="Tahoma"/>
          <w:bCs/>
          <w:iCs/>
          <w:color w:val="auto"/>
          <w:lang w:eastAsia="es-ES"/>
        </w:rPr>
      </w:pPr>
    </w:p>
    <w:p w:rsidRPr="00E42CFF" w:rsidR="00E42CFF" w:rsidP="00E23B35" w:rsidRDefault="00E42CFF" w14:paraId="5F6A8FF4" w14:textId="77777777">
      <w:pPr>
        <w:spacing w:after="0"/>
        <w:rPr>
          <w:rFonts w:eastAsia="Times New Roman" w:cs="Tahoma"/>
          <w:bCs/>
          <w:iCs/>
          <w:color w:val="auto"/>
          <w:lang w:eastAsia="es-ES"/>
        </w:rPr>
      </w:pPr>
      <w:r w:rsidRPr="00E42CF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42CFF" w:rsidR="00E42CFF" w:rsidP="00E23B35" w:rsidRDefault="00E42CFF" w14:paraId="162177EF" w14:textId="77777777">
      <w:pPr>
        <w:spacing w:after="0"/>
        <w:rPr>
          <w:rFonts w:eastAsia="Times New Roman" w:cs="Tahoma"/>
          <w:bCs/>
          <w:iCs/>
          <w:color w:val="auto"/>
          <w:lang w:eastAsia="es-ES"/>
        </w:rPr>
      </w:pPr>
    </w:p>
    <w:p w:rsidRPr="00E42CFF" w:rsidR="00E42CFF" w:rsidP="00E23B35" w:rsidRDefault="00E42CFF" w14:paraId="1D02BBB5" w14:textId="77777777">
      <w:pPr>
        <w:spacing w:after="0"/>
        <w:rPr>
          <w:rFonts w:eastAsia="Times New Roman" w:cs="Tahoma"/>
          <w:bCs/>
          <w:iCs/>
          <w:color w:val="auto"/>
          <w:lang w:eastAsia="es-ES"/>
        </w:rPr>
      </w:pPr>
      <w:r w:rsidRPr="00E42CFF">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42CFF" w:rsidR="00E42CFF" w:rsidP="00E23B35" w:rsidRDefault="00E42CFF" w14:paraId="0CE7C4DB" w14:textId="77777777">
      <w:pPr>
        <w:spacing w:after="0"/>
        <w:rPr>
          <w:rFonts w:eastAsia="Times New Roman" w:cs="Tahoma"/>
          <w:bCs/>
          <w:iCs/>
          <w:color w:val="auto"/>
          <w:lang w:eastAsia="es-ES"/>
        </w:rPr>
      </w:pPr>
    </w:p>
    <w:p w:rsidRPr="00E42CFF" w:rsidR="00E42CFF" w:rsidP="00E23B35" w:rsidRDefault="00E42CFF" w14:paraId="3277BE95" w14:textId="77777777">
      <w:pPr>
        <w:spacing w:after="0"/>
        <w:rPr>
          <w:rFonts w:eastAsia="Times New Roman" w:cs="Tahoma"/>
          <w:bCs/>
          <w:iCs/>
          <w:color w:val="auto"/>
          <w:lang w:eastAsia="es-ES"/>
        </w:rPr>
      </w:pPr>
      <w:r w:rsidRPr="00E42CF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E42CFF" w:rsidR="00E42CFF" w:rsidP="00E23B35" w:rsidRDefault="00E42CFF" w14:paraId="36D7165F" w14:textId="77777777">
      <w:pPr>
        <w:spacing w:after="0"/>
        <w:rPr>
          <w:rFonts w:eastAsia="Times New Roman" w:cs="Tahoma"/>
          <w:bCs/>
          <w:iCs/>
          <w:color w:val="auto"/>
          <w:lang w:eastAsia="es-ES"/>
        </w:rPr>
      </w:pPr>
    </w:p>
    <w:p w:rsidRPr="00E42CFF" w:rsidR="00E42CFF" w:rsidP="00E23B35" w:rsidRDefault="00E42CFF" w14:paraId="748215D9" w14:textId="77777777">
      <w:pPr>
        <w:spacing w:after="0"/>
        <w:rPr>
          <w:rFonts w:eastAsia="Times New Roman" w:cs="Tahoma"/>
          <w:bCs/>
          <w:iCs/>
          <w:color w:val="auto"/>
          <w:lang w:eastAsia="es-ES"/>
        </w:rPr>
      </w:pPr>
      <w:r w:rsidRPr="00E42CFF">
        <w:rPr>
          <w:rFonts w:eastAsia="Times New Roman" w:cs="Tahoma"/>
          <w:bCs/>
          <w:iCs/>
          <w:color w:val="auto"/>
          <w:lang w:eastAsia="es-ES"/>
        </w:rPr>
        <w:t>El artículo 12, que, quienes generen, recopilen, administren, manejen, procesen, archiven o conserven información pública serán responsables de la misma.</w:t>
      </w:r>
    </w:p>
    <w:p w:rsidRPr="00E42CFF" w:rsidR="00E42CFF" w:rsidP="00E23B35" w:rsidRDefault="00E42CFF" w14:paraId="3D8D0FC8" w14:textId="77777777">
      <w:pPr>
        <w:spacing w:after="0"/>
        <w:rPr>
          <w:rFonts w:eastAsia="Times New Roman" w:cs="Tahoma"/>
          <w:bCs/>
          <w:iCs/>
          <w:color w:val="auto"/>
          <w:lang w:eastAsia="es-ES"/>
        </w:rPr>
      </w:pPr>
    </w:p>
    <w:p w:rsidRPr="00E42CFF" w:rsidR="00E42CFF" w:rsidP="00E23B35" w:rsidRDefault="00E42CFF" w14:paraId="67A33F80" w14:textId="77777777">
      <w:pPr>
        <w:spacing w:after="0"/>
        <w:rPr>
          <w:rFonts w:eastAsia="Times New Roman" w:cs="Tahoma"/>
          <w:bCs/>
          <w:iCs/>
          <w:color w:val="auto"/>
          <w:lang w:eastAsia="es-ES"/>
        </w:rPr>
      </w:pPr>
      <w:r w:rsidRPr="00E42CF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E42CFF" w:rsidR="00E42CFF" w:rsidP="00E23B35" w:rsidRDefault="00E42CFF" w14:paraId="7CC7F527" w14:textId="77777777">
      <w:pPr>
        <w:spacing w:after="0"/>
        <w:rPr>
          <w:rFonts w:eastAsia="Times New Roman" w:cs="Tahoma"/>
          <w:bCs/>
          <w:iCs/>
          <w:color w:val="auto"/>
          <w:lang w:eastAsia="es-ES"/>
        </w:rPr>
      </w:pPr>
    </w:p>
    <w:p w:rsidRPr="00E42CFF" w:rsidR="00E42CFF" w:rsidP="00E23B35" w:rsidRDefault="00E42CFF" w14:paraId="1E14C957" w14:textId="77777777">
      <w:pPr>
        <w:spacing w:after="0"/>
        <w:rPr>
          <w:rFonts w:eastAsia="Times New Roman" w:cs="Tahoma"/>
          <w:bCs/>
          <w:iCs/>
          <w:color w:val="auto"/>
          <w:lang w:eastAsia="es-ES"/>
        </w:rPr>
      </w:pPr>
      <w:r w:rsidRPr="00E42CFF">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42CFF" w:rsidP="00E23B35" w:rsidRDefault="00E42CFF" w14:paraId="1E7CBEF0" w14:textId="77777777">
      <w:pPr>
        <w:spacing w:after="0"/>
        <w:rPr>
          <w:rFonts w:eastAsia="Times New Roman" w:cs="Tahoma"/>
          <w:b/>
          <w:bCs/>
          <w:iCs/>
          <w:color w:val="auto"/>
          <w:lang w:val="es-ES" w:eastAsia="es-ES"/>
        </w:rPr>
      </w:pPr>
    </w:p>
    <w:p w:rsidRPr="00A701D3" w:rsidR="004572A9" w:rsidP="00E23B35" w:rsidRDefault="004572A9" w14:paraId="1A9A5F03" w14:textId="77777777">
      <w:pPr>
        <w:spacing w:after="0"/>
        <w:rPr>
          <w:rFonts w:eastAsia="Times New Roman" w:cs="Tahoma"/>
          <w:color w:val="auto"/>
          <w:lang w:eastAsia="es-ES"/>
        </w:rPr>
      </w:pPr>
      <w:r w:rsidRPr="00A701D3">
        <w:rPr>
          <w:rFonts w:eastAsia="Times New Roman" w:cs="Tahoma"/>
          <w:color w:val="auto"/>
          <w:lang w:eastAsia="es-ES"/>
        </w:rPr>
        <w:t xml:space="preserve">El artículo 92, fracción </w:t>
      </w:r>
      <w:r w:rsidRPr="00A701D3">
        <w:rPr>
          <w:rFonts w:eastAsia="Times New Roman" w:cs="Tahoma"/>
          <w:color w:val="auto"/>
          <w:lang w:val="x-none" w:eastAsia="es-ES"/>
        </w:rPr>
        <w:t>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E42CFF" w:rsidR="004572A9" w:rsidP="00E23B35" w:rsidRDefault="004572A9" w14:paraId="4C169D39" w14:textId="77777777">
      <w:pPr>
        <w:spacing w:after="0"/>
        <w:rPr>
          <w:rFonts w:eastAsia="Times New Roman" w:cs="Tahoma"/>
          <w:b/>
          <w:bCs/>
          <w:iCs/>
          <w:color w:val="auto"/>
          <w:lang w:val="es-ES" w:eastAsia="es-ES"/>
        </w:rPr>
      </w:pPr>
    </w:p>
    <w:p w:rsidRPr="00E42CFF" w:rsidR="00E42CFF" w:rsidP="00E23B35" w:rsidRDefault="00E42CFF" w14:paraId="32B5B6BC" w14:textId="77777777">
      <w:pPr>
        <w:spacing w:after="0"/>
        <w:rPr>
          <w:rFonts w:eastAsia="Times New Roman" w:cs="Tahoma"/>
          <w:b/>
          <w:bCs/>
          <w:iCs/>
          <w:color w:val="auto"/>
          <w:lang w:val="es-ES" w:eastAsia="es-ES"/>
        </w:rPr>
      </w:pPr>
      <w:r w:rsidRPr="00E42CFF">
        <w:rPr>
          <w:rFonts w:eastAsia="Times New Roman" w:cs="Tahoma"/>
          <w:b/>
          <w:bCs/>
          <w:iCs/>
          <w:color w:val="auto"/>
          <w:lang w:val="es-ES" w:eastAsia="es-ES"/>
        </w:rPr>
        <w:t>Quinto. Estudio de Fondo.</w:t>
      </w:r>
    </w:p>
    <w:p w:rsidRPr="00E42CFF" w:rsidR="00E42CFF" w:rsidP="00E23B35" w:rsidRDefault="00E42CFF" w14:paraId="003010F5" w14:textId="77777777">
      <w:pPr>
        <w:spacing w:after="0"/>
        <w:rPr>
          <w:rFonts w:eastAsia="Times New Roman" w:cs="Tahoma"/>
          <w:iCs/>
          <w:color w:val="auto"/>
          <w:lang w:val="es-ES" w:eastAsia="es-ES"/>
        </w:rPr>
      </w:pPr>
    </w:p>
    <w:p w:rsidR="00326EA2" w:rsidP="00326EA2" w:rsidRDefault="00E42CFF" w14:paraId="108F0DBB" w14:textId="083B630A">
      <w:pPr>
        <w:spacing w:after="0"/>
        <w:rPr>
          <w:rFonts w:eastAsia="Times New Roman" w:cs="Tahoma"/>
          <w:bCs/>
          <w:color w:val="auto"/>
          <w:lang w:eastAsia="es-ES"/>
        </w:rPr>
      </w:pPr>
      <w:r w:rsidRPr="00E42CFF">
        <w:rPr>
          <w:bCs/>
        </w:rPr>
        <w:t xml:space="preserve">Integradas las constancias que obran el expediente y una vez expuestas </w:t>
      </w:r>
      <w:r w:rsidRPr="00AB31E1">
        <w:rPr>
          <w:bCs/>
        </w:rPr>
        <w:t>las posturas de las partes, se procede a analizar el agravio hecho valer por el</w:t>
      </w:r>
      <w:r w:rsidR="004572A9">
        <w:rPr>
          <w:bCs/>
        </w:rPr>
        <w:t xml:space="preserve"> hoy Recurrente, referente </w:t>
      </w:r>
      <w:r w:rsidR="00326EA2">
        <w:rPr>
          <w:bCs/>
        </w:rPr>
        <w:t xml:space="preserve">a la inexistencia de la información, razón por la cual, </w:t>
      </w:r>
      <w:r w:rsidR="00326EA2">
        <w:rPr>
          <w:rFonts w:eastAsia="Times New Roman" w:cs="Tahoma"/>
          <w:bCs/>
          <w:color w:val="auto"/>
          <w:lang w:eastAsia="es-ES"/>
        </w:rPr>
        <w:t>se procede a analizar la naturaleza de la información solicitada.</w:t>
      </w:r>
    </w:p>
    <w:p w:rsidR="00105FDE" w:rsidP="00E23B35" w:rsidRDefault="00105FDE" w14:paraId="33C69FC0" w14:textId="3607AB68">
      <w:pPr>
        <w:spacing w:after="0"/>
        <w:rPr>
          <w:bCs/>
        </w:rPr>
      </w:pPr>
    </w:p>
    <w:p w:rsidRPr="008A7933" w:rsidR="00326EA2" w:rsidP="00326EA2" w:rsidRDefault="00326EA2" w14:paraId="042143F4" w14:textId="77777777">
      <w:pPr>
        <w:spacing w:after="0"/>
        <w:rPr>
          <w:rFonts w:eastAsia="Calibri" w:cs="Times New Roman"/>
        </w:rPr>
      </w:pPr>
      <w:r w:rsidRPr="008A7933">
        <w:rPr>
          <w:rFonts w:eastAsia="Calibri" w:cs="Times New Roman"/>
        </w:rPr>
        <w:t xml:space="preserve">Sobre el tema, López Olvera, Miguel Alejandro </w:t>
      </w:r>
      <w:proofErr w:type="spellStart"/>
      <w:r w:rsidRPr="008A7933">
        <w:rPr>
          <w:rFonts w:eastAsia="Calibri" w:cs="Times New Roman"/>
        </w:rPr>
        <w:t>Cancino</w:t>
      </w:r>
      <w:proofErr w:type="spellEnd"/>
      <w:r w:rsidRPr="008A7933">
        <w:rPr>
          <w:rFonts w:eastAsia="Calibri" w:cs="Times New Roman"/>
        </w:rPr>
        <w:t xml:space="preserve"> Gómez, Rodolfo. (2020). “La Contratación Pública y el Sistema Nacional Anticorrupción”. (p. 4) la </w:t>
      </w:r>
      <w:r w:rsidRPr="008A7933">
        <w:rPr>
          <w:rFonts w:eastAsia="Calibri" w:cs="Times New Roman"/>
          <w:b/>
        </w:rPr>
        <w:t>contratación pública</w:t>
      </w:r>
      <w:r w:rsidRPr="008A7933">
        <w:rPr>
          <w:rFonts w:eastAsia="Calibri" w:cs="Times New Roman"/>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rsidR="00326EA2" w:rsidP="00E23B35" w:rsidRDefault="00326EA2" w14:paraId="67A6C6B0" w14:textId="77777777">
      <w:pPr>
        <w:spacing w:after="0"/>
        <w:rPr>
          <w:bCs/>
        </w:rPr>
      </w:pPr>
    </w:p>
    <w:p w:rsidRPr="00AB31E1" w:rsidR="00AB31E1" w:rsidP="00E23B35" w:rsidRDefault="00326EA2" w14:paraId="067041FF" w14:textId="29156FBC">
      <w:pPr>
        <w:spacing w:after="0"/>
        <w:rPr>
          <w:rFonts w:eastAsia="Calibri" w:cs="Tahoma"/>
        </w:rPr>
      </w:pPr>
      <w:r>
        <w:rPr>
          <w:rFonts w:eastAsia="Calibri" w:cs="Times New Roman"/>
        </w:rPr>
        <w:t>Además</w:t>
      </w:r>
      <w:r w:rsidRPr="00AB31E1" w:rsidR="00AB31E1">
        <w:rPr>
          <w:rFonts w:eastAsia="Calibri" w:cs="Times New Roman"/>
        </w:rPr>
        <w:t xml:space="preserve">, </w:t>
      </w:r>
      <w:r w:rsidRPr="00AB31E1" w:rsidR="00AB31E1">
        <w:rPr>
          <w:rFonts w:eastAsia="Calibri" w:cs="Tahoma"/>
        </w:rPr>
        <w:t>los artículos 1°, fracción III, y 4° de la Ley de Contratación Pública del Estado de México y Municipios, especifica</w:t>
      </w:r>
      <w:r w:rsidR="00940947">
        <w:rPr>
          <w:rFonts w:eastAsia="Calibri" w:cs="Tahoma"/>
        </w:rPr>
        <w:t>n</w:t>
      </w:r>
      <w:r w:rsidRPr="00AB31E1" w:rsidR="00AB31E1">
        <w:rPr>
          <w:rFonts w:eastAsia="Calibri" w:cs="Tahoma"/>
        </w:rPr>
        <w:t xml:space="preserve">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AB31E1" w:rsidR="00AB31E1" w:rsidP="00E23B35" w:rsidRDefault="00AB31E1" w14:paraId="1BA0835E" w14:textId="77777777">
      <w:pPr>
        <w:spacing w:after="0"/>
        <w:rPr>
          <w:rFonts w:eastAsia="Calibri" w:cs="Tahoma"/>
        </w:rPr>
      </w:pPr>
    </w:p>
    <w:p w:rsidRPr="00AB31E1" w:rsidR="00AB31E1" w:rsidP="00E23B35" w:rsidRDefault="00326EA2" w14:paraId="77DC7BAC" w14:textId="6B7155B5">
      <w:pPr>
        <w:spacing w:after="0"/>
        <w:rPr>
          <w:rFonts w:eastAsia="Calibri" w:cs="Tahoma"/>
          <w:b/>
          <w:bCs/>
        </w:rPr>
      </w:pPr>
      <w:r>
        <w:rPr>
          <w:rFonts w:eastAsia="Calibri" w:cs="Tahoma"/>
        </w:rPr>
        <w:t>En ese orden de ideas</w:t>
      </w:r>
      <w:r w:rsidRPr="00AB31E1" w:rsidR="00AB31E1">
        <w:rPr>
          <w:rFonts w:eastAsia="Calibri" w:cs="Tahoma"/>
        </w:rPr>
        <w:t xml:space="preserve">, los artículos 26 y 27 de dicho ordenamiento jurídico, </w:t>
      </w:r>
      <w:r>
        <w:rPr>
          <w:rFonts w:eastAsia="Calibri" w:cs="Tahoma"/>
        </w:rPr>
        <w:t xml:space="preserve">precisan que </w:t>
      </w:r>
      <w:r w:rsidRPr="00AB31E1" w:rsidR="00AB31E1">
        <w:rPr>
          <w:rFonts w:eastAsia="Calibri" w:cs="Tahoma"/>
        </w:rPr>
        <w:t xml:space="preserve">las adquisiciones, arrendamientos y servicios, se adjudicarán a través de procedimientos de </w:t>
      </w:r>
      <w:r w:rsidRPr="00AB31E1" w:rsidR="00AB31E1">
        <w:rPr>
          <w:rFonts w:eastAsia="Calibri" w:cs="Tahoma"/>
          <w:b/>
          <w:bCs/>
        </w:rPr>
        <w:t>licitación pública, invitación restringida y adjudicación directa.</w:t>
      </w:r>
    </w:p>
    <w:p w:rsidRPr="00AB31E1" w:rsidR="00AB31E1" w:rsidP="00E23B35" w:rsidRDefault="00AB31E1" w14:paraId="60815D1C" w14:textId="77777777">
      <w:pPr>
        <w:spacing w:after="0"/>
        <w:rPr>
          <w:rFonts w:eastAsia="Calibri" w:cs="Tahoma"/>
          <w:b/>
          <w:bCs/>
        </w:rPr>
      </w:pPr>
    </w:p>
    <w:p w:rsidRPr="00AD7AA9" w:rsidR="00AD7AA9" w:rsidP="00E23B35" w:rsidRDefault="00AD7AA9" w14:paraId="36CE13AF" w14:textId="16759AC7">
      <w:pPr>
        <w:spacing w:after="0"/>
        <w:rPr>
          <w:rFonts w:eastAsia="Calibri" w:cs="Tahoma"/>
          <w:lang w:val="es-ES"/>
        </w:rPr>
      </w:pPr>
      <w:r w:rsidRPr="00AD7AA9">
        <w:rPr>
          <w:rFonts w:eastAsia="Calibri" w:cs="Times New Roman"/>
        </w:rPr>
        <w:t xml:space="preserve">Ahora bien, sobre los documentos peticionados, se trae </w:t>
      </w:r>
      <w:r w:rsidRPr="00AD7AA9">
        <w:rPr>
          <w:rFonts w:eastAsia="Calibri" w:cs="Tahoma"/>
          <w:lang w:val="es-ES"/>
        </w:rPr>
        <w:t xml:space="preserve">a colación el artículo 65 de la Ley de Contratación Pública del Estado de México y Municipios, que establece que la adjudicación de un procedimiento de </w:t>
      </w:r>
      <w:r w:rsidRPr="00AD7AA9">
        <w:rPr>
          <w:rFonts w:eastAsia="Calibri" w:cs="Tahoma"/>
          <w:b/>
          <w:bCs/>
          <w:lang w:val="es-ES"/>
        </w:rPr>
        <w:t>adquisición y arrendamiento de bienes,</w:t>
      </w:r>
      <w:r w:rsidRPr="00AD7AA9">
        <w:rPr>
          <w:rFonts w:eastAsia="Calibri" w:cs="Tahoma"/>
          <w:lang w:val="es-ES"/>
        </w:rPr>
        <w:t xml:space="preserve"> se realizará mediante la </w:t>
      </w:r>
      <w:r w:rsidRPr="00AD7AA9">
        <w:rPr>
          <w:rFonts w:eastAsia="Calibri" w:cs="Tahoma"/>
          <w:lang w:val="es-ES"/>
        </w:rPr>
        <w:lastRenderedPageBreak/>
        <w:t>suscripción de un contrato, entre el Ayuntamiento y la persona a la cual haya ganado el procedimiento licitatorio, dentro de los diez días hábiles siguientes a la notificación del fallo.</w:t>
      </w:r>
    </w:p>
    <w:p w:rsidRPr="00AD7AA9" w:rsidR="00AD7AA9" w:rsidP="00E23B35" w:rsidRDefault="00AD7AA9" w14:paraId="1AD5F4CC" w14:textId="77777777">
      <w:pPr>
        <w:spacing w:after="0"/>
        <w:rPr>
          <w:rFonts w:eastAsia="Calibri" w:cs="Times New Roman"/>
        </w:rPr>
      </w:pPr>
    </w:p>
    <w:p w:rsidRPr="00AD7AA9" w:rsidR="00AD7AA9" w:rsidP="00E23B35" w:rsidRDefault="00AD7AA9" w14:paraId="1D1CEFE2" w14:textId="15D19968">
      <w:pPr>
        <w:spacing w:after="0"/>
        <w:rPr>
          <w:rFonts w:eastAsia="Calibri" w:cs="Tahoma"/>
          <w:lang w:val="es-ES"/>
        </w:rPr>
      </w:pPr>
      <w:r w:rsidRPr="00AD7AA9">
        <w:rPr>
          <w:rFonts w:eastAsia="Calibri" w:cs="Tahoma"/>
          <w:lang w:val="es-ES"/>
        </w:rPr>
        <w:t xml:space="preserve">Además, que conforme al artículo 120 del Reglamento de la Ley de Contratación Pública del Estado de México y Municipios </w:t>
      </w:r>
      <w:r>
        <w:rPr>
          <w:rFonts w:eastAsia="Calibri" w:cs="Tahoma"/>
          <w:lang w:val="es-ES"/>
        </w:rPr>
        <w:t>dicho acto jurídico se conforma</w:t>
      </w:r>
      <w:r w:rsidRPr="00AD7AA9">
        <w:rPr>
          <w:rFonts w:eastAsia="Calibri" w:cs="Tahoma"/>
          <w:lang w:val="es-ES"/>
        </w:rPr>
        <w:t xml:space="preserve"> por diversos datos, entre los cuales, se encuentran los datos de identificación de las partes y del contrato, así como el importe total.</w:t>
      </w:r>
    </w:p>
    <w:p w:rsidRPr="00AD7AA9" w:rsidR="00AD7AA9" w:rsidP="00E23B35" w:rsidRDefault="00AD7AA9" w14:paraId="7A2B664C" w14:textId="77777777">
      <w:pPr>
        <w:spacing w:after="0"/>
      </w:pPr>
    </w:p>
    <w:p w:rsidRPr="00326EA2" w:rsidR="00326EA2" w:rsidP="00326EA2" w:rsidRDefault="00AD7AA9" w14:paraId="11DB9C71" w14:textId="77777777">
      <w:pPr>
        <w:spacing w:after="0"/>
        <w:rPr>
          <w:lang w:val="es-ES"/>
        </w:rPr>
      </w:pPr>
      <w:r w:rsidRPr="00AD7AA9">
        <w:t xml:space="preserve">Conforme a lo anterior, se logra observar que, en el presente caso, la pretensión del ahora Recurrente, es obtener </w:t>
      </w:r>
      <w:r w:rsidRPr="00326EA2" w:rsidR="00326EA2">
        <w:rPr>
          <w:lang w:val="es-ES"/>
        </w:rPr>
        <w:t xml:space="preserve">el nombre de la empresa contratada para </w:t>
      </w:r>
      <w:proofErr w:type="spellStart"/>
      <w:r w:rsidRPr="00326EA2" w:rsidR="00326EA2">
        <w:rPr>
          <w:lang w:val="es-ES"/>
        </w:rPr>
        <w:t>sanitizar</w:t>
      </w:r>
      <w:proofErr w:type="spellEnd"/>
      <w:r w:rsidRPr="00326EA2" w:rsidR="00326EA2">
        <w:rPr>
          <w:lang w:val="es-ES"/>
        </w:rPr>
        <w:t xml:space="preserve"> los espacios públicos y edificios públicos, del primero al veintisiete de enero de dos mil veintidós, así como, el monto erogado por el Ayuntamiento para llevar a cabo dicha contratación.</w:t>
      </w:r>
    </w:p>
    <w:p w:rsidR="00640FDE" w:rsidP="00E23B35" w:rsidRDefault="00640FDE" w14:paraId="29DA809E" w14:textId="77777777">
      <w:pPr>
        <w:spacing w:after="0"/>
        <w:rPr>
          <w:bCs/>
          <w:lang w:val="es-ES"/>
        </w:rPr>
      </w:pPr>
    </w:p>
    <w:p w:rsidRPr="00A701D3" w:rsidR="00640FDE" w:rsidP="00E23B35" w:rsidRDefault="00640FDE" w14:paraId="15EA0A3B" w14:textId="5D702E16">
      <w:pPr>
        <w:autoSpaceDE w:val="0"/>
        <w:autoSpaceDN w:val="0"/>
        <w:adjustRightInd w:val="0"/>
        <w:spacing w:after="0"/>
      </w:pPr>
      <w:r>
        <w:rPr>
          <w:rFonts w:eastAsia="Times New Roman" w:cs="Tahoma"/>
          <w:bCs/>
          <w:iCs/>
          <w:color w:val="auto"/>
          <w:lang w:val="es-ES" w:eastAsia="es-ES"/>
        </w:rPr>
        <w:t>Ahora bien, de</w:t>
      </w:r>
      <w:r w:rsidRPr="00A701D3">
        <w:t xml:space="preserve"> las constancias que obran en el expediente se logra vislumbrar, que el Sujeto Obligado turnó la solicitud de información a</w:t>
      </w:r>
      <w:r>
        <w:rPr>
          <w:rFonts w:eastAsia="Calibri" w:cs="Tahoma"/>
          <w:iCs/>
          <w:color w:val="000000"/>
          <w:szCs w:val="24"/>
          <w:lang w:val="es-ES" w:eastAsia="es-MX"/>
        </w:rPr>
        <w:t xml:space="preserve"> la Dirección General de Administración y la Tesorería Municipal</w:t>
      </w:r>
      <w:r w:rsidRPr="00A701D3">
        <w:t>;</w:t>
      </w:r>
      <w:r w:rsidRPr="00A701D3">
        <w:rPr>
          <w:rFonts w:eastAsia="Times New Roman" w:cs="Tahoma"/>
          <w:bCs/>
          <w:color w:val="auto"/>
          <w:lang w:val="es-ES" w:eastAsia="es-ES"/>
        </w:rPr>
        <w:t xml:space="preserve"> por lo cual, es necesario hacer </w:t>
      </w:r>
      <w:r w:rsidRPr="00A701D3">
        <w:rPr>
          <w:rFonts w:eastAsia="Times New Roman" w:cs="Tahoma"/>
          <w:bCs/>
          <w:color w:val="auto"/>
          <w:lang w:eastAsia="es-ES"/>
        </w:rPr>
        <w:t xml:space="preserve">referencia al </w:t>
      </w:r>
      <w:r w:rsidRPr="00A701D3">
        <w:rPr>
          <w:rFonts w:eastAsia="Times New Roman" w:cs="Tahoma"/>
          <w:b/>
          <w:bCs/>
          <w:color w:val="auto"/>
          <w:lang w:eastAsia="es-ES"/>
        </w:rPr>
        <w:t>procedimiento de búsqueda que deben de seguir los Sujetos Obligados para localizar la información</w:t>
      </w:r>
      <w:r w:rsidRPr="00A701D3">
        <w:rPr>
          <w:rFonts w:eastAsia="Times New Roman" w:cs="Tahoma"/>
          <w:bCs/>
          <w:color w:val="auto"/>
          <w:lang w:eastAsia="es-ES"/>
        </w:rPr>
        <w:t>, el cual se encuentra previsto en los artículos 160 y 162 de la Ley de Transparencia y Acceso a la Información Pública del Estado de México y Municipios, mismo que es el siguiente:</w:t>
      </w:r>
    </w:p>
    <w:p w:rsidRPr="00A701D3" w:rsidR="00640FDE" w:rsidP="00E23B35" w:rsidRDefault="00640FDE" w14:paraId="4E972AAA" w14:textId="77777777">
      <w:pPr>
        <w:spacing w:after="0"/>
        <w:rPr>
          <w:rFonts w:eastAsia="Times New Roman" w:cs="Tahoma"/>
          <w:bCs/>
          <w:color w:val="auto"/>
          <w:lang w:eastAsia="es-ES"/>
        </w:rPr>
      </w:pPr>
    </w:p>
    <w:p w:rsidRPr="00A701D3" w:rsidR="00640FDE" w:rsidP="00E23B35" w:rsidRDefault="00640FDE" w14:paraId="184C9334" w14:textId="77777777">
      <w:pPr>
        <w:numPr>
          <w:ilvl w:val="0"/>
          <w:numId w:val="1"/>
        </w:numPr>
        <w:spacing w:after="0"/>
        <w:rPr>
          <w:rFonts w:eastAsia="Times New Roman" w:cs="Tahoma"/>
          <w:bCs/>
          <w:color w:val="auto"/>
          <w:lang w:val="es-ES" w:eastAsia="es-ES"/>
        </w:rPr>
      </w:pPr>
      <w:r w:rsidRPr="00A701D3">
        <w:rPr>
          <w:rFonts w:eastAsia="Times New Roman" w:cs="Tahoma"/>
          <w:b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A701D3" w:rsidR="00640FDE" w:rsidP="00E23B35" w:rsidRDefault="00640FDE" w14:paraId="4CB7E464" w14:textId="77777777">
      <w:pPr>
        <w:spacing w:after="0"/>
        <w:ind w:left="720"/>
        <w:rPr>
          <w:rFonts w:eastAsia="Times New Roman" w:cs="Tahoma"/>
          <w:bCs/>
          <w:color w:val="auto"/>
          <w:lang w:val="es-ES" w:eastAsia="es-ES"/>
        </w:rPr>
      </w:pPr>
    </w:p>
    <w:p w:rsidRPr="00A701D3" w:rsidR="00640FDE" w:rsidP="00E23B35" w:rsidRDefault="00640FDE" w14:paraId="45C1BA80" w14:textId="77777777">
      <w:pPr>
        <w:numPr>
          <w:ilvl w:val="0"/>
          <w:numId w:val="1"/>
        </w:numPr>
        <w:spacing w:after="0"/>
        <w:rPr>
          <w:rFonts w:eastAsia="Times New Roman" w:cs="Tahoma"/>
          <w:bCs/>
          <w:color w:val="auto"/>
          <w:lang w:val="es-ES" w:eastAsia="es-ES"/>
        </w:rPr>
      </w:pPr>
      <w:r w:rsidRPr="00A701D3">
        <w:rPr>
          <w:rFonts w:eastAsia="Times New Roman" w:cs="Tahoma"/>
          <w:bCs/>
          <w:color w:val="auto"/>
          <w:lang w:val="es-ES" w:eastAsia="es-ES"/>
        </w:rPr>
        <w:t xml:space="preserve">Los sujetos obligados otorgaran acceso a los documentos que se encuentren en sus archivos o que estén obligados a documentar de acuerdo con sus facultades, </w:t>
      </w:r>
      <w:r w:rsidRPr="00A701D3">
        <w:rPr>
          <w:rFonts w:eastAsia="Times New Roman" w:cs="Tahoma"/>
          <w:bCs/>
          <w:color w:val="auto"/>
          <w:lang w:val="es-ES" w:eastAsia="es-ES"/>
        </w:rPr>
        <w:lastRenderedPageBreak/>
        <w:t>competencias o funciones, en el formato en que el solicitante manifieste, de entre aquellos formatos existentes.</w:t>
      </w:r>
    </w:p>
    <w:p w:rsidRPr="00A701D3" w:rsidR="00640FDE" w:rsidP="00E23B35" w:rsidRDefault="00640FDE" w14:paraId="341CA91A" w14:textId="77777777">
      <w:pPr>
        <w:spacing w:after="0"/>
        <w:rPr>
          <w:rFonts w:eastAsia="Times New Roman" w:cs="Tahoma"/>
          <w:bCs/>
          <w:iCs/>
          <w:color w:val="auto"/>
          <w:lang w:val="es-ES" w:eastAsia="es-ES"/>
        </w:rPr>
      </w:pPr>
    </w:p>
    <w:p w:rsidR="006A5F3D" w:rsidP="00E23B35" w:rsidRDefault="00640FDE" w14:paraId="3DC95162" w14:textId="74497F09">
      <w:pPr>
        <w:spacing w:after="0"/>
        <w:rPr>
          <w:rFonts w:eastAsia="Calibri" w:cs="Tahoma"/>
          <w:bCs/>
          <w:iCs/>
        </w:rPr>
      </w:pPr>
      <w:r>
        <w:rPr>
          <w:rFonts w:eastAsia="Calibri" w:cs="Tahoma"/>
          <w:bCs/>
          <w:color w:val="000000"/>
        </w:rPr>
        <w:t>Así</w:t>
      </w:r>
      <w:r w:rsidRPr="00A701D3">
        <w:rPr>
          <w:rFonts w:eastAsia="Calibri" w:cs="Tahoma"/>
          <w:bCs/>
          <w:color w:val="000000"/>
        </w:rPr>
        <w:t>, a efecto de determinar si el Sujeto Obligado siguió el procedimiento antes descrito</w:t>
      </w:r>
      <w:r w:rsidR="00CB2B45">
        <w:rPr>
          <w:rFonts w:eastAsia="Calibri" w:cs="Tahoma"/>
          <w:bCs/>
          <w:color w:val="000000"/>
        </w:rPr>
        <w:t xml:space="preserve"> </w:t>
      </w:r>
      <w:r w:rsidRPr="00551FD5" w:rsidR="006A5F3D">
        <w:rPr>
          <w:rFonts w:eastAsia="Calibri" w:cs="Tahoma"/>
          <w:bCs/>
          <w:iCs/>
        </w:rPr>
        <w:t xml:space="preserve">es necesario traer a colación </w:t>
      </w:r>
      <w:r w:rsidRPr="00551FD5" w:rsidR="00751149">
        <w:rPr>
          <w:rFonts w:eastAsia="Calibri" w:cs="Tahoma"/>
          <w:bCs/>
          <w:iCs/>
        </w:rPr>
        <w:t>el</w:t>
      </w:r>
      <w:r w:rsidRPr="00551FD5" w:rsidR="006A5F3D">
        <w:rPr>
          <w:rFonts w:eastAsia="Calibri" w:cs="Tahoma"/>
          <w:bCs/>
          <w:iCs/>
        </w:rPr>
        <w:t xml:space="preserve"> artículo </w:t>
      </w:r>
      <w:r w:rsidRPr="00551FD5" w:rsidR="00751149">
        <w:rPr>
          <w:rFonts w:eastAsia="Calibri" w:cs="Tahoma"/>
          <w:bCs/>
          <w:iCs/>
        </w:rPr>
        <w:t>23</w:t>
      </w:r>
      <w:r w:rsidRPr="00551FD5" w:rsidR="006A5F3D">
        <w:rPr>
          <w:rFonts w:eastAsia="Calibri" w:cs="Tahoma"/>
          <w:bCs/>
          <w:iCs/>
        </w:rPr>
        <w:t xml:space="preserve"> del Ba</w:t>
      </w:r>
      <w:r w:rsidR="0031166E">
        <w:rPr>
          <w:rFonts w:eastAsia="Calibri" w:cs="Tahoma"/>
          <w:bCs/>
          <w:iCs/>
        </w:rPr>
        <w:t xml:space="preserve">ndo Municipal </w:t>
      </w:r>
      <w:r w:rsidR="008635F1">
        <w:rPr>
          <w:rFonts w:eastAsia="Calibri" w:cs="Tahoma"/>
          <w:bCs/>
          <w:iCs/>
        </w:rPr>
        <w:t>Toluca,</w:t>
      </w:r>
      <w:r w:rsidRPr="00551FD5" w:rsidR="00751149">
        <w:rPr>
          <w:rFonts w:eastAsia="Calibri" w:cs="Tahoma"/>
          <w:bCs/>
          <w:iCs/>
        </w:rPr>
        <w:t xml:space="preserve"> dos mil veintidós</w:t>
      </w:r>
      <w:r w:rsidRPr="00551FD5" w:rsidR="006A5F3D">
        <w:rPr>
          <w:rFonts w:eastAsia="Calibri" w:cs="Tahoma"/>
          <w:bCs/>
          <w:iCs/>
        </w:rPr>
        <w:t>,</w:t>
      </w:r>
      <w:r w:rsidR="00BE5E24">
        <w:rPr>
          <w:rFonts w:eastAsia="Calibri" w:cs="Tahoma"/>
          <w:bCs/>
          <w:iCs/>
        </w:rPr>
        <w:t xml:space="preserve"> así como </w:t>
      </w:r>
      <w:r w:rsidR="00D0581E">
        <w:rPr>
          <w:rFonts w:eastAsia="Calibri" w:cs="Tahoma"/>
          <w:bCs/>
          <w:iCs/>
        </w:rPr>
        <w:t>los diversos 3.19</w:t>
      </w:r>
      <w:r w:rsidR="00F36B00">
        <w:rPr>
          <w:rFonts w:eastAsia="Calibri" w:cs="Tahoma"/>
          <w:bCs/>
          <w:iCs/>
        </w:rPr>
        <w:t xml:space="preserve">, </w:t>
      </w:r>
      <w:r w:rsidR="00984102">
        <w:rPr>
          <w:rFonts w:eastAsia="Calibri" w:cs="Tahoma"/>
          <w:bCs/>
          <w:iCs/>
        </w:rPr>
        <w:t>3.40</w:t>
      </w:r>
      <w:r w:rsidR="00F36B00">
        <w:rPr>
          <w:rFonts w:eastAsia="Calibri" w:cs="Tahoma"/>
          <w:bCs/>
          <w:iCs/>
        </w:rPr>
        <w:t xml:space="preserve"> y 3.43</w:t>
      </w:r>
      <w:r w:rsidR="00984102">
        <w:rPr>
          <w:rFonts w:eastAsia="Calibri" w:cs="Tahoma"/>
          <w:bCs/>
          <w:iCs/>
        </w:rPr>
        <w:t xml:space="preserve"> </w:t>
      </w:r>
      <w:r w:rsidR="00D0581E">
        <w:rPr>
          <w:rFonts w:eastAsia="Calibri" w:cs="Tahoma"/>
          <w:bCs/>
          <w:iCs/>
        </w:rPr>
        <w:t>d</w:t>
      </w:r>
      <w:r w:rsidR="00BE5E24">
        <w:rPr>
          <w:rFonts w:eastAsia="Calibri" w:cs="Tahoma"/>
          <w:bCs/>
          <w:iCs/>
        </w:rPr>
        <w:t>el Código Reglamentario</w:t>
      </w:r>
      <w:r w:rsidR="007E35BC">
        <w:rPr>
          <w:rFonts w:eastAsia="Calibri" w:cs="Tahoma"/>
          <w:bCs/>
          <w:iCs/>
        </w:rPr>
        <w:t xml:space="preserve"> Municipal</w:t>
      </w:r>
      <w:r w:rsidR="00D0581E">
        <w:rPr>
          <w:rFonts w:eastAsia="Calibri" w:cs="Tahoma"/>
          <w:bCs/>
          <w:iCs/>
        </w:rPr>
        <w:t xml:space="preserve"> de Toluca, </w:t>
      </w:r>
      <w:r w:rsidRPr="00551FD5" w:rsidR="00751149">
        <w:rPr>
          <w:rFonts w:eastAsia="Calibri" w:cs="Tahoma"/>
          <w:bCs/>
          <w:iCs/>
        </w:rPr>
        <w:t xml:space="preserve">que </w:t>
      </w:r>
      <w:r w:rsidR="0031166E">
        <w:rPr>
          <w:rFonts w:eastAsia="Calibri" w:cs="Tahoma"/>
          <w:bCs/>
          <w:iCs/>
        </w:rPr>
        <w:t>establece</w:t>
      </w:r>
      <w:r w:rsidR="00D2241D">
        <w:rPr>
          <w:rFonts w:eastAsia="Calibri" w:cs="Tahoma"/>
          <w:bCs/>
          <w:iCs/>
        </w:rPr>
        <w:t>n</w:t>
      </w:r>
      <w:r w:rsidR="0031166E">
        <w:rPr>
          <w:rFonts w:eastAsia="Calibri" w:cs="Tahoma"/>
          <w:bCs/>
          <w:iCs/>
        </w:rPr>
        <w:t xml:space="preserve"> que el S</w:t>
      </w:r>
      <w:r w:rsidRPr="00551FD5" w:rsidR="006A5F3D">
        <w:rPr>
          <w:rFonts w:eastAsia="Calibri" w:cs="Tahoma"/>
          <w:bCs/>
          <w:iCs/>
        </w:rPr>
        <w:t>ujeto Obligado cuenta con diversas unidades administrativas para el ejercicio de sus funciones, entre las cuales se encuentran las siguientes:</w:t>
      </w:r>
    </w:p>
    <w:p w:rsidRPr="00551FD5" w:rsidR="00CB2B45" w:rsidP="00E23B35" w:rsidRDefault="00CB2B45" w14:paraId="77636B6F" w14:textId="77777777">
      <w:pPr>
        <w:spacing w:after="0"/>
        <w:rPr>
          <w:rFonts w:eastAsia="Calibri" w:cs="Tahoma"/>
          <w:bCs/>
          <w:iCs/>
        </w:rPr>
      </w:pPr>
    </w:p>
    <w:p w:rsidRPr="00551FD5" w:rsidR="006A5F3D" w:rsidP="00E23B35" w:rsidRDefault="006A5F3D" w14:paraId="350D94A1" w14:textId="387BB369">
      <w:pPr>
        <w:pStyle w:val="Prrafodelista"/>
        <w:numPr>
          <w:ilvl w:val="0"/>
          <w:numId w:val="39"/>
        </w:numPr>
        <w:spacing w:after="0"/>
        <w:contextualSpacing w:val="0"/>
        <w:rPr>
          <w:rFonts w:eastAsia="Calibri" w:cs="Tahoma"/>
          <w:b/>
          <w:bCs/>
          <w:iCs/>
        </w:rPr>
      </w:pPr>
      <w:r w:rsidRPr="00551FD5">
        <w:rPr>
          <w:rFonts w:eastAsia="Calibri" w:cs="Tahoma"/>
          <w:b/>
          <w:bCs/>
          <w:iCs/>
        </w:rPr>
        <w:t xml:space="preserve">Tesorería Municipal: </w:t>
      </w:r>
      <w:r w:rsidRPr="00551FD5">
        <w:rPr>
          <w:rFonts w:eastAsia="Calibri" w:cs="Tahoma"/>
          <w:bCs/>
          <w:iCs/>
        </w:rPr>
        <w:t xml:space="preserve">Que </w:t>
      </w:r>
      <w:r w:rsidRPr="00551FD5" w:rsidR="0029565A">
        <w:rPr>
          <w:rFonts w:eastAsia="Calibri" w:cs="Tahoma"/>
          <w:bCs/>
          <w:iCs/>
        </w:rPr>
        <w:t xml:space="preserve">coordina y planea </w:t>
      </w:r>
      <w:r w:rsidRPr="00551FD5" w:rsidR="00751149">
        <w:rPr>
          <w:rFonts w:eastAsia="Calibri" w:cs="Tahoma"/>
          <w:bCs/>
          <w:iCs/>
        </w:rPr>
        <w:t>la integración, aplicación y distribución de los recursos</w:t>
      </w:r>
      <w:r w:rsidRPr="00551FD5" w:rsidR="0029565A">
        <w:rPr>
          <w:rFonts w:eastAsia="Calibri" w:cs="Tahoma"/>
          <w:bCs/>
          <w:iCs/>
        </w:rPr>
        <w:t xml:space="preserve"> </w:t>
      </w:r>
      <w:r w:rsidRPr="00551FD5" w:rsidR="00751149">
        <w:rPr>
          <w:rFonts w:eastAsia="Calibri" w:cs="Tahoma"/>
          <w:bCs/>
          <w:iCs/>
        </w:rPr>
        <w:t>financie</w:t>
      </w:r>
      <w:r w:rsidRPr="00551FD5" w:rsidR="0029565A">
        <w:rPr>
          <w:rFonts w:eastAsia="Calibri" w:cs="Tahoma"/>
          <w:bCs/>
          <w:iCs/>
        </w:rPr>
        <w:t>ros del Ayuntamiento de Toluca.</w:t>
      </w:r>
    </w:p>
    <w:p w:rsidRPr="00551FD5" w:rsidR="0029565A" w:rsidP="00E23B35" w:rsidRDefault="0029565A" w14:paraId="0266ECB1" w14:textId="77777777">
      <w:pPr>
        <w:pStyle w:val="Prrafodelista"/>
        <w:spacing w:after="0"/>
        <w:contextualSpacing w:val="0"/>
        <w:rPr>
          <w:rFonts w:eastAsia="Calibri" w:cs="Tahoma"/>
          <w:b/>
          <w:bCs/>
          <w:iCs/>
        </w:rPr>
      </w:pPr>
    </w:p>
    <w:p w:rsidRPr="00384C91" w:rsidR="00384C91" w:rsidP="00D55FA8" w:rsidRDefault="006A5F3D" w14:paraId="553D680E" w14:textId="77777777">
      <w:pPr>
        <w:pStyle w:val="Prrafodelista"/>
        <w:numPr>
          <w:ilvl w:val="0"/>
          <w:numId w:val="39"/>
        </w:numPr>
        <w:spacing w:after="0"/>
        <w:contextualSpacing w:val="0"/>
        <w:rPr>
          <w:rFonts w:cs="Tahoma"/>
        </w:rPr>
      </w:pPr>
      <w:r w:rsidRPr="00F36B00">
        <w:rPr>
          <w:rFonts w:eastAsia="Calibri" w:cs="Tahoma"/>
          <w:b/>
          <w:bCs/>
          <w:iCs/>
        </w:rPr>
        <w:t xml:space="preserve">Dirección </w:t>
      </w:r>
      <w:r w:rsidRPr="00F36B00" w:rsidR="00F36B00">
        <w:rPr>
          <w:rFonts w:eastAsia="Calibri" w:cs="Tahoma"/>
          <w:b/>
          <w:bCs/>
          <w:iCs/>
        </w:rPr>
        <w:t xml:space="preserve">General </w:t>
      </w:r>
      <w:r w:rsidRPr="00F36B00">
        <w:rPr>
          <w:rFonts w:eastAsia="Calibri" w:cs="Tahoma"/>
          <w:b/>
          <w:bCs/>
          <w:iCs/>
        </w:rPr>
        <w:t xml:space="preserve">de Administración: </w:t>
      </w:r>
      <w:r w:rsidRPr="00F36B00">
        <w:rPr>
          <w:rFonts w:eastAsia="Calibri" w:cs="Tahoma"/>
          <w:bCs/>
          <w:iCs/>
        </w:rPr>
        <w:t xml:space="preserve">Que </w:t>
      </w:r>
      <w:r w:rsidRPr="00F36B00" w:rsidR="0029565A">
        <w:rPr>
          <w:rFonts w:eastAsia="Calibri" w:cs="Tahoma"/>
          <w:bCs/>
          <w:iCs/>
        </w:rPr>
        <w:t>interviene, vigila y da el seguimiento correspondiente a todos los procedimientos de adquisición, arrendamiento de inmuebles, contratación de servicios, enajenación y subasta de bienes</w:t>
      </w:r>
      <w:r w:rsidR="00384C91">
        <w:rPr>
          <w:rFonts w:eastAsia="Calibri" w:cs="Tahoma"/>
          <w:bCs/>
          <w:iCs/>
        </w:rPr>
        <w:t>.</w:t>
      </w:r>
    </w:p>
    <w:p w:rsidRPr="00384C91" w:rsidR="00384C91" w:rsidP="00384C91" w:rsidRDefault="00384C91" w14:paraId="2FCDC454" w14:textId="77777777">
      <w:pPr>
        <w:pStyle w:val="Prrafodelista"/>
        <w:rPr>
          <w:rFonts w:eastAsia="Calibri" w:cs="Tahoma"/>
          <w:bCs/>
          <w:iCs/>
        </w:rPr>
      </w:pPr>
    </w:p>
    <w:p w:rsidRPr="00F36B00" w:rsidR="00F36B00" w:rsidP="00384C91" w:rsidRDefault="00384C91" w14:paraId="4FC86583" w14:textId="5DF3BD25">
      <w:pPr>
        <w:pStyle w:val="Prrafodelista"/>
        <w:spacing w:after="0"/>
        <w:contextualSpacing w:val="0"/>
        <w:rPr>
          <w:rFonts w:cs="Tahoma"/>
        </w:rPr>
      </w:pPr>
      <w:r>
        <w:rPr>
          <w:rFonts w:eastAsia="Calibri" w:cs="Tahoma"/>
          <w:bCs/>
          <w:iCs/>
        </w:rPr>
        <w:t>P</w:t>
      </w:r>
      <w:r w:rsidRPr="00F36B00" w:rsidR="00F36B00">
        <w:rPr>
          <w:rFonts w:eastAsia="Calibri" w:cs="Tahoma"/>
          <w:bCs/>
          <w:iCs/>
        </w:rPr>
        <w:t xml:space="preserve">ara lograr </w:t>
      </w:r>
      <w:r>
        <w:rPr>
          <w:rFonts w:eastAsia="Calibri" w:cs="Tahoma"/>
          <w:bCs/>
          <w:iCs/>
        </w:rPr>
        <w:t>dicha función</w:t>
      </w:r>
      <w:r w:rsidRPr="00F36B00" w:rsidR="00F36B00">
        <w:rPr>
          <w:rFonts w:eastAsia="Calibri" w:cs="Tahoma"/>
          <w:bCs/>
          <w:iCs/>
        </w:rPr>
        <w:t xml:space="preserve">, contará con la </w:t>
      </w:r>
      <w:r w:rsidRPr="00F36B00" w:rsidR="00F36B00">
        <w:rPr>
          <w:rFonts w:eastAsia="Times New Roman" w:cs="Tahoma"/>
          <w:b/>
          <w:bCs/>
          <w:iCs/>
          <w:color w:val="auto"/>
          <w:lang w:eastAsia="es-ES"/>
        </w:rPr>
        <w:t>Dirección de Recursos Materiales</w:t>
      </w:r>
      <w:r>
        <w:rPr>
          <w:rFonts w:eastAsia="Times New Roman" w:cs="Tahoma"/>
          <w:b/>
          <w:bCs/>
          <w:iCs/>
          <w:color w:val="auto"/>
          <w:lang w:eastAsia="es-ES"/>
        </w:rPr>
        <w:t xml:space="preserve"> que</w:t>
      </w:r>
      <w:r w:rsidRPr="00F36B00" w:rsidR="00F36B00">
        <w:rPr>
          <w:rFonts w:eastAsia="Times New Roman" w:cs="Tahoma"/>
          <w:bCs/>
          <w:iCs/>
          <w:color w:val="auto"/>
          <w:lang w:eastAsia="es-ES"/>
        </w:rPr>
        <w:t xml:space="preserve"> ll</w:t>
      </w:r>
      <w:r w:rsidRPr="00F36B00" w:rsidR="00F36B00">
        <w:rPr>
          <w:rFonts w:eastAsia="Times New Roman" w:cs="Tahoma"/>
          <w:bCs/>
          <w:color w:val="auto"/>
          <w:lang w:eastAsia="es-ES"/>
        </w:rPr>
        <w:t>eva a cabo los procedimientos para la adquisición de los bienes y servicios y el arrendamiento, adquisición y enajenación de inmuebles; suscribe los contratos derivados de la adjudicación, y autoriza y suscribe los contratos pedidos</w:t>
      </w:r>
    </w:p>
    <w:p w:rsidR="00F36B00" w:rsidP="00E23B35" w:rsidRDefault="00F36B00" w14:paraId="65BAD744" w14:textId="77777777">
      <w:pPr>
        <w:spacing w:after="0"/>
      </w:pPr>
    </w:p>
    <w:p w:rsidRPr="00F602FE" w:rsidR="00F36B00" w:rsidP="00F36B00" w:rsidRDefault="00984102" w14:paraId="305BA069" w14:textId="6786FC7D">
      <w:pPr>
        <w:spacing w:after="0"/>
        <w:rPr>
          <w:rFonts w:eastAsia="Times New Roman" w:cs="Tahoma"/>
          <w:bCs/>
          <w:color w:val="auto"/>
          <w:lang w:eastAsia="es-ES"/>
        </w:rPr>
      </w:pPr>
      <w:r w:rsidRPr="00984102">
        <w:t>Conforme a lo expuesto, se logra colegi</w:t>
      </w:r>
      <w:r w:rsidR="008D52C5">
        <w:t xml:space="preserve">r que el Sujeto Obligado turno </w:t>
      </w:r>
      <w:r w:rsidRPr="00984102">
        <w:t xml:space="preserve">el requerimiento de información </w:t>
      </w:r>
      <w:r w:rsidRPr="00F602FE" w:rsidR="00F36B00">
        <w:rPr>
          <w:rFonts w:eastAsia="Times New Roman" w:cs="Tahoma"/>
          <w:bCs/>
          <w:color w:val="auto"/>
          <w:lang w:eastAsia="es-ES"/>
        </w:rPr>
        <w:t>l</w:t>
      </w:r>
      <w:r w:rsidR="00F36B00">
        <w:rPr>
          <w:rFonts w:eastAsia="Times New Roman" w:cs="Tahoma"/>
          <w:bCs/>
          <w:color w:val="auto"/>
          <w:lang w:eastAsia="es-ES"/>
        </w:rPr>
        <w:t>as</w:t>
      </w:r>
      <w:r w:rsidRPr="00F602FE" w:rsidR="00F36B00">
        <w:rPr>
          <w:rFonts w:eastAsia="Times New Roman" w:cs="Tahoma"/>
          <w:bCs/>
          <w:color w:val="auto"/>
          <w:lang w:eastAsia="es-ES"/>
        </w:rPr>
        <w:t xml:space="preserve"> área</w:t>
      </w:r>
      <w:r w:rsidR="00F36B00">
        <w:rPr>
          <w:rFonts w:eastAsia="Times New Roman" w:cs="Tahoma"/>
          <w:bCs/>
          <w:color w:val="auto"/>
          <w:lang w:eastAsia="es-ES"/>
        </w:rPr>
        <w:t>s</w:t>
      </w:r>
      <w:r w:rsidRPr="00F602FE" w:rsidR="00F36B00">
        <w:rPr>
          <w:rFonts w:eastAsia="Times New Roman" w:cs="Tahoma"/>
          <w:bCs/>
          <w:color w:val="auto"/>
          <w:lang w:eastAsia="es-ES"/>
        </w:rPr>
        <w:t xml:space="preserve"> competente</w:t>
      </w:r>
      <w:r w:rsidR="00F36B00">
        <w:rPr>
          <w:rFonts w:eastAsia="Times New Roman" w:cs="Tahoma"/>
          <w:bCs/>
          <w:color w:val="auto"/>
          <w:lang w:eastAsia="es-ES"/>
        </w:rPr>
        <w:t>s</w:t>
      </w:r>
      <w:r w:rsidRPr="00F602FE" w:rsidR="00F36B00">
        <w:rPr>
          <w:rFonts w:eastAsia="Times New Roman" w:cs="Tahoma"/>
          <w:bCs/>
          <w:color w:val="auto"/>
          <w:lang w:eastAsia="es-ES"/>
        </w:rPr>
        <w:t xml:space="preserve"> para conocer de lo solicitado, a saber, </w:t>
      </w:r>
      <w:r w:rsidR="00F36B00">
        <w:rPr>
          <w:rFonts w:eastAsia="Times New Roman" w:cs="Tahoma"/>
          <w:bCs/>
          <w:color w:val="auto"/>
          <w:lang w:eastAsia="es-ES"/>
        </w:rPr>
        <w:t xml:space="preserve">a </w:t>
      </w:r>
      <w:r w:rsidRPr="003A2A7B" w:rsidR="00F36B00">
        <w:rPr>
          <w:rFonts w:eastAsia="Times New Roman" w:cs="Tahoma"/>
          <w:bCs/>
          <w:color w:val="auto"/>
          <w:lang w:eastAsia="es-ES"/>
        </w:rPr>
        <w:t xml:space="preserve">la Dirección </w:t>
      </w:r>
      <w:r w:rsidR="00F36B00">
        <w:rPr>
          <w:rFonts w:eastAsia="Times New Roman" w:cs="Tahoma"/>
          <w:bCs/>
          <w:color w:val="auto"/>
          <w:lang w:eastAsia="es-ES"/>
        </w:rPr>
        <w:t>General de Administración</w:t>
      </w:r>
      <w:r w:rsidR="00384C91">
        <w:rPr>
          <w:rFonts w:eastAsia="Times New Roman" w:cs="Tahoma"/>
          <w:bCs/>
          <w:color w:val="auto"/>
          <w:lang w:eastAsia="es-ES"/>
        </w:rPr>
        <w:t xml:space="preserve"> y</w:t>
      </w:r>
      <w:r w:rsidR="00F36B00">
        <w:rPr>
          <w:rFonts w:eastAsia="Times New Roman" w:cs="Tahoma"/>
          <w:bCs/>
          <w:color w:val="auto"/>
          <w:lang w:eastAsia="es-ES"/>
        </w:rPr>
        <w:t xml:space="preserve"> </w:t>
      </w:r>
      <w:r w:rsidRPr="003A2A7B" w:rsidR="00F36B00">
        <w:rPr>
          <w:rFonts w:eastAsia="Times New Roman" w:cs="Tahoma"/>
          <w:bCs/>
          <w:color w:val="auto"/>
          <w:lang w:val="es-ES" w:eastAsia="es-ES"/>
        </w:rPr>
        <w:t>a</w:t>
      </w:r>
      <w:r w:rsidR="00F36B00">
        <w:rPr>
          <w:rFonts w:eastAsia="Times New Roman" w:cs="Tahoma"/>
          <w:bCs/>
          <w:color w:val="auto"/>
          <w:lang w:val="es-ES" w:eastAsia="es-ES"/>
        </w:rPr>
        <w:t xml:space="preserve"> la </w:t>
      </w:r>
      <w:r w:rsidRPr="003A2A7B" w:rsidR="00F36B00">
        <w:rPr>
          <w:rFonts w:eastAsia="Times New Roman" w:cs="Tahoma"/>
          <w:bCs/>
          <w:color w:val="auto"/>
          <w:lang w:val="es-ES" w:eastAsia="es-ES"/>
        </w:rPr>
        <w:t>Tesorer</w:t>
      </w:r>
      <w:r w:rsidR="00F36B00">
        <w:rPr>
          <w:rFonts w:eastAsia="Times New Roman" w:cs="Tahoma"/>
          <w:bCs/>
          <w:color w:val="auto"/>
          <w:lang w:val="es-ES" w:eastAsia="es-ES"/>
        </w:rPr>
        <w:t>ía</w:t>
      </w:r>
      <w:r w:rsidRPr="003A2A7B" w:rsidR="00F36B00">
        <w:rPr>
          <w:rFonts w:eastAsia="Times New Roman" w:cs="Tahoma"/>
          <w:bCs/>
          <w:color w:val="auto"/>
          <w:lang w:val="es-ES" w:eastAsia="es-ES"/>
        </w:rPr>
        <w:t xml:space="preserve"> Municipal</w:t>
      </w:r>
      <w:r w:rsidR="00F36B00">
        <w:rPr>
          <w:rFonts w:eastAsia="Times New Roman" w:cs="Tahoma"/>
          <w:bCs/>
          <w:color w:val="auto"/>
          <w:lang w:eastAsia="es-ES"/>
        </w:rPr>
        <w:t xml:space="preserve">, </w:t>
      </w:r>
      <w:r w:rsidRPr="00F602FE" w:rsidR="00F36B00">
        <w:rPr>
          <w:rFonts w:eastAsia="Times New Roman" w:cs="Tahoma"/>
          <w:bCs/>
          <w:color w:val="auto"/>
          <w:lang w:eastAsia="es-ES"/>
        </w:rPr>
        <w:t xml:space="preserve">por lo que, se colige que el Sujeto Obligado cumplió el procedimiento de búsqueda previsto en el artículo 162 de la Ley de Transparencia y Acceso al a Información Pública del Estado de México y Municipios. </w:t>
      </w:r>
    </w:p>
    <w:p w:rsidRPr="00984102" w:rsidR="00984102" w:rsidP="00E23B35" w:rsidRDefault="00984102" w14:paraId="6CE8D9DA" w14:textId="46259F35">
      <w:pPr>
        <w:spacing w:after="0"/>
      </w:pPr>
    </w:p>
    <w:p w:rsidRPr="00984102" w:rsidR="00984102" w:rsidP="00E23B35" w:rsidRDefault="00984102" w14:paraId="3BFA8365" w14:textId="42EB1128">
      <w:pPr>
        <w:spacing w:after="0"/>
        <w:rPr>
          <w:rFonts w:eastAsia="Times New Roman" w:cs="Tahoma"/>
          <w:color w:val="auto"/>
          <w:lang w:eastAsia="es-MX"/>
        </w:rPr>
      </w:pPr>
      <w:r w:rsidRPr="00984102">
        <w:lastRenderedPageBreak/>
        <w:t>Ahora bien, en respuesta</w:t>
      </w:r>
      <w:r w:rsidR="00D23478">
        <w:t>, como Informe Justificado,</w:t>
      </w:r>
      <w:r w:rsidRPr="00984102">
        <w:t xml:space="preserve"> dicha</w:t>
      </w:r>
      <w:r w:rsidR="008D52C5">
        <w:t>s</w:t>
      </w:r>
      <w:r w:rsidRPr="00984102">
        <w:t xml:space="preserve"> área</w:t>
      </w:r>
      <w:r w:rsidR="008D52C5">
        <w:t>s</w:t>
      </w:r>
      <w:r w:rsidRPr="00984102">
        <w:t xml:space="preserve"> </w:t>
      </w:r>
      <w:r w:rsidR="008D52C5">
        <w:rPr>
          <w:bCs/>
        </w:rPr>
        <w:t>manifestaron que después de realizar una búsqueda exhaustiva y razonable en sus archivos, no localizaron ningún contrato</w:t>
      </w:r>
      <w:r w:rsidR="00384C91">
        <w:rPr>
          <w:bCs/>
        </w:rPr>
        <w:t>,</w:t>
      </w:r>
      <w:r w:rsidR="008D52C5">
        <w:rPr>
          <w:bCs/>
        </w:rPr>
        <w:t xml:space="preserve">  acto jurídico</w:t>
      </w:r>
      <w:r w:rsidR="00384C91">
        <w:rPr>
          <w:bCs/>
        </w:rPr>
        <w:t xml:space="preserve"> o información referente a la contratación de servicios o adquisición de bienes </w:t>
      </w:r>
      <w:r w:rsidR="008D52C5">
        <w:rPr>
          <w:bCs/>
        </w:rPr>
        <w:t xml:space="preserve"> para </w:t>
      </w:r>
      <w:proofErr w:type="spellStart"/>
      <w:r w:rsidR="00384C91">
        <w:rPr>
          <w:bCs/>
        </w:rPr>
        <w:t>sanitizar</w:t>
      </w:r>
      <w:proofErr w:type="spellEnd"/>
      <w:r w:rsidR="00105FDE">
        <w:rPr>
          <w:bCs/>
        </w:rPr>
        <w:t xml:space="preserve"> los espacios y edificios público</w:t>
      </w:r>
      <w:r w:rsidR="00384C91">
        <w:rPr>
          <w:bCs/>
        </w:rPr>
        <w:t>s; aunado a q</w:t>
      </w:r>
      <w:r w:rsidR="00105FDE">
        <w:rPr>
          <w:bCs/>
        </w:rPr>
        <w:t>ue no se había realizado erogación alguna por ese concepto</w:t>
      </w:r>
      <w:r w:rsidRPr="00984102">
        <w:t>; a</w:t>
      </w:r>
      <w:r w:rsidRPr="00984102">
        <w:rPr>
          <w:rFonts w:eastAsia="Calibri" w:cs="Tahoma"/>
          <w:bCs/>
          <w:color w:val="auto"/>
        </w:rPr>
        <w:t xml:space="preserve">l respecto, cabe señalar que </w:t>
      </w:r>
      <w:r w:rsidRPr="00984102">
        <w:rPr>
          <w:rFonts w:eastAsia="Times New Roman" w:cs="Tahoma"/>
          <w:color w:val="auto"/>
          <w:lang w:eastAsia="es-MX"/>
        </w:rPr>
        <w:t>este Instituto, no tiene atribuciones para pronunciarse sobre la veracidad de la información, inclusive de la proporcionada durante la tramitación del Medio de Impugnación.</w:t>
      </w:r>
    </w:p>
    <w:p w:rsidRPr="00984102" w:rsidR="00984102" w:rsidP="00E23B35" w:rsidRDefault="00984102" w14:paraId="148F95A2" w14:textId="77777777">
      <w:pPr>
        <w:spacing w:after="0"/>
        <w:rPr>
          <w:rFonts w:eastAsia="Times New Roman" w:cs="Tahoma"/>
          <w:color w:val="auto"/>
          <w:lang w:eastAsia="es-MX"/>
        </w:rPr>
      </w:pPr>
    </w:p>
    <w:p w:rsidRPr="00984102" w:rsidR="00984102" w:rsidP="00E23B35" w:rsidRDefault="00984102" w14:paraId="636C1675" w14:textId="77777777">
      <w:pPr>
        <w:spacing w:after="0"/>
        <w:rPr>
          <w:rFonts w:eastAsia="Times New Roman" w:cs="Tahoma"/>
          <w:color w:val="auto"/>
          <w:lang w:eastAsia="es-MX"/>
        </w:rPr>
      </w:pPr>
      <w:r w:rsidRPr="00984102">
        <w:rPr>
          <w:rFonts w:eastAsia="Times New Roman" w:cs="Tahoma"/>
          <w:color w:val="auto"/>
          <w:lang w:eastAsia="es-MX"/>
        </w:rPr>
        <w:t>Apoya lo anterior, el Criterio histórico 31/10, emitido por el Pleno del entonces Instituto Federal de Acceso a la Información y Protección de Datos, que a continuación se cita:</w:t>
      </w:r>
    </w:p>
    <w:p w:rsidRPr="00984102" w:rsidR="00984102" w:rsidP="00E23B35" w:rsidRDefault="00984102" w14:paraId="44A65F98" w14:textId="77777777">
      <w:pPr>
        <w:spacing w:after="0"/>
        <w:rPr>
          <w:rFonts w:eastAsia="Times New Roman" w:cs="Tahoma"/>
          <w:color w:val="auto"/>
          <w:sz w:val="20"/>
          <w:szCs w:val="20"/>
          <w:lang w:eastAsia="es-MX"/>
        </w:rPr>
      </w:pPr>
    </w:p>
    <w:p w:rsidRPr="00984102" w:rsidR="00984102" w:rsidP="00E23B35" w:rsidRDefault="00984102" w14:paraId="3DAE22EF" w14:textId="77777777">
      <w:pPr>
        <w:spacing w:after="0"/>
        <w:ind w:left="567" w:right="567"/>
        <w:rPr>
          <w:rFonts w:eastAsia="Times New Roman" w:cs="Tahoma"/>
          <w:i/>
          <w:color w:val="auto"/>
          <w:sz w:val="20"/>
          <w:szCs w:val="20"/>
          <w:lang w:eastAsia="es-MX"/>
        </w:rPr>
      </w:pPr>
      <w:r w:rsidRPr="00984102">
        <w:rPr>
          <w:rFonts w:eastAsia="Times New Roman" w:cs="Tahoma"/>
          <w:b/>
          <w:i/>
          <w:color w:val="auto"/>
          <w:sz w:val="20"/>
          <w:szCs w:val="20"/>
          <w:lang w:eastAsia="es-MX"/>
        </w:rPr>
        <w:t xml:space="preserve">“El Instituto Federal de Acceso a la Información y Protección de Datos </w:t>
      </w:r>
      <w:r w:rsidRPr="00984102">
        <w:rPr>
          <w:rFonts w:eastAsia="Times New Roman" w:cs="Tahoma"/>
          <w:b/>
          <w:i/>
          <w:color w:val="auto"/>
          <w:sz w:val="20"/>
          <w:szCs w:val="20"/>
          <w:u w:val="single"/>
          <w:lang w:eastAsia="es-MX"/>
        </w:rPr>
        <w:t xml:space="preserve">no cuenta con facultades para pronunciarse respecto de la veracidad de los documentos proporcionados por los sujetos obligados. </w:t>
      </w:r>
      <w:r w:rsidRPr="00984102">
        <w:rPr>
          <w:rFonts w:eastAsia="Times New Roman" w:cs="Tahoma"/>
          <w:i/>
          <w:color w:val="auto"/>
          <w:sz w:val="20"/>
          <w:szCs w:val="20"/>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84102" w:rsidR="00984102" w:rsidP="00E23B35" w:rsidRDefault="00984102" w14:paraId="5C7F070F" w14:textId="77777777">
      <w:pPr>
        <w:tabs>
          <w:tab w:val="left" w:pos="4962"/>
        </w:tabs>
        <w:spacing w:after="0"/>
        <w:rPr>
          <w:rFonts w:eastAsia="Calibri" w:cs="Tahoma"/>
          <w:iCs/>
          <w:color w:val="auto"/>
          <w:lang w:eastAsia="es-ES_tradnl"/>
        </w:rPr>
      </w:pPr>
    </w:p>
    <w:p w:rsidRPr="00984102" w:rsidR="00984102" w:rsidP="00E23B35" w:rsidRDefault="00984102" w14:paraId="103EBB4B" w14:textId="01CD82F0">
      <w:pPr>
        <w:spacing w:after="0"/>
        <w:rPr>
          <w:rFonts w:eastAsia="Times New Roman" w:cs="Tahoma"/>
          <w:color w:val="auto"/>
          <w:lang w:eastAsia="es-ES"/>
        </w:rPr>
      </w:pPr>
      <w:r w:rsidRPr="00984102">
        <w:rPr>
          <w:rFonts w:eastAsia="Times New Roman" w:cs="Tahoma"/>
          <w:bCs/>
          <w:color w:val="auto"/>
          <w:lang w:eastAsia="es-ES"/>
        </w:rPr>
        <w:t>Conforme a lo anterior, se logra observar que el Sujeto Obligado aludió a que la información era inexistente; al</w:t>
      </w:r>
      <w:r w:rsidRPr="00984102">
        <w:rPr>
          <w:rFonts w:eastAsia="Times New Roman" w:cs="Tahoma"/>
          <w:color w:val="auto"/>
          <w:lang w:eastAsia="es-ES"/>
        </w:rPr>
        <w:t xml:space="preserve"> respecto, el Criterio 14/17, emitido por </w:t>
      </w:r>
      <w:r w:rsidRPr="00FD3851" w:rsidR="00DA6DF2">
        <w:rPr>
          <w:rFonts w:cs="Tahoma"/>
        </w:rPr>
        <w:t xml:space="preserve">Instituto Nacional de Transparencia, Acceso a la Información y Protección de Datos </w:t>
      </w:r>
      <w:r w:rsidRPr="00FD3851" w:rsidR="00384C91">
        <w:rPr>
          <w:rFonts w:cs="Tahoma"/>
        </w:rPr>
        <w:t>Personales,</w:t>
      </w:r>
      <w:r w:rsidRPr="00984102">
        <w:rPr>
          <w:rFonts w:eastAsia="Times New Roman" w:cs="Tahoma"/>
          <w:color w:val="auto"/>
          <w:lang w:eastAsia="es-ES"/>
        </w:rPr>
        <w:t xml:space="preserve"> señala lo siguiente:</w:t>
      </w:r>
    </w:p>
    <w:p w:rsidRPr="00984102" w:rsidR="00984102" w:rsidP="00E23B35" w:rsidRDefault="00984102" w14:paraId="51A3F4DA" w14:textId="77777777">
      <w:pPr>
        <w:spacing w:after="0"/>
        <w:rPr>
          <w:rFonts w:eastAsia="Times New Roman" w:cs="Tahoma"/>
          <w:color w:val="auto"/>
          <w:lang w:eastAsia="es-ES"/>
        </w:rPr>
      </w:pPr>
    </w:p>
    <w:p w:rsidRPr="00984102" w:rsidR="00984102" w:rsidP="00E23B35" w:rsidRDefault="00984102" w14:paraId="19F52969" w14:textId="77777777">
      <w:pPr>
        <w:spacing w:after="0"/>
        <w:ind w:left="567" w:right="567"/>
        <w:rPr>
          <w:rFonts w:eastAsia="Times New Roman" w:cs="Tahoma"/>
          <w:bCs/>
          <w:i/>
          <w:color w:val="auto"/>
          <w:sz w:val="20"/>
          <w:szCs w:val="20"/>
          <w:lang w:val="es-ES" w:eastAsia="es-ES"/>
        </w:rPr>
      </w:pPr>
      <w:r w:rsidRPr="00984102">
        <w:rPr>
          <w:rFonts w:eastAsia="Times New Roman" w:cs="Tahoma"/>
          <w:bCs/>
          <w:i/>
          <w:color w:val="auto"/>
          <w:sz w:val="20"/>
          <w:szCs w:val="20"/>
          <w:lang w:val="es-ES" w:eastAsia="es-ES"/>
        </w:rPr>
        <w:lastRenderedPageBreak/>
        <w:t>“</w:t>
      </w:r>
      <w:r w:rsidRPr="00984102">
        <w:rPr>
          <w:rFonts w:eastAsia="Times New Roman" w:cs="Tahoma"/>
          <w:b/>
          <w:bCs/>
          <w:i/>
          <w:color w:val="auto"/>
          <w:sz w:val="20"/>
          <w:szCs w:val="20"/>
          <w:lang w:val="es-ES" w:eastAsia="es-ES"/>
        </w:rPr>
        <w:t xml:space="preserve">Inexistencia. </w:t>
      </w:r>
      <w:r w:rsidRPr="00984102">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984102" w:rsidR="00984102" w:rsidP="00E23B35" w:rsidRDefault="00984102" w14:paraId="6D426F4B" w14:textId="77777777">
      <w:pPr>
        <w:spacing w:after="0"/>
        <w:rPr>
          <w:rFonts w:eastAsia="Times New Roman" w:cs="Tahoma"/>
          <w:color w:val="auto"/>
          <w:lang w:eastAsia="es-ES"/>
        </w:rPr>
      </w:pPr>
    </w:p>
    <w:p w:rsidRPr="00984102" w:rsidR="00984102" w:rsidP="00E23B35" w:rsidRDefault="00984102" w14:paraId="28B47B65" w14:textId="77777777">
      <w:pPr>
        <w:spacing w:after="0"/>
        <w:rPr>
          <w:rFonts w:eastAsia="Times New Roman" w:cs="Tahoma"/>
          <w:color w:val="auto"/>
          <w:lang w:eastAsia="es-ES"/>
        </w:rPr>
      </w:pPr>
      <w:r w:rsidRPr="00984102">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rsidRPr="00984102" w:rsidR="00984102" w:rsidP="00E23B35" w:rsidRDefault="00984102" w14:paraId="2EEEA1F1" w14:textId="77777777">
      <w:pPr>
        <w:spacing w:after="0"/>
        <w:rPr>
          <w:rFonts w:eastAsia="Times New Roman" w:cs="Tahoma"/>
          <w:color w:val="auto"/>
          <w:lang w:val="es-ES" w:eastAsia="es-ES"/>
        </w:rPr>
      </w:pPr>
    </w:p>
    <w:p w:rsidRPr="00984102" w:rsidR="00984102" w:rsidP="00E23B35" w:rsidRDefault="00984102" w14:paraId="13C762A3" w14:textId="77777777">
      <w:pPr>
        <w:spacing w:after="0"/>
        <w:rPr>
          <w:rFonts w:eastAsia="Times New Roman" w:cs="Tahoma"/>
          <w:color w:val="auto"/>
          <w:lang w:val="es-ES" w:eastAsia="es-ES"/>
        </w:rPr>
      </w:pPr>
      <w:r w:rsidRPr="00984102">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984102" w:rsidR="00984102" w:rsidP="00E23B35" w:rsidRDefault="00984102" w14:paraId="631FB0A6" w14:textId="77777777">
      <w:pPr>
        <w:spacing w:after="0"/>
        <w:rPr>
          <w:rFonts w:eastAsia="Times New Roman" w:cs="Tahoma"/>
          <w:color w:val="auto"/>
          <w:lang w:val="es-ES" w:eastAsia="es-ES"/>
        </w:rPr>
      </w:pPr>
    </w:p>
    <w:p w:rsidRPr="00984102" w:rsidR="00984102" w:rsidP="00E23B35" w:rsidRDefault="00984102" w14:paraId="51C8BB4D" w14:textId="534EECBA">
      <w:pPr>
        <w:spacing w:after="0"/>
      </w:pPr>
      <w:r w:rsidRPr="00984102">
        <w:rPr>
          <w:rFonts w:eastAsia="Times New Roman" w:cs="Tahoma"/>
          <w:color w:val="auto"/>
          <w:lang w:val="es-ES" w:eastAsia="es-ES"/>
        </w:rPr>
        <w:t>Así</w:t>
      </w:r>
      <w:r w:rsidRPr="00984102">
        <w:rPr>
          <w:rFonts w:eastAsia="Times New Roman" w:cs="Tahoma"/>
          <w:color w:val="auto"/>
          <w:lang w:eastAsia="es-ES"/>
        </w:rPr>
        <w:t xml:space="preserve">, es posible concluir que la </w:t>
      </w:r>
      <w:r w:rsidRPr="00984102">
        <w:rPr>
          <w:rFonts w:eastAsia="Times New Roman" w:cs="Tahoma"/>
          <w:b/>
          <w:color w:val="auto"/>
          <w:lang w:eastAsia="es-ES"/>
        </w:rPr>
        <w:t>inexistencia</w:t>
      </w:r>
      <w:r w:rsidRPr="00984102">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984102">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r w:rsidRPr="00984102">
        <w:t xml:space="preserve"> lo cual aconteció, en el presente caso, pues </w:t>
      </w:r>
      <w:r w:rsidR="00D23478">
        <w:t xml:space="preserve">las áreas competentes, aludieron a que no se había llevado a cabo ningún contrato </w:t>
      </w:r>
      <w:r w:rsidR="00384C91">
        <w:t xml:space="preserve">de contratación de servicios o adquisición de bines para </w:t>
      </w:r>
      <w:proofErr w:type="spellStart"/>
      <w:r w:rsidR="00384C91">
        <w:t>sanitizar</w:t>
      </w:r>
      <w:proofErr w:type="spellEnd"/>
      <w:r w:rsidR="00105FDE">
        <w:t>,  ni realizado erogación alguna.</w:t>
      </w:r>
    </w:p>
    <w:p w:rsidRPr="00984102" w:rsidR="00984102" w:rsidP="00E23B35" w:rsidRDefault="00984102" w14:paraId="1CC66180" w14:textId="77777777">
      <w:pPr>
        <w:spacing w:after="0"/>
        <w:rPr>
          <w:rFonts w:eastAsia="Times New Roman" w:cs="Tahoma"/>
          <w:bCs/>
          <w:color w:val="auto"/>
          <w:lang w:eastAsia="es-ES"/>
        </w:rPr>
      </w:pPr>
    </w:p>
    <w:p w:rsidR="005B3B00" w:rsidP="00E23B35" w:rsidRDefault="00984102" w14:paraId="37A75896" w14:textId="55CC3470">
      <w:pPr>
        <w:spacing w:after="0"/>
        <w:rPr>
          <w:rFonts w:eastAsia="Times New Roman" w:cs="Tahoma"/>
          <w:color w:val="auto"/>
          <w:lang w:val="es-ES" w:eastAsia="es-ES"/>
        </w:rPr>
      </w:pPr>
      <w:r w:rsidRPr="00984102">
        <w:rPr>
          <w:rFonts w:eastAsia="Times New Roman" w:cs="Tahoma"/>
          <w:color w:val="auto"/>
          <w:lang w:val="es-ES" w:eastAsia="es-ES"/>
        </w:rPr>
        <w:t xml:space="preserve">Además, este Instituto realizó una búsqueda en el Portal de Información Pública de Oficio Mexiquense del </w:t>
      </w:r>
      <w:r w:rsidRPr="00984102">
        <w:rPr>
          <w:rFonts w:eastAsia="Times New Roman" w:cs="Tahoma"/>
          <w:bCs/>
          <w:color w:val="auto"/>
          <w:lang w:eastAsia="es-ES"/>
        </w:rPr>
        <w:t xml:space="preserve">Ayuntamiento de </w:t>
      </w:r>
      <w:r w:rsidR="00D23478">
        <w:rPr>
          <w:rFonts w:eastAsia="Times New Roman" w:cs="Tahoma"/>
          <w:bCs/>
          <w:color w:val="auto"/>
          <w:lang w:eastAsia="es-ES"/>
        </w:rPr>
        <w:t>Toluca y su página oficial</w:t>
      </w:r>
      <w:r w:rsidRPr="00984102">
        <w:rPr>
          <w:rFonts w:eastAsia="Times New Roman" w:cs="Tahoma"/>
          <w:color w:val="auto"/>
          <w:lang w:val="es-ES" w:eastAsia="es-ES"/>
        </w:rPr>
        <w:t xml:space="preserve">, sin embargo, no se localizó algún documento, información o indicio que prevea que el Ente Recurrido </w:t>
      </w:r>
      <w:r w:rsidR="005B3B00">
        <w:rPr>
          <w:rFonts w:eastAsia="Times New Roman" w:cs="Tahoma"/>
          <w:color w:val="auto"/>
          <w:lang w:val="es-ES" w:eastAsia="es-ES"/>
        </w:rPr>
        <w:t xml:space="preserve">haya </w:t>
      </w:r>
      <w:r w:rsidR="00384C91">
        <w:rPr>
          <w:rFonts w:eastAsia="Times New Roman" w:cs="Tahoma"/>
          <w:color w:val="auto"/>
          <w:lang w:val="es-ES" w:eastAsia="es-ES"/>
        </w:rPr>
        <w:t>realizado algún procedimiento de adjudicación para llevar a cabo la sanitización de los espacios y edificios públicos.</w:t>
      </w:r>
    </w:p>
    <w:p w:rsidRPr="00984102" w:rsidR="00984102" w:rsidP="00E23B35" w:rsidRDefault="00984102" w14:paraId="3EB48A56" w14:textId="77777777">
      <w:pPr>
        <w:spacing w:after="0"/>
        <w:rPr>
          <w:rFonts w:eastAsia="Times New Roman" w:cs="Tahoma"/>
          <w:color w:val="auto"/>
          <w:lang w:val="es-ES" w:eastAsia="es-ES"/>
        </w:rPr>
      </w:pPr>
    </w:p>
    <w:p w:rsidRPr="00984102" w:rsidR="00984102" w:rsidP="00E23B35" w:rsidRDefault="00984102" w14:paraId="2F2BD56B" w14:textId="12200982">
      <w:pPr>
        <w:spacing w:after="0"/>
        <w:rPr>
          <w:rFonts w:eastAsia="Times New Roman" w:cs="Tahoma"/>
          <w:color w:val="auto"/>
          <w:lang w:val="es-ES" w:eastAsia="es-ES"/>
        </w:rPr>
      </w:pPr>
      <w:r w:rsidRPr="00984102">
        <w:rPr>
          <w:rFonts w:eastAsia="Times New Roman" w:cs="Tahoma"/>
          <w:color w:val="auto"/>
          <w:lang w:val="es-ES" w:eastAsia="es-ES"/>
        </w:rPr>
        <w:lastRenderedPageBreak/>
        <w:t>Así, se logra colegir que la información solicitada por el ahora Recurrente es inexistente, pues el Sujeto Obligado, realizó una búsqueda de manera exhaustiva y razonable en sus archivos, al gestionar la solicitud de información a</w:t>
      </w:r>
      <w:r w:rsidR="00EC315A">
        <w:rPr>
          <w:rFonts w:eastAsia="Times New Roman" w:cs="Tahoma"/>
          <w:color w:val="auto"/>
          <w:lang w:val="es-ES" w:eastAsia="es-ES"/>
        </w:rPr>
        <w:t xml:space="preserve"> </w:t>
      </w:r>
      <w:r w:rsidRPr="00984102">
        <w:rPr>
          <w:rFonts w:eastAsia="Times New Roman" w:cs="Tahoma"/>
          <w:color w:val="auto"/>
          <w:lang w:val="es-ES" w:eastAsia="es-ES"/>
        </w:rPr>
        <w:t>l</w:t>
      </w:r>
      <w:r w:rsidR="00EC315A">
        <w:rPr>
          <w:rFonts w:eastAsia="Times New Roman" w:cs="Tahoma"/>
          <w:color w:val="auto"/>
          <w:lang w:val="es-ES" w:eastAsia="es-ES"/>
        </w:rPr>
        <w:t>as</w:t>
      </w:r>
      <w:r w:rsidRPr="00984102">
        <w:rPr>
          <w:rFonts w:eastAsia="Times New Roman" w:cs="Tahoma"/>
          <w:color w:val="auto"/>
          <w:lang w:val="es-ES" w:eastAsia="es-ES"/>
        </w:rPr>
        <w:t xml:space="preserve"> área</w:t>
      </w:r>
      <w:r w:rsidR="00EC315A">
        <w:rPr>
          <w:rFonts w:eastAsia="Times New Roman" w:cs="Tahoma"/>
          <w:color w:val="auto"/>
          <w:lang w:val="es-ES" w:eastAsia="es-ES"/>
        </w:rPr>
        <w:t>s</w:t>
      </w:r>
      <w:r w:rsidRPr="00984102">
        <w:rPr>
          <w:rFonts w:eastAsia="Times New Roman" w:cs="Tahoma"/>
          <w:color w:val="auto"/>
          <w:lang w:val="es-ES" w:eastAsia="es-ES"/>
        </w:rPr>
        <w:t xml:space="preserve"> competente</w:t>
      </w:r>
      <w:r w:rsidR="00EC315A">
        <w:rPr>
          <w:rFonts w:eastAsia="Times New Roman" w:cs="Tahoma"/>
          <w:color w:val="auto"/>
          <w:lang w:val="es-ES" w:eastAsia="es-ES"/>
        </w:rPr>
        <w:t>s</w:t>
      </w:r>
      <w:r w:rsidRPr="00984102">
        <w:rPr>
          <w:rFonts w:eastAsia="Times New Roman" w:cs="Tahoma"/>
          <w:color w:val="auto"/>
          <w:lang w:val="es-ES" w:eastAsia="es-ES"/>
        </w:rPr>
        <w:t xml:space="preserve">, </w:t>
      </w:r>
      <w:r w:rsidR="00EC315A">
        <w:rPr>
          <w:rFonts w:eastAsia="Times New Roman" w:cs="Tahoma"/>
          <w:color w:val="auto"/>
          <w:lang w:val="es-ES" w:eastAsia="es-ES"/>
        </w:rPr>
        <w:t>efectuar</w:t>
      </w:r>
      <w:r w:rsidRPr="00984102">
        <w:rPr>
          <w:rFonts w:eastAsia="Times New Roman" w:cs="Tahoma"/>
          <w:color w:val="auto"/>
          <w:lang w:val="es-ES" w:eastAsia="es-ES"/>
        </w:rPr>
        <w:t xml:space="preserve"> la indagación minuciosa en todos sus archivos y finalmente, señalar los motivos </w:t>
      </w:r>
      <w:r w:rsidR="005B3B00">
        <w:rPr>
          <w:rFonts w:eastAsia="Times New Roman" w:cs="Tahoma"/>
          <w:color w:val="auto"/>
          <w:lang w:val="es-ES" w:eastAsia="es-ES"/>
        </w:rPr>
        <w:t>por las cuales no contaba con lo</w:t>
      </w:r>
      <w:r w:rsidRPr="00984102">
        <w:rPr>
          <w:rFonts w:eastAsia="Times New Roman" w:cs="Tahoma"/>
          <w:color w:val="auto"/>
          <w:lang w:val="es-ES" w:eastAsia="es-ES"/>
        </w:rPr>
        <w:t xml:space="preserve"> peticionado, a saber, que no había </w:t>
      </w:r>
      <w:r w:rsidR="00EC315A">
        <w:rPr>
          <w:rFonts w:eastAsia="Times New Roman" w:cs="Tahoma"/>
          <w:color w:val="auto"/>
          <w:lang w:val="es-ES" w:eastAsia="es-ES"/>
        </w:rPr>
        <w:t xml:space="preserve">realizado ningún </w:t>
      </w:r>
      <w:r w:rsidR="002059DB">
        <w:rPr>
          <w:rFonts w:eastAsia="Times New Roman" w:cs="Tahoma"/>
          <w:color w:val="auto"/>
          <w:lang w:val="es-ES" w:eastAsia="es-ES"/>
        </w:rPr>
        <w:t xml:space="preserve">procedimiento para la contratación de servicios, ni adquisición de bienes para </w:t>
      </w:r>
      <w:proofErr w:type="spellStart"/>
      <w:r w:rsidR="002059DB">
        <w:rPr>
          <w:rFonts w:eastAsia="Times New Roman" w:cs="Tahoma"/>
          <w:color w:val="auto"/>
          <w:lang w:val="es-ES" w:eastAsia="es-ES"/>
        </w:rPr>
        <w:t>sanitizar</w:t>
      </w:r>
      <w:proofErr w:type="spellEnd"/>
      <w:r w:rsidR="002059DB">
        <w:rPr>
          <w:rFonts w:eastAsia="Times New Roman" w:cs="Tahoma"/>
          <w:color w:val="auto"/>
          <w:lang w:val="es-ES" w:eastAsia="es-ES"/>
        </w:rPr>
        <w:t xml:space="preserve"> los espacios o edificios públicos.</w:t>
      </w:r>
    </w:p>
    <w:p w:rsidRPr="00984102" w:rsidR="00984102" w:rsidP="00E23B35" w:rsidRDefault="00984102" w14:paraId="3FA72AFC" w14:textId="77777777">
      <w:pPr>
        <w:spacing w:after="0"/>
        <w:rPr>
          <w:rFonts w:eastAsia="Times New Roman" w:cs="Tahoma"/>
          <w:color w:val="auto"/>
          <w:lang w:val="es-ES" w:eastAsia="es-ES"/>
        </w:rPr>
      </w:pPr>
    </w:p>
    <w:p w:rsidRPr="00984102" w:rsidR="00984102" w:rsidP="00E23B35" w:rsidRDefault="00984102" w14:paraId="0B28D978" w14:textId="77777777">
      <w:pPr>
        <w:widowControl w:val="0"/>
        <w:spacing w:after="0"/>
      </w:pPr>
      <w:r w:rsidRPr="00984102">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984102" w:rsidR="00984102" w:rsidP="00E23B35" w:rsidRDefault="00984102" w14:paraId="392B94DB" w14:textId="77777777">
      <w:pPr>
        <w:spacing w:after="0"/>
        <w:rPr>
          <w:rFonts w:eastAsia="Times New Roman" w:cs="Tahoma"/>
          <w:color w:val="auto"/>
          <w:lang w:val="es-ES" w:eastAsia="es-ES"/>
        </w:rPr>
      </w:pPr>
    </w:p>
    <w:p w:rsidRPr="00984102" w:rsidR="00984102" w:rsidP="00E23B35" w:rsidRDefault="00984102" w14:paraId="57FA5B3E" w14:textId="77777777">
      <w:pPr>
        <w:spacing w:after="0"/>
        <w:rPr>
          <w:rFonts w:eastAsia="Times New Roman" w:cs="Tahoma"/>
          <w:bCs/>
          <w:color w:val="auto"/>
          <w:lang w:eastAsia="es-ES"/>
        </w:rPr>
      </w:pPr>
      <w:r w:rsidRPr="00984102">
        <w:rPr>
          <w:rFonts w:eastAsia="Times New Roman" w:cs="Tahoma"/>
          <w:color w:val="auto"/>
          <w:lang w:val="es-ES" w:eastAsia="es-ES"/>
        </w:rPr>
        <w:t xml:space="preserve">De la misma manera, </w:t>
      </w:r>
      <w:r w:rsidRPr="00984102">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984102" w:rsidR="00984102" w:rsidP="00E23B35" w:rsidRDefault="00984102" w14:paraId="3A8B3084" w14:textId="77777777">
      <w:pPr>
        <w:spacing w:after="0"/>
        <w:rPr>
          <w:rFonts w:eastAsia="Times New Roman" w:cs="Tahoma"/>
          <w:color w:val="auto"/>
          <w:lang w:val="es-ES" w:eastAsia="es-ES"/>
        </w:rPr>
      </w:pPr>
    </w:p>
    <w:p w:rsidR="001A5BA4" w:rsidP="00E23B35" w:rsidRDefault="00984102" w14:paraId="61E8D15F" w14:textId="36A3FFAF">
      <w:pPr>
        <w:spacing w:after="0"/>
        <w:rPr>
          <w:rFonts w:eastAsia="Times New Roman" w:cs="Tahoma"/>
          <w:lang w:eastAsia="es-ES"/>
        </w:rPr>
      </w:pPr>
      <w:r w:rsidRPr="00984102">
        <w:rPr>
          <w:rFonts w:eastAsia="Times New Roman" w:cs="Tahoma"/>
          <w:lang w:eastAsia="es-ES"/>
        </w:rPr>
        <w:t xml:space="preserve">Al respecto, dicho criterio aplica al caso en concreto, ya que, no se localizó </w:t>
      </w:r>
      <w:r w:rsidR="002F4617">
        <w:rPr>
          <w:rFonts w:eastAsia="Times New Roman" w:cs="Tahoma"/>
          <w:lang w:eastAsia="es-ES"/>
        </w:rPr>
        <w:t>algún indicio de que e</w:t>
      </w:r>
      <w:r w:rsidR="001A5BA4">
        <w:rPr>
          <w:rFonts w:eastAsia="Times New Roman" w:cs="Tahoma"/>
          <w:lang w:eastAsia="es-ES"/>
        </w:rPr>
        <w:t xml:space="preserve">l Ayuntamiento haya </w:t>
      </w:r>
      <w:r w:rsidR="002059DB">
        <w:rPr>
          <w:rFonts w:eastAsia="Times New Roman" w:cs="Tahoma"/>
          <w:lang w:eastAsia="es-ES"/>
        </w:rPr>
        <w:t>realizado algún procedimiento de contratación de servicios o adquisición de bienes para realizar la tarea señalada por el Particular; aunado a que tampoco erogo recurso alguno.</w:t>
      </w:r>
    </w:p>
    <w:p w:rsidR="001A5BA4" w:rsidP="00E23B35" w:rsidRDefault="001A5BA4" w14:paraId="3450B291" w14:textId="77777777">
      <w:pPr>
        <w:spacing w:after="0"/>
        <w:rPr>
          <w:rFonts w:eastAsia="Calibri" w:cs="Tahoma"/>
          <w:iCs/>
          <w:color w:val="auto"/>
          <w:lang w:eastAsia="es-ES_tradnl"/>
        </w:rPr>
      </w:pPr>
    </w:p>
    <w:p w:rsidR="002F4617" w:rsidP="00E23B35" w:rsidRDefault="00984102" w14:paraId="5DD192B8" w14:textId="4BF690FB">
      <w:pPr>
        <w:spacing w:after="0"/>
        <w:rPr>
          <w:rFonts w:eastAsia="Calibri" w:cs="Tahoma"/>
          <w:iCs/>
          <w:color w:val="auto"/>
          <w:lang w:eastAsia="es-ES_tradnl"/>
        </w:rPr>
      </w:pPr>
      <w:r w:rsidRPr="00984102">
        <w:rPr>
          <w:rFonts w:eastAsia="Calibri" w:cs="Tahoma"/>
          <w:iCs/>
          <w:color w:val="auto"/>
          <w:lang w:eastAsia="es-ES_tradnl"/>
        </w:rPr>
        <w:t xml:space="preserve">De tales circunstancias, se considera que desde respuesta el Sujeto Obligado precisó las razones por las cuales no contaba con la información peticionada, en términos del artículo 19, párrafo </w:t>
      </w:r>
      <w:r w:rsidRPr="00984102">
        <w:rPr>
          <w:rFonts w:eastAsia="Calibri" w:cs="Tahoma"/>
          <w:iCs/>
          <w:color w:val="auto"/>
          <w:lang w:eastAsia="es-ES_tradnl"/>
        </w:rPr>
        <w:lastRenderedPageBreak/>
        <w:t xml:space="preserve">segundo de la Ley de Transparencia y Acceso a la Información Pública del Estado de México y Municipios, por lo que el agravio deviene de </w:t>
      </w:r>
      <w:r w:rsidRPr="00984102">
        <w:rPr>
          <w:rFonts w:eastAsia="Calibri" w:cs="Tahoma"/>
          <w:b/>
          <w:bCs/>
          <w:iCs/>
          <w:color w:val="auto"/>
          <w:lang w:eastAsia="es-ES_tradnl"/>
        </w:rPr>
        <w:t>INFUNDADO.</w:t>
      </w:r>
    </w:p>
    <w:p w:rsidR="002F4617" w:rsidP="00E23B35" w:rsidRDefault="002F4617" w14:paraId="4D24DBDA" w14:textId="77777777">
      <w:pPr>
        <w:spacing w:after="0"/>
        <w:rPr>
          <w:rFonts w:eastAsia="Calibri" w:cs="Tahoma"/>
          <w:iCs/>
          <w:color w:val="auto"/>
          <w:lang w:eastAsia="es-ES_tradnl"/>
        </w:rPr>
      </w:pPr>
    </w:p>
    <w:p w:rsidR="002F4617" w:rsidP="00E23B35" w:rsidRDefault="008F4282" w14:paraId="1A131EE7" w14:textId="4626B96E">
      <w:pPr>
        <w:spacing w:after="0"/>
        <w:rPr>
          <w:rFonts w:eastAsia="Calibri" w:cs="Tahoma"/>
          <w:iCs/>
          <w:color w:val="auto"/>
          <w:lang w:eastAsia="es-ES_tradnl"/>
        </w:rPr>
      </w:pPr>
      <w:r>
        <w:rPr>
          <w:rFonts w:eastAsia="Calibri" w:cs="Tahoma"/>
          <w:iCs/>
          <w:color w:val="auto"/>
          <w:lang w:eastAsia="es-ES_tradnl"/>
        </w:rPr>
        <w:t>Ahora bien, no pasa desapercibido para este Instituto, que el Particular se inconformó de que no se le habían entregado las respuestas de los servidores públicos habilitados; sobre esta situación, el artículo 53, fracciones II y V de la Ley de Transparencia y Acceso a la Información Púbica del Estado de México y Municipios, establece que es una obligación de las Unidades de Transparencia, dar respuesta a las solicitudes de información, y en su caso, la documentación peticionada.</w:t>
      </w:r>
    </w:p>
    <w:p w:rsidR="008F4282" w:rsidP="00E23B35" w:rsidRDefault="008F4282" w14:paraId="1C9974E8" w14:textId="77777777">
      <w:pPr>
        <w:spacing w:after="0"/>
        <w:rPr>
          <w:rFonts w:eastAsia="Calibri" w:cs="Tahoma"/>
          <w:iCs/>
          <w:color w:val="auto"/>
          <w:lang w:eastAsia="es-ES_tradnl"/>
        </w:rPr>
      </w:pPr>
    </w:p>
    <w:p w:rsidR="008F4282" w:rsidP="00E23B35" w:rsidRDefault="00962436" w14:paraId="56A47FEF" w14:textId="530FFD8A">
      <w:pPr>
        <w:spacing w:after="0"/>
        <w:rPr>
          <w:rFonts w:eastAsia="Calibri" w:cs="Tahoma"/>
          <w:iCs/>
          <w:color w:val="auto"/>
          <w:lang w:eastAsia="es-ES_tradnl"/>
        </w:rPr>
      </w:pPr>
      <w:r>
        <w:rPr>
          <w:rFonts w:eastAsia="Calibri" w:cs="Tahoma"/>
          <w:iCs/>
          <w:color w:val="auto"/>
          <w:lang w:eastAsia="es-ES_tradnl"/>
        </w:rPr>
        <w:t>Mientras, que los servidores públicos habilitados serán los encargados de localizar la información y, en su caso, proporcionar la información que obre en sus archivos, de conformidad con el artículo 59, fracciones I y II de la Ley referida.</w:t>
      </w:r>
    </w:p>
    <w:p w:rsidR="00962436" w:rsidP="00E23B35" w:rsidRDefault="00962436" w14:paraId="455B1A62" w14:textId="77777777">
      <w:pPr>
        <w:spacing w:after="0"/>
        <w:rPr>
          <w:rFonts w:eastAsia="Calibri" w:cs="Tahoma"/>
          <w:iCs/>
          <w:color w:val="auto"/>
          <w:lang w:eastAsia="es-ES_tradnl"/>
        </w:rPr>
      </w:pPr>
    </w:p>
    <w:p w:rsidR="00962436" w:rsidP="00E23B35" w:rsidRDefault="00B96F37" w14:paraId="277E6C1A" w14:textId="50AFF4FF">
      <w:pPr>
        <w:spacing w:after="0"/>
        <w:rPr>
          <w:rFonts w:eastAsia="Calibri" w:cs="Tahoma"/>
          <w:iCs/>
          <w:color w:val="auto"/>
          <w:lang w:eastAsia="es-ES_tradnl"/>
        </w:rPr>
      </w:pPr>
      <w:r>
        <w:rPr>
          <w:rFonts w:eastAsia="Calibri" w:cs="Tahoma"/>
          <w:iCs/>
          <w:color w:val="auto"/>
          <w:lang w:eastAsia="es-ES_tradnl"/>
        </w:rPr>
        <w:t xml:space="preserve">En ese orden de ideas, el procedimiento para la atención de una solicitud de acceso a la información pública, se encuentra previstos de los artículos 150 a 170 de la Ley </w:t>
      </w:r>
      <w:r w:rsidRPr="00B96F37">
        <w:rPr>
          <w:rFonts w:eastAsia="Calibri" w:cs="Tahoma"/>
          <w:iCs/>
          <w:color w:val="auto"/>
          <w:lang w:eastAsia="es-ES_tradnl"/>
        </w:rPr>
        <w:t>de Transparencia y Acceso a la Información Púbica del Estado de México y Municipios</w:t>
      </w:r>
      <w:r>
        <w:rPr>
          <w:rFonts w:eastAsia="Calibri" w:cs="Tahoma"/>
          <w:iCs/>
          <w:color w:val="auto"/>
          <w:lang w:eastAsia="es-ES_tradnl"/>
        </w:rPr>
        <w:t>, de cuya revisión, no se localizó alguna obligaci</w:t>
      </w:r>
      <w:r w:rsidR="00D809BF">
        <w:rPr>
          <w:rFonts w:eastAsia="Calibri" w:cs="Tahoma"/>
          <w:iCs/>
          <w:color w:val="auto"/>
          <w:lang w:eastAsia="es-ES_tradnl"/>
        </w:rPr>
        <w:t>ón normativa que refiera que las Unidades de Transparencia, deben de entregar las respuestas de los servidores públicos habilitados.</w:t>
      </w:r>
    </w:p>
    <w:p w:rsidR="00D809BF" w:rsidP="00E23B35" w:rsidRDefault="00D809BF" w14:paraId="3BF56852" w14:textId="77777777">
      <w:pPr>
        <w:spacing w:after="0"/>
        <w:rPr>
          <w:rFonts w:eastAsia="Calibri" w:cs="Tahoma"/>
          <w:iCs/>
          <w:color w:val="auto"/>
          <w:lang w:eastAsia="es-ES_tradnl"/>
        </w:rPr>
      </w:pPr>
    </w:p>
    <w:p w:rsidR="00D809BF" w:rsidP="00E23B35" w:rsidRDefault="00D809BF" w14:paraId="0956AC76" w14:textId="09BF625A">
      <w:pPr>
        <w:spacing w:after="0"/>
        <w:rPr>
          <w:rFonts w:eastAsia="Calibri" w:cs="Tahoma"/>
          <w:iCs/>
          <w:color w:val="auto"/>
          <w:lang w:eastAsia="es-ES_tradnl"/>
        </w:rPr>
      </w:pPr>
      <w:r>
        <w:rPr>
          <w:rFonts w:eastAsia="Calibri" w:cs="Tahoma"/>
          <w:iCs/>
          <w:color w:val="auto"/>
          <w:lang w:eastAsia="es-ES_tradnl"/>
        </w:rPr>
        <w:t xml:space="preserve">Situación que guarda relevancia, pues conforme a los criterios </w:t>
      </w:r>
      <w:r w:rsidR="00422394">
        <w:rPr>
          <w:rFonts w:eastAsia="Calibri" w:cs="Tahoma"/>
          <w:iCs/>
          <w:color w:val="auto"/>
          <w:lang w:eastAsia="es-ES_tradnl"/>
        </w:rPr>
        <w:t>07/09</w:t>
      </w:r>
      <w:r>
        <w:rPr>
          <w:rFonts w:eastAsia="Calibri" w:cs="Tahoma"/>
          <w:iCs/>
          <w:color w:val="auto"/>
          <w:lang w:eastAsia="es-ES_tradnl"/>
        </w:rPr>
        <w:t xml:space="preserve"> y 07/19, emitidos por el Instituto Nacional de Transparencia, Acceso a la Información y Protección de Datos Personales,</w:t>
      </w:r>
      <w:r w:rsidR="00422394">
        <w:rPr>
          <w:rFonts w:eastAsia="Calibri" w:cs="Tahoma"/>
          <w:iCs/>
          <w:color w:val="auto"/>
          <w:lang w:eastAsia="es-ES_tradnl"/>
        </w:rPr>
        <w:t xml:space="preserve"> traídos por analogía, los documentos emitidos por las Unidades de Transparencia para dar respuesta a una solicitud de información, son válidos cuando se proporcione a través de la Plataforma Nacional de Transparencia o, en el presente caso, en el Sistema de Acceso a la Información Me</w:t>
      </w:r>
      <w:r w:rsidR="00B440DF">
        <w:rPr>
          <w:rFonts w:eastAsia="Calibri" w:cs="Tahoma"/>
          <w:iCs/>
          <w:color w:val="auto"/>
          <w:lang w:eastAsia="es-ES_tradnl"/>
        </w:rPr>
        <w:t xml:space="preserve">xiquense; por lo que, si la Unidad de Transparencia, mediante su respuesta, conjunta la contestación realizada por cada una de las unidades administrativas competentes, se entiende como valida; lo cual se robustece, con el hecho de que mediante el Sistema de </w:t>
      </w:r>
      <w:r w:rsidR="00B440DF">
        <w:rPr>
          <w:rFonts w:eastAsia="Calibri" w:cs="Tahoma"/>
          <w:iCs/>
          <w:color w:val="auto"/>
          <w:lang w:eastAsia="es-ES_tradnl"/>
        </w:rPr>
        <w:lastRenderedPageBreak/>
        <w:t>Acceso a la Información Mexiquense</w:t>
      </w:r>
      <w:r w:rsidR="0077799F">
        <w:rPr>
          <w:rFonts w:eastAsia="Calibri" w:cs="Tahoma"/>
          <w:iCs/>
          <w:color w:val="auto"/>
          <w:lang w:eastAsia="es-ES_tradnl"/>
        </w:rPr>
        <w:t>, los servidores públicos habilitados pueden dar contestación a un requerimiento que les fue turnado, sin necesidad de generar un oficio o documento en específico.</w:t>
      </w:r>
    </w:p>
    <w:p w:rsidR="0077799F" w:rsidP="00E23B35" w:rsidRDefault="0077799F" w14:paraId="5F6D9379" w14:textId="77777777">
      <w:pPr>
        <w:spacing w:after="0"/>
        <w:rPr>
          <w:rFonts w:eastAsia="Calibri" w:cs="Tahoma"/>
          <w:iCs/>
          <w:color w:val="auto"/>
          <w:lang w:eastAsia="es-ES_tradnl"/>
        </w:rPr>
      </w:pPr>
    </w:p>
    <w:p w:rsidR="0077799F" w:rsidP="00E23B35" w:rsidRDefault="0077799F" w14:paraId="0E2CBE8F" w14:textId="49E1B313">
      <w:pPr>
        <w:spacing w:after="0"/>
        <w:rPr>
          <w:rFonts w:eastAsia="Calibri" w:cs="Tahoma"/>
          <w:iCs/>
          <w:color w:val="auto"/>
          <w:lang w:eastAsia="es-ES_tradnl"/>
        </w:rPr>
      </w:pPr>
      <w:r>
        <w:rPr>
          <w:rFonts w:eastAsia="Calibri" w:cs="Tahoma"/>
          <w:iCs/>
          <w:color w:val="auto"/>
          <w:lang w:eastAsia="es-ES_tradnl"/>
        </w:rPr>
        <w:t xml:space="preserve">Por lo que, en el presente caso, el Particular al solicitar las respuestas de las unidades administrativas competentes, se logra colegir que amplió su solicitud de información, pues </w:t>
      </w:r>
      <w:r w:rsidR="00E23B35">
        <w:rPr>
          <w:rFonts w:eastAsia="Calibri" w:cs="Tahoma"/>
          <w:iCs/>
          <w:color w:val="auto"/>
          <w:lang w:eastAsia="es-ES_tradnl"/>
        </w:rPr>
        <w:t xml:space="preserve">no corresponde a expresiones documentales requeridas inicialmente; aunado a que la Unidad de Transparencia, ya le hizo del conocimiento al Particular la contestación de dichas áreas, referentes a la inexistencia de la información, por lo que, resulta </w:t>
      </w:r>
      <w:r w:rsidR="00E23B35">
        <w:rPr>
          <w:rFonts w:eastAsia="Calibri" w:cs="Tahoma"/>
          <w:b/>
          <w:iCs/>
          <w:color w:val="auto"/>
          <w:lang w:eastAsia="es-ES_tradnl"/>
        </w:rPr>
        <w:t xml:space="preserve">improcedente </w:t>
      </w:r>
      <w:r w:rsidR="00E23B35">
        <w:rPr>
          <w:rFonts w:eastAsia="Calibri" w:cs="Tahoma"/>
          <w:iCs/>
          <w:color w:val="auto"/>
          <w:lang w:eastAsia="es-ES_tradnl"/>
        </w:rPr>
        <w:t>agravio.</w:t>
      </w:r>
    </w:p>
    <w:p w:rsidRPr="00E23B35" w:rsidR="00E23B35" w:rsidP="00E23B35" w:rsidRDefault="00E23B35" w14:paraId="7751A0EA" w14:textId="77777777">
      <w:pPr>
        <w:spacing w:after="0"/>
        <w:rPr>
          <w:rFonts w:eastAsia="Calibri" w:cs="Tahoma"/>
          <w:iCs/>
          <w:color w:val="auto"/>
          <w:lang w:eastAsia="es-ES_tradnl"/>
        </w:rPr>
      </w:pPr>
    </w:p>
    <w:p w:rsidR="006A5F3D" w:rsidP="00E23B35" w:rsidRDefault="006A5F3D" w14:paraId="07BF8C66" w14:textId="77777777">
      <w:pPr>
        <w:widowControl w:val="0"/>
        <w:spacing w:after="0"/>
        <w:rPr>
          <w:rFonts w:cs="Tahoma"/>
        </w:rPr>
      </w:pPr>
      <w:r w:rsidRPr="00F074E0">
        <w:rPr>
          <w:rFonts w:eastAsia="Calibri"/>
          <w:b/>
          <w:color w:val="000000"/>
          <w:lang w:val="es-ES"/>
        </w:rPr>
        <w:t>S</w:t>
      </w:r>
      <w:r>
        <w:rPr>
          <w:rFonts w:eastAsia="Calibri"/>
          <w:b/>
          <w:color w:val="000000"/>
          <w:lang w:val="es-ES"/>
        </w:rPr>
        <w:t>EXTO</w:t>
      </w:r>
      <w:r w:rsidRPr="00F074E0">
        <w:rPr>
          <w:rFonts w:eastAsia="Calibri"/>
          <w:b/>
          <w:color w:val="000000"/>
          <w:lang w:val="es-ES"/>
        </w:rPr>
        <w:t>. Decisión.</w:t>
      </w:r>
    </w:p>
    <w:p w:rsidR="006A5F3D" w:rsidP="00E23B35" w:rsidRDefault="006A5F3D" w14:paraId="5A79D083" w14:textId="77777777">
      <w:pPr>
        <w:widowControl w:val="0"/>
        <w:spacing w:after="0"/>
        <w:rPr>
          <w:rFonts w:cs="Tahoma"/>
        </w:rPr>
      </w:pPr>
    </w:p>
    <w:p w:rsidRPr="00C97EE9" w:rsidR="00E23B35" w:rsidP="00E23B35" w:rsidRDefault="00E23B35" w14:paraId="6A29B9B0" w14:textId="77777777">
      <w:pPr>
        <w:spacing w:after="0"/>
        <w:rPr>
          <w:rFonts w:cs="Tahoma"/>
          <w:bCs/>
          <w:iCs/>
        </w:rPr>
      </w:pPr>
      <w:r w:rsidRPr="00C97EE9">
        <w:rPr>
          <w:rFonts w:cs="Tahoma"/>
          <w:bCs/>
          <w:iCs/>
        </w:rPr>
        <w:t xml:space="preserve">Con fundamento en el artículo 186, fracción II, de la Ley de Transparencia y Acceso a la Información Pública del Estado de México y Municipios, este Instituto considera procedente </w:t>
      </w:r>
      <w:r w:rsidRPr="00C97EE9">
        <w:rPr>
          <w:rFonts w:cs="Tahoma"/>
          <w:b/>
          <w:iCs/>
        </w:rPr>
        <w:t>CONFIRMAR</w:t>
      </w:r>
      <w:r w:rsidRPr="00C97EE9">
        <w:rPr>
          <w:rFonts w:cs="Tahoma"/>
          <w:bCs/>
          <w:iCs/>
        </w:rPr>
        <w:t xml:space="preserve"> la respuesta otorgada por el Sujeto Obligado. </w:t>
      </w:r>
    </w:p>
    <w:p w:rsidRPr="00C97EE9" w:rsidR="00E23B35" w:rsidP="00E23B35" w:rsidRDefault="00E23B35" w14:paraId="5DC5785E" w14:textId="77777777">
      <w:pPr>
        <w:spacing w:after="0"/>
        <w:rPr>
          <w:rFonts w:cs="Tahoma"/>
          <w:iCs/>
        </w:rPr>
      </w:pPr>
    </w:p>
    <w:p w:rsidRPr="00C97EE9" w:rsidR="00E23B35" w:rsidP="00E23B35" w:rsidRDefault="00E23B35" w14:paraId="7BA78968" w14:textId="77777777">
      <w:pPr>
        <w:spacing w:after="0"/>
        <w:rPr>
          <w:rFonts w:cs="Tahoma"/>
          <w:b/>
          <w:iCs/>
        </w:rPr>
      </w:pPr>
      <w:r w:rsidRPr="00C97EE9">
        <w:rPr>
          <w:rFonts w:cs="Tahoma"/>
          <w:b/>
          <w:iCs/>
        </w:rPr>
        <w:t>Términos de la Resolución para conocimiento del Particular.</w:t>
      </w:r>
    </w:p>
    <w:p w:rsidRPr="00C97EE9" w:rsidR="00E23B35" w:rsidP="00E23B35" w:rsidRDefault="00E23B35" w14:paraId="654F641F" w14:textId="77777777">
      <w:pPr>
        <w:spacing w:after="0"/>
        <w:rPr>
          <w:rFonts w:cs="Tahoma"/>
          <w:bCs/>
          <w:iCs/>
        </w:rPr>
      </w:pPr>
    </w:p>
    <w:p w:rsidR="002059DB" w:rsidP="00E23B35" w:rsidRDefault="00E23B35" w14:paraId="7537BE27" w14:textId="77777777">
      <w:pPr>
        <w:spacing w:after="0"/>
        <w:rPr>
          <w:rFonts w:cs="Tahoma"/>
          <w:bCs/>
          <w:iCs/>
        </w:rPr>
      </w:pPr>
      <w:r w:rsidRPr="00C97EE9">
        <w:rPr>
          <w:rFonts w:cs="Tahoma"/>
          <w:bCs/>
          <w:iCs/>
        </w:rPr>
        <w:t>Se le hace del conocimiento al Particular, que, en el presente caso, no se le da l</w:t>
      </w:r>
      <w:r>
        <w:rPr>
          <w:rFonts w:cs="Tahoma"/>
          <w:bCs/>
          <w:iCs/>
        </w:rPr>
        <w:t xml:space="preserve">a razón pues el Sujeto Obligado, desde respuesta le señaló las razones por las cuales no contaba con la información, a saber, que no había </w:t>
      </w:r>
      <w:r w:rsidR="00BA057E">
        <w:rPr>
          <w:rFonts w:cs="Tahoma"/>
          <w:bCs/>
          <w:iCs/>
        </w:rPr>
        <w:t xml:space="preserve">celebrado </w:t>
      </w:r>
      <w:r w:rsidR="002059DB">
        <w:rPr>
          <w:rFonts w:cs="Tahoma"/>
          <w:bCs/>
          <w:iCs/>
        </w:rPr>
        <w:t xml:space="preserve">ningún procedimiento para la contratación de servicios o adquisición de bienes para </w:t>
      </w:r>
      <w:proofErr w:type="spellStart"/>
      <w:r w:rsidR="002059DB">
        <w:rPr>
          <w:rFonts w:cs="Tahoma"/>
          <w:bCs/>
          <w:iCs/>
        </w:rPr>
        <w:t>sanitizar</w:t>
      </w:r>
      <w:proofErr w:type="spellEnd"/>
      <w:r w:rsidR="002059DB">
        <w:rPr>
          <w:rFonts w:cs="Tahoma"/>
          <w:bCs/>
          <w:iCs/>
        </w:rPr>
        <w:t xml:space="preserve"> los espacios y edificios públicos, durante el periodo requerido</w:t>
      </w:r>
      <w:r w:rsidR="00BA057E">
        <w:rPr>
          <w:rFonts w:cs="Tahoma"/>
          <w:bCs/>
          <w:iCs/>
        </w:rPr>
        <w:t xml:space="preserve">. </w:t>
      </w:r>
    </w:p>
    <w:p w:rsidR="002059DB" w:rsidP="00E23B35" w:rsidRDefault="002059DB" w14:paraId="2DA9444C" w14:textId="77777777">
      <w:pPr>
        <w:spacing w:after="0"/>
        <w:rPr>
          <w:rFonts w:cs="Tahoma"/>
          <w:bCs/>
          <w:iCs/>
        </w:rPr>
      </w:pPr>
    </w:p>
    <w:p w:rsidRPr="001A5BA4" w:rsidR="006A5F3D" w:rsidP="00E23B35" w:rsidRDefault="006A5F3D" w14:paraId="39A4A70F" w14:textId="7686D513">
      <w:pPr>
        <w:spacing w:after="0"/>
        <w:rPr>
          <w:rFonts w:cs="Tahoma"/>
          <w:bCs/>
          <w:iCs/>
        </w:rPr>
      </w:pPr>
      <w:r w:rsidRPr="00677E3E">
        <w:rPr>
          <w:rFonts w:eastAsia="Calibri" w:cs="Tahoma"/>
          <w:bCs/>
          <w:iCs/>
        </w:rPr>
        <w:t xml:space="preserve">Finalmente, la labor </w:t>
      </w:r>
      <w:r>
        <w:rPr>
          <w:rFonts w:eastAsia="Calibri" w:cs="Tahoma"/>
          <w:bCs/>
          <w:iCs/>
        </w:rPr>
        <w:t>del Instituto de Transparencia, Acceso a la Información Pública y Protección de Datos Personales del Estado de México y Municipios</w:t>
      </w:r>
      <w:r w:rsidRPr="00677E3E">
        <w:rPr>
          <w:rFonts w:eastAsia="Calibri" w:cs="Tahoma"/>
          <w:bCs/>
          <w:iCs/>
        </w:rPr>
        <w:t>, es apoyar a la población a acceder a la información pública y garantizar la protección de los datos personales.</w:t>
      </w:r>
    </w:p>
    <w:p w:rsidR="006A5F3D" w:rsidP="00E23B35" w:rsidRDefault="006A5F3D" w14:paraId="7CA9B706" w14:textId="51ADDDF7">
      <w:pPr>
        <w:spacing w:after="0"/>
        <w:contextualSpacing/>
        <w:rPr>
          <w:rFonts w:eastAsia="Calibri" w:cs="Tahoma"/>
          <w:bCs/>
          <w:iCs/>
        </w:rPr>
      </w:pPr>
    </w:p>
    <w:p w:rsidR="002059DB" w:rsidP="00E23B35" w:rsidRDefault="002059DB" w14:paraId="16293C14" w14:textId="77777777">
      <w:pPr>
        <w:spacing w:after="0"/>
        <w:contextualSpacing/>
        <w:rPr>
          <w:rFonts w:eastAsia="Calibri" w:cs="Tahoma"/>
          <w:bCs/>
          <w:iCs/>
        </w:rPr>
      </w:pPr>
    </w:p>
    <w:p w:rsidR="006A5F3D" w:rsidP="00E23B35" w:rsidRDefault="006A5F3D" w14:paraId="15DF6A74" w14:textId="77777777">
      <w:pPr>
        <w:spacing w:after="0"/>
        <w:rPr>
          <w:rFonts w:eastAsia="Calibri"/>
          <w:bCs/>
          <w:iCs/>
          <w:color w:val="000000"/>
        </w:rPr>
      </w:pPr>
      <w:r w:rsidRPr="00F74D70">
        <w:rPr>
          <w:rFonts w:eastAsia="Calibri"/>
          <w:bCs/>
          <w:iCs/>
          <w:color w:val="000000"/>
        </w:rPr>
        <w:t>Por lo expuesto y fundado, este Pleno:</w:t>
      </w:r>
    </w:p>
    <w:p w:rsidRPr="00F74D70" w:rsidR="00BA057E" w:rsidP="00E23B35" w:rsidRDefault="00BA057E" w14:paraId="05783EC1" w14:textId="77777777">
      <w:pPr>
        <w:spacing w:after="0"/>
        <w:rPr>
          <w:rFonts w:eastAsia="Calibri"/>
          <w:bCs/>
          <w:iCs/>
          <w:color w:val="000000"/>
        </w:rPr>
      </w:pPr>
    </w:p>
    <w:p w:rsidRPr="00114865" w:rsidR="006A5F3D" w:rsidP="00E23B35" w:rsidRDefault="006A5F3D" w14:paraId="0B27095C" w14:textId="77777777">
      <w:pPr>
        <w:spacing w:after="0"/>
        <w:jc w:val="center"/>
        <w:rPr>
          <w:rFonts w:cs="Tahoma"/>
          <w:b/>
          <w:bCs/>
        </w:rPr>
      </w:pPr>
      <w:r w:rsidRPr="00114865">
        <w:rPr>
          <w:rFonts w:cs="Tahoma"/>
          <w:b/>
          <w:bCs/>
        </w:rPr>
        <w:t xml:space="preserve">R E S U E L V E: </w:t>
      </w:r>
    </w:p>
    <w:p w:rsidR="006A5F3D" w:rsidP="00E23B35" w:rsidRDefault="006A5F3D" w14:paraId="739EB468" w14:textId="77777777">
      <w:pPr>
        <w:spacing w:after="0"/>
        <w:ind w:right="113"/>
        <w:rPr>
          <w:rFonts w:cs="Arial"/>
          <w:b/>
        </w:rPr>
      </w:pPr>
    </w:p>
    <w:p w:rsidRPr="00BA057E" w:rsidR="00BA057E" w:rsidP="00BA057E" w:rsidRDefault="00BA057E" w14:paraId="211D48D8" w14:textId="57ADB51B">
      <w:pPr>
        <w:spacing w:after="0"/>
        <w:rPr>
          <w:rFonts w:cs="Tahoma"/>
          <w:bCs/>
          <w:iCs/>
        </w:rPr>
      </w:pPr>
      <w:r w:rsidRPr="00BA057E">
        <w:rPr>
          <w:rFonts w:cs="Tahoma"/>
          <w:b/>
          <w:iCs/>
        </w:rPr>
        <w:t>PRIMERO</w:t>
      </w:r>
      <w:r w:rsidRPr="00BA057E">
        <w:rPr>
          <w:rFonts w:cs="Tahoma"/>
          <w:bCs/>
          <w:iCs/>
        </w:rPr>
        <w:t xml:space="preserve">. Se </w:t>
      </w:r>
      <w:r w:rsidRPr="00BA057E">
        <w:rPr>
          <w:rFonts w:cs="Tahoma"/>
          <w:b/>
          <w:iCs/>
        </w:rPr>
        <w:t>CONFIRMA</w:t>
      </w:r>
      <w:r w:rsidRPr="00BA057E">
        <w:rPr>
          <w:rFonts w:cs="Tahoma"/>
          <w:bCs/>
          <w:iCs/>
        </w:rPr>
        <w:t xml:space="preserve"> la respuesta entregada por el Sujeto Obligado a la solicitud de acceso a la información </w:t>
      </w:r>
      <w:r w:rsidR="001A5BA4">
        <w:rPr>
          <w:rFonts w:cs="Tahoma"/>
          <w:bCs/>
          <w:iCs/>
        </w:rPr>
        <w:t xml:space="preserve"> </w:t>
      </w:r>
      <w:r w:rsidRPr="001A5BA4" w:rsidR="001A5BA4">
        <w:rPr>
          <w:rFonts w:cs="Tahoma"/>
          <w:bCs/>
          <w:iCs/>
        </w:rPr>
        <w:t>00387/TOLUCA/IP/2022</w:t>
      </w:r>
      <w:r w:rsidRPr="00BA057E">
        <w:rPr>
          <w:rFonts w:cs="Tahoma"/>
          <w:bCs/>
          <w:iCs/>
        </w:rPr>
        <w:t xml:space="preserve">, por resultar </w:t>
      </w:r>
      <w:r w:rsidRPr="00BA057E">
        <w:rPr>
          <w:rFonts w:cs="Tahoma"/>
          <w:b/>
          <w:iCs/>
        </w:rPr>
        <w:t>INFUNDADAS</w:t>
      </w:r>
      <w:r w:rsidRPr="00BA057E">
        <w:rPr>
          <w:rFonts w:cs="Tahoma"/>
          <w:bCs/>
          <w:iCs/>
        </w:rPr>
        <w:t xml:space="preserve"> las razones o motivos de inconformidad hechos valer por el Recurrente, en términos de los Considerandos </w:t>
      </w:r>
      <w:r w:rsidRPr="00BA057E">
        <w:rPr>
          <w:rFonts w:cs="Tahoma"/>
          <w:b/>
          <w:iCs/>
        </w:rPr>
        <w:t>QUINTO</w:t>
      </w:r>
      <w:r w:rsidRPr="00BA057E">
        <w:rPr>
          <w:rFonts w:cs="Tahoma"/>
          <w:bCs/>
          <w:iCs/>
        </w:rPr>
        <w:t xml:space="preserve"> y </w:t>
      </w:r>
      <w:r w:rsidRPr="00BA057E">
        <w:rPr>
          <w:rFonts w:cs="Tahoma"/>
          <w:b/>
          <w:iCs/>
        </w:rPr>
        <w:t xml:space="preserve">SEXTO </w:t>
      </w:r>
      <w:r w:rsidRPr="00BA057E">
        <w:rPr>
          <w:rFonts w:cs="Tahoma"/>
          <w:bCs/>
          <w:iCs/>
        </w:rPr>
        <w:t>de esta Resolución.</w:t>
      </w:r>
    </w:p>
    <w:p w:rsidRPr="00BA057E" w:rsidR="00BA057E" w:rsidP="00BA057E" w:rsidRDefault="00BA057E" w14:paraId="7B80452E" w14:textId="77777777">
      <w:pPr>
        <w:spacing w:after="0"/>
        <w:rPr>
          <w:rFonts w:cs="Tahoma"/>
          <w:bCs/>
          <w:iCs/>
        </w:rPr>
      </w:pPr>
    </w:p>
    <w:p w:rsidRPr="00BA057E" w:rsidR="00BA057E" w:rsidP="00BA057E" w:rsidRDefault="00BA057E" w14:paraId="02EAF731" w14:textId="77777777">
      <w:pPr>
        <w:spacing w:after="0"/>
        <w:rPr>
          <w:rFonts w:cs="Tahoma"/>
          <w:bCs/>
          <w:iCs/>
        </w:rPr>
      </w:pPr>
      <w:r w:rsidRPr="00BA057E">
        <w:rPr>
          <w:rFonts w:cs="Tahoma"/>
          <w:b/>
          <w:iCs/>
        </w:rPr>
        <w:t>SEGUNDO. NOTIFÍQUESE</w:t>
      </w:r>
      <w:r w:rsidRPr="00BA057E">
        <w:rPr>
          <w:rFonts w:cs="Tahoma"/>
          <w:bCs/>
          <w:iCs/>
        </w:rPr>
        <w:t xml:space="preserve"> la presente resolución al Titular de la Unidad de Transparencia del Sujeto Obligado.</w:t>
      </w:r>
    </w:p>
    <w:p w:rsidRPr="00BA057E" w:rsidR="00BA057E" w:rsidP="00BA057E" w:rsidRDefault="00BA057E" w14:paraId="0B19C17C" w14:textId="77777777">
      <w:pPr>
        <w:spacing w:after="0"/>
        <w:rPr>
          <w:rFonts w:cs="Tahoma"/>
          <w:bCs/>
          <w:iCs/>
        </w:rPr>
      </w:pPr>
    </w:p>
    <w:p w:rsidRPr="00BA057E" w:rsidR="00BA057E" w:rsidP="00BA057E" w:rsidRDefault="00BA057E" w14:paraId="76206BBE" w14:textId="77777777">
      <w:pPr>
        <w:spacing w:after="0"/>
        <w:rPr>
          <w:rFonts w:cs="Tahoma"/>
          <w:bCs/>
          <w:iCs/>
        </w:rPr>
      </w:pPr>
      <w:r w:rsidRPr="00BA057E">
        <w:rPr>
          <w:rFonts w:cs="Tahoma"/>
          <w:b/>
          <w:iCs/>
        </w:rPr>
        <w:t>TERCERO. NOTIFÍQUESE</w:t>
      </w:r>
      <w:r w:rsidRPr="00BA057E">
        <w:rPr>
          <w:rFonts w:cs="Tahoma"/>
          <w:bCs/>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A057E" w:rsidP="00E23B35" w:rsidRDefault="00BA057E" w14:paraId="4A6A7EB7" w14:textId="77777777">
      <w:pPr>
        <w:spacing w:after="0"/>
        <w:ind w:right="113"/>
        <w:rPr>
          <w:rFonts w:cs="Arial"/>
          <w:b/>
        </w:rPr>
      </w:pPr>
    </w:p>
    <w:p w:rsidR="00A93988" w:rsidP="00E23B35" w:rsidRDefault="00090EEE" w14:paraId="60BC0F7D" w14:textId="5453EDBF">
      <w:pPr>
        <w:spacing w:after="0"/>
        <w:contextualSpacing/>
        <w:rPr>
          <w:rFonts w:eastAsia="Calibri" w:cs="Tahoma"/>
          <w:color w:val="auto"/>
          <w:lang w:val="es-ES" w:eastAsia="es-ES_tradnl"/>
        </w:rPr>
      </w:pPr>
      <w:r w:rsidRPr="00B63A0C">
        <w:rPr>
          <w:rFonts w:eastAsia="Calibri" w:cs="Tahoma"/>
          <w:color w:val="auto"/>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Pr>
          <w:rFonts w:eastAsia="Calibri" w:cs="Tahoma"/>
          <w:color w:val="auto"/>
          <w:lang w:val="es-ES" w:eastAsia="es-ES_tradnl"/>
        </w:rPr>
        <w:t xml:space="preserve"> CON VOTO PARTICULAR</w:t>
      </w:r>
      <w:r w:rsidRPr="00B63A0C">
        <w:rPr>
          <w:rFonts w:eastAsia="Calibri" w:cs="Tahoma"/>
          <w:color w:val="auto"/>
          <w:lang w:val="es-ES" w:eastAsia="es-ES_tradnl"/>
        </w:rPr>
        <w:t>, SHARON CRISTINA MORALES MARTÍNEZ, LUIS GUSTAVO PARRA NORIEGA Y GUADALUPE RAMÍREZ PEÑA, EN LA DÉCIMA QUINTA SESIÓN ORDINARIA, CELEBRADA EL VEINTISIETE DE ABRIL DE DOS MIL VEINTIDÓS, ANTE EL SECRETARIO TÉCNICO DEL PLENO, ALEXIS TAPIA RAMÍREZ.</w:t>
      </w:r>
    </w:p>
    <w:p w:rsidR="00090EEE" w:rsidRDefault="00090EEE" w14:paraId="77F5E348" w14:textId="62EF8F05">
      <w:pPr>
        <w:spacing w:line="259" w:lineRule="auto"/>
        <w:jc w:val="left"/>
        <w:rPr>
          <w:rFonts w:eastAsia="Calibri" w:cs="Tahoma"/>
          <w:color w:val="auto"/>
          <w:lang w:val="es-ES" w:eastAsia="es-ES_tradnl"/>
        </w:rPr>
      </w:pPr>
      <w:r>
        <w:rPr>
          <w:rFonts w:eastAsia="Calibri" w:cs="Tahoma"/>
          <w:color w:val="auto"/>
          <w:lang w:val="es-ES" w:eastAsia="es-ES_tradnl"/>
        </w:rPr>
        <w:br w:type="page"/>
      </w:r>
    </w:p>
    <w:p w:rsidR="006A5F3D" w:rsidP="00E23B35" w:rsidRDefault="006A5F3D" w14:paraId="1B4E91AE" w14:textId="77777777">
      <w:pPr>
        <w:spacing w:after="0"/>
        <w:rPr>
          <w:bCs/>
        </w:rPr>
      </w:pPr>
    </w:p>
    <w:sectPr w:rsidR="006A5F3D" w:rsidSect="001136B4">
      <w:headerReference w:type="even" r:id="rId7"/>
      <w:headerReference w:type="default" r:id="rId8"/>
      <w:footerReference w:type="even" r:id="rId9"/>
      <w:footerReference w:type="default" r:id="rId10"/>
      <w:headerReference w:type="first" r:id="rId11"/>
      <w:footerReference w:type="first" r:id="rId12"/>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32ED" w:rsidP="00D8203F" w:rsidRDefault="00EE32ED" w14:paraId="7AFA1D1B" w14:textId="77777777">
      <w:pPr>
        <w:spacing w:after="0" w:line="240" w:lineRule="auto"/>
      </w:pPr>
      <w:r>
        <w:separator/>
      </w:r>
    </w:p>
  </w:endnote>
  <w:endnote w:type="continuationSeparator" w:id="0">
    <w:p w:rsidR="00EE32ED" w:rsidP="00D8203F" w:rsidRDefault="00EE32ED" w14:paraId="500CEE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555A052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090EEE" w14:paraId="7984F74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924CF0" w14:paraId="66F7D9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5FA8">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5FA8">
              <w:rPr>
                <w:b/>
                <w:bCs/>
                <w:noProof/>
              </w:rPr>
              <w:t>19</w:t>
            </w:r>
            <w:r>
              <w:rPr>
                <w:b/>
                <w:bCs/>
                <w:sz w:val="24"/>
                <w:szCs w:val="24"/>
              </w:rPr>
              <w:fldChar w:fldCharType="end"/>
            </w:r>
          </w:p>
        </w:sdtContent>
      </w:sdt>
    </w:sdtContent>
  </w:sdt>
  <w:p w:rsidR="00011C57" w:rsidRDefault="00090EEE" w14:paraId="4D6F5526"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2A6947B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5FA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5FA8">
      <w:rPr>
        <w:b/>
        <w:bCs/>
        <w:noProof/>
      </w:rPr>
      <w:t>19</w:t>
    </w:r>
    <w:r>
      <w:rPr>
        <w:b/>
        <w:bCs/>
        <w:sz w:val="24"/>
        <w:szCs w:val="24"/>
      </w:rPr>
      <w:fldChar w:fldCharType="end"/>
    </w:r>
  </w:p>
  <w:p w:rsidR="00011C57" w:rsidRDefault="00090EEE" w14:paraId="23F05C8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32ED" w:rsidP="00D8203F" w:rsidRDefault="00EE32ED" w14:paraId="6200F9D5" w14:textId="77777777">
      <w:pPr>
        <w:spacing w:after="0" w:line="240" w:lineRule="auto"/>
      </w:pPr>
      <w:r>
        <w:separator/>
      </w:r>
    </w:p>
  </w:footnote>
  <w:footnote w:type="continuationSeparator" w:id="0">
    <w:p w:rsidR="00EE32ED" w:rsidP="00D8203F" w:rsidRDefault="00EE32ED" w14:paraId="12DE74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757EF26E" w14:textId="77777777">
      <w:trPr>
        <w:trHeight w:val="144"/>
        <w:jc w:val="right"/>
      </w:trPr>
      <w:tc>
        <w:tcPr>
          <w:tcW w:w="2530" w:type="dxa"/>
          <w:vAlign w:val="center"/>
        </w:tcPr>
        <w:p w:rsidRPr="00330DA7" w:rsidR="00011C57" w:rsidP="00B0279C" w:rsidRDefault="00924CF0" w14:paraId="704CC7D5"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924CF0" w14:paraId="4C9B1B9B"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64450472" w14:textId="77777777">
      <w:trPr>
        <w:trHeight w:val="283"/>
        <w:jc w:val="right"/>
      </w:trPr>
      <w:tc>
        <w:tcPr>
          <w:tcW w:w="2530" w:type="dxa"/>
          <w:vAlign w:val="center"/>
        </w:tcPr>
        <w:p w:rsidRPr="00330DA7" w:rsidR="00011C57" w:rsidP="00B0279C" w:rsidRDefault="00924CF0" w14:paraId="22276019"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924CF0" w14:paraId="5B9E558E"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A4EE535" w14:textId="77777777">
      <w:trPr>
        <w:trHeight w:val="283"/>
        <w:jc w:val="right"/>
      </w:trPr>
      <w:tc>
        <w:tcPr>
          <w:tcW w:w="2530" w:type="dxa"/>
          <w:vAlign w:val="center"/>
        </w:tcPr>
        <w:p w:rsidRPr="00330DA7" w:rsidR="00011C57" w:rsidP="00B0279C" w:rsidRDefault="00924CF0" w14:paraId="46C87DC7"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924CF0" w14:paraId="148E1882"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090EEE" w14:paraId="2FBBDBA6" w14:textId="77777777">
    <w:pPr>
      <w:pStyle w:val="Encabezado"/>
    </w:pPr>
    <w:r>
      <w:rPr>
        <w:noProof/>
      </w:rPr>
      <w:pict w14:anchorId="7EB532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2857"/>
    </w:tblGrid>
    <w:tr w:rsidRPr="00330DA7" w:rsidR="00011C57" w:rsidTr="00084170" w14:paraId="542E7F84" w14:textId="77777777">
      <w:trPr>
        <w:trHeight w:val="144"/>
        <w:jc w:val="right"/>
      </w:trPr>
      <w:tc>
        <w:tcPr>
          <w:tcW w:w="2530" w:type="dxa"/>
          <w:vAlign w:val="center"/>
        </w:tcPr>
        <w:p w:rsidRPr="00330DA7" w:rsidR="00011C57" w:rsidP="00084170" w:rsidRDefault="00924CF0" w14:paraId="225A1910" w14:textId="77777777">
          <w:pPr>
            <w:tabs>
              <w:tab w:val="right" w:pos="8838"/>
            </w:tabs>
            <w:spacing w:line="276" w:lineRule="auto"/>
            <w:ind w:right="-105"/>
            <w:jc w:val="left"/>
            <w:rPr>
              <w:rFonts w:eastAsia="Calibri" w:cs="Tahoma"/>
              <w:b/>
            </w:rPr>
          </w:pPr>
          <w:r w:rsidRPr="00330DA7">
            <w:rPr>
              <w:rFonts w:eastAsia="Calibri" w:cs="Tahoma"/>
              <w:b/>
            </w:rPr>
            <w:t>Recurso de Revisión:</w:t>
          </w:r>
        </w:p>
      </w:tc>
      <w:tc>
        <w:tcPr>
          <w:tcW w:w="2857" w:type="dxa"/>
          <w:vAlign w:val="center"/>
        </w:tcPr>
        <w:p w:rsidRPr="00D65B00" w:rsidR="00011C57" w:rsidP="00084170" w:rsidRDefault="000C67BD" w14:paraId="75804045" w14:textId="3B913B35">
          <w:pPr>
            <w:tabs>
              <w:tab w:val="right" w:pos="8838"/>
            </w:tabs>
            <w:spacing w:line="276" w:lineRule="auto"/>
            <w:ind w:right="-105"/>
            <w:jc w:val="left"/>
            <w:rPr>
              <w:rFonts w:eastAsia="Calibri" w:cs="Tahoma"/>
            </w:rPr>
          </w:pPr>
          <w:r w:rsidRPr="000C67BD">
            <w:rPr>
              <w:rFonts w:eastAsia="Calibri" w:cs="Tahoma"/>
            </w:rPr>
            <w:t>01046/INFOEM/IP/RR/2022</w:t>
          </w:r>
        </w:p>
      </w:tc>
    </w:tr>
    <w:tr w:rsidRPr="00330DA7" w:rsidR="00011C57" w:rsidTr="00084170" w14:paraId="12309B75" w14:textId="77777777">
      <w:trPr>
        <w:trHeight w:val="283"/>
        <w:jc w:val="right"/>
      </w:trPr>
      <w:tc>
        <w:tcPr>
          <w:tcW w:w="2530" w:type="dxa"/>
        </w:tcPr>
        <w:p w:rsidRPr="00330DA7" w:rsidR="00011C57" w:rsidP="00084170" w:rsidRDefault="00924CF0" w14:paraId="16DECCE3" w14:textId="77777777">
          <w:pPr>
            <w:tabs>
              <w:tab w:val="right" w:pos="8838"/>
            </w:tabs>
            <w:spacing w:line="276" w:lineRule="auto"/>
            <w:ind w:right="-105"/>
            <w:jc w:val="left"/>
            <w:rPr>
              <w:rFonts w:eastAsia="Calibri" w:cs="Tahoma"/>
              <w:b/>
            </w:rPr>
          </w:pPr>
          <w:r w:rsidRPr="00330DA7">
            <w:rPr>
              <w:rFonts w:eastAsia="Calibri" w:cs="Tahoma"/>
              <w:b/>
            </w:rPr>
            <w:t>Sujeto Obligado:</w:t>
          </w:r>
        </w:p>
      </w:tc>
      <w:tc>
        <w:tcPr>
          <w:tcW w:w="2857" w:type="dxa"/>
          <w:vAlign w:val="center"/>
        </w:tcPr>
        <w:p w:rsidRPr="00D65B00" w:rsidR="00011C57" w:rsidP="00084170" w:rsidRDefault="009E13DA" w14:paraId="7C66E373" w14:textId="5B1C94CD">
          <w:pPr>
            <w:tabs>
              <w:tab w:val="left" w:pos="2834"/>
              <w:tab w:val="right" w:pos="8838"/>
            </w:tabs>
            <w:spacing w:line="276" w:lineRule="auto"/>
            <w:ind w:right="-105"/>
            <w:rPr>
              <w:rFonts w:eastAsia="Calibri" w:cs="Tahoma"/>
              <w:highlight w:val="yellow"/>
            </w:rPr>
          </w:pPr>
          <w:r w:rsidRPr="009E13DA">
            <w:rPr>
              <w:rFonts w:eastAsia="Calibri" w:cs="Tahoma"/>
            </w:rPr>
            <w:t>Ayuntamiento de Toluca</w:t>
          </w:r>
        </w:p>
      </w:tc>
    </w:tr>
    <w:tr w:rsidRPr="00330DA7" w:rsidR="00011C57" w:rsidTr="00084170" w14:paraId="6881DCB9" w14:textId="77777777">
      <w:trPr>
        <w:trHeight w:val="283"/>
        <w:jc w:val="right"/>
      </w:trPr>
      <w:tc>
        <w:tcPr>
          <w:tcW w:w="2530" w:type="dxa"/>
          <w:vAlign w:val="center"/>
        </w:tcPr>
        <w:p w:rsidRPr="00330DA7" w:rsidR="00011C57" w:rsidP="00084170" w:rsidRDefault="00924CF0" w14:paraId="6DC88189" w14:textId="77777777">
          <w:pPr>
            <w:tabs>
              <w:tab w:val="right" w:pos="8838"/>
            </w:tabs>
            <w:spacing w:line="276" w:lineRule="auto"/>
            <w:ind w:right="-105"/>
            <w:jc w:val="left"/>
            <w:rPr>
              <w:rFonts w:eastAsia="Calibri" w:cs="Tahoma"/>
              <w:b/>
            </w:rPr>
          </w:pPr>
          <w:r w:rsidRPr="00330DA7">
            <w:rPr>
              <w:rFonts w:eastAsia="Calibri" w:cs="Tahoma"/>
              <w:b/>
            </w:rPr>
            <w:t>Comisionado Ponente:</w:t>
          </w:r>
        </w:p>
      </w:tc>
      <w:tc>
        <w:tcPr>
          <w:tcW w:w="2857" w:type="dxa"/>
          <w:vAlign w:val="center"/>
        </w:tcPr>
        <w:p w:rsidRPr="005754CF" w:rsidR="00011C57" w:rsidP="00084170" w:rsidRDefault="00924CF0" w14:paraId="401E6127"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RDefault="00090EEE" w14:paraId="58FD90F4" w14:textId="77777777">
    <w:pPr>
      <w:pStyle w:val="Encabezado"/>
    </w:pPr>
    <w:r>
      <w:rPr>
        <w:noProof/>
      </w:rPr>
      <w:pict w14:anchorId="08725E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77"/>
    </w:tblGrid>
    <w:tr w:rsidRPr="00330DA7" w:rsidR="00011C57" w:rsidTr="22F38F87" w14:paraId="2FB24069" w14:textId="77777777">
      <w:trPr>
        <w:trHeight w:val="144"/>
        <w:jc w:val="right"/>
      </w:trPr>
      <w:tc>
        <w:tcPr>
          <w:tcW w:w="2410" w:type="dxa"/>
          <w:tcMar/>
          <w:vAlign w:val="center"/>
        </w:tcPr>
        <w:p w:rsidRPr="00330DA7" w:rsidR="00011C57" w:rsidP="00B0279C" w:rsidRDefault="00924CF0" w14:paraId="1B6F5EF3"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2977" w:type="dxa"/>
          <w:tcMar/>
          <w:vAlign w:val="center"/>
        </w:tcPr>
        <w:p w:rsidRPr="00D8203F" w:rsidR="00011C57" w:rsidP="0099703C" w:rsidRDefault="001B033A" w14:paraId="1A9A621A" w14:textId="1EBABE49">
          <w:pPr>
            <w:tabs>
              <w:tab w:val="right" w:pos="8838"/>
            </w:tabs>
            <w:spacing w:line="276" w:lineRule="auto"/>
            <w:ind w:right="-105"/>
            <w:jc w:val="left"/>
            <w:rPr>
              <w:rFonts w:eastAsia="Calibri" w:cs="Tahoma"/>
            </w:rPr>
          </w:pPr>
          <w:r>
            <w:rPr>
              <w:rFonts w:eastAsia="Calibri" w:cs="Tahoma"/>
            </w:rPr>
            <w:t>01046</w:t>
          </w:r>
          <w:r w:rsidRPr="009E13DA" w:rsidR="009E13DA">
            <w:rPr>
              <w:rFonts w:eastAsia="Calibri" w:cs="Tahoma"/>
            </w:rPr>
            <w:t>/INFOEM/IP/RR/2022</w:t>
          </w:r>
        </w:p>
      </w:tc>
    </w:tr>
    <w:tr w:rsidRPr="00330DA7" w:rsidR="00011C57" w:rsidTr="22F38F87" w14:paraId="569CFEB5" w14:textId="77777777">
      <w:trPr>
        <w:trHeight w:val="144"/>
        <w:jc w:val="right"/>
      </w:trPr>
      <w:tc>
        <w:tcPr>
          <w:tcW w:w="2410" w:type="dxa"/>
          <w:tcMar/>
          <w:vAlign w:val="center"/>
        </w:tcPr>
        <w:p w:rsidRPr="00330DA7" w:rsidR="00011C57" w:rsidP="00B0279C" w:rsidRDefault="00924CF0" w14:paraId="645DC220" w14:textId="77777777">
          <w:pPr>
            <w:tabs>
              <w:tab w:val="right" w:pos="8838"/>
            </w:tabs>
            <w:spacing w:line="276" w:lineRule="auto"/>
            <w:ind w:left="-74" w:right="-105"/>
            <w:jc w:val="left"/>
            <w:rPr>
              <w:rFonts w:eastAsia="Calibri" w:cs="Tahoma"/>
              <w:b/>
            </w:rPr>
          </w:pPr>
          <w:r w:rsidRPr="00330DA7">
            <w:rPr>
              <w:rFonts w:eastAsia="Calibri" w:cs="Tahoma"/>
              <w:b/>
            </w:rPr>
            <w:t>Recurrente:</w:t>
          </w:r>
        </w:p>
      </w:tc>
      <w:tc>
        <w:tcPr>
          <w:tcW w:w="2977" w:type="dxa"/>
          <w:tcMar/>
          <w:vAlign w:val="center"/>
        </w:tcPr>
        <w:p w:rsidRPr="00330DA7" w:rsidR="00011C57" w:rsidP="22F38F87" w:rsidRDefault="001B033A" w14:paraId="7BED387D" w14:textId="39D1C022">
          <w:pPr>
            <w:pStyle w:val="Normal"/>
            <w:tabs>
              <w:tab w:val="left" w:leader="none" w:pos="3122"/>
              <w:tab w:val="right" w:leader="none" w:pos="8838"/>
            </w:tabs>
            <w:bidi w:val="0"/>
            <w:spacing w:before="0" w:beforeAutospacing="off" w:after="0" w:afterAutospacing="off" w:line="276" w:lineRule="auto"/>
            <w:ind w:left="0" w:right="-105"/>
            <w:jc w:val="left"/>
            <w:rPr>
              <w:rFonts w:ascii="Palatino Linotype" w:hAnsi="Palatino Linotype" w:eastAsia="Calibri" w:cs=""/>
              <w:color w:val="000000" w:themeColor="text1" w:themeTint="FF" w:themeShade="FF"/>
              <w:highlight w:val="black"/>
            </w:rPr>
          </w:pPr>
          <w:r w:rsidRPr="22F38F87" w:rsidR="22F38F87">
            <w:rPr>
              <w:rFonts w:eastAsia="Calibri" w:cs="Tahoma"/>
              <w:highlight w:val="black"/>
            </w:rPr>
            <w:t>XXXXXXXXXXXXXXX</w:t>
          </w:r>
        </w:p>
      </w:tc>
    </w:tr>
    <w:tr w:rsidRPr="00330DA7" w:rsidR="00011C57" w:rsidTr="22F38F87" w14:paraId="2CCCDD19" w14:textId="77777777">
      <w:trPr>
        <w:trHeight w:val="283"/>
        <w:jc w:val="right"/>
      </w:trPr>
      <w:tc>
        <w:tcPr>
          <w:tcW w:w="2410" w:type="dxa"/>
          <w:tcMar/>
        </w:tcPr>
        <w:p w:rsidRPr="00330DA7" w:rsidR="00011C57" w:rsidP="006D24CC" w:rsidRDefault="00924CF0" w14:paraId="5FE443CA"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2977" w:type="dxa"/>
          <w:tcMar/>
          <w:vAlign w:val="center"/>
        </w:tcPr>
        <w:p w:rsidRPr="00D8203F" w:rsidR="00011C57" w:rsidP="0099703C" w:rsidRDefault="009E13DA" w14:paraId="530974A6" w14:textId="4C732B76">
          <w:pPr>
            <w:tabs>
              <w:tab w:val="left" w:pos="2834"/>
              <w:tab w:val="right" w:pos="8838"/>
            </w:tabs>
            <w:spacing w:line="276" w:lineRule="auto"/>
            <w:ind w:right="-105"/>
            <w:rPr>
              <w:rFonts w:eastAsia="Calibri" w:cs="Tahoma"/>
              <w:highlight w:val="yellow"/>
            </w:rPr>
          </w:pPr>
          <w:r w:rsidRPr="009E13DA">
            <w:rPr>
              <w:rFonts w:eastAsia="Calibri" w:cs="Tahoma"/>
            </w:rPr>
            <w:t>Ayuntamiento de Toluca</w:t>
          </w:r>
        </w:p>
      </w:tc>
    </w:tr>
    <w:tr w:rsidRPr="00330DA7" w:rsidR="00011C57" w:rsidTr="22F38F87" w14:paraId="6A0D177B" w14:textId="77777777">
      <w:trPr>
        <w:trHeight w:val="283"/>
        <w:jc w:val="right"/>
      </w:trPr>
      <w:tc>
        <w:tcPr>
          <w:tcW w:w="2410" w:type="dxa"/>
          <w:tcMar/>
          <w:vAlign w:val="center"/>
        </w:tcPr>
        <w:p w:rsidRPr="00330DA7" w:rsidR="00011C57" w:rsidP="00B0279C" w:rsidRDefault="00924CF0" w14:paraId="4A4AC4EC"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2977" w:type="dxa"/>
          <w:tcMar/>
          <w:vAlign w:val="center"/>
        </w:tcPr>
        <w:p w:rsidRPr="005754CF" w:rsidR="00011C57" w:rsidP="0099703C" w:rsidRDefault="00924CF0" w14:paraId="31717E75"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P="00B0279C" w:rsidRDefault="00090EEE" w14:paraId="134AC6BE" w14:textId="77777777">
    <w:pPr>
      <w:pStyle w:val="Encabezado"/>
    </w:pPr>
    <w:r>
      <w:rPr>
        <w:noProof/>
      </w:rPr>
      <w:pict w14:anchorId="26A3AD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87.85pt;margin-top:-129.8pt;width:663.5pt;height:12in;z-index:-251657728;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2E554F"/>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0A9C4457"/>
    <w:multiLevelType w:val="hybridMultilevel"/>
    <w:tmpl w:val="428C773A"/>
    <w:lvl w:ilvl="0" w:tplc="71E4D072">
      <w:start w:val="5"/>
      <w:numFmt w:val="bullet"/>
      <w:lvlText w:val="-"/>
      <w:lvlJc w:val="left"/>
      <w:pPr>
        <w:ind w:left="786" w:hanging="360"/>
      </w:pPr>
      <w:rPr>
        <w:rFonts w:hint="default" w:ascii="Palatino Linotype" w:hAnsi="Palatino Linotype" w:eastAsia="Times New Roman" w:cs="Tahoma"/>
      </w:rPr>
    </w:lvl>
    <w:lvl w:ilvl="1" w:tplc="080A0003" w:tentative="1">
      <w:start w:val="1"/>
      <w:numFmt w:val="bullet"/>
      <w:lvlText w:val="o"/>
      <w:lvlJc w:val="left"/>
      <w:pPr>
        <w:ind w:left="1506" w:hanging="360"/>
      </w:pPr>
      <w:rPr>
        <w:rFonts w:hint="default" w:ascii="Courier New" w:hAnsi="Courier New" w:cs="Courier New"/>
      </w:rPr>
    </w:lvl>
    <w:lvl w:ilvl="2" w:tplc="080A0005" w:tentative="1">
      <w:start w:val="1"/>
      <w:numFmt w:val="bullet"/>
      <w:lvlText w:val=""/>
      <w:lvlJc w:val="left"/>
      <w:pPr>
        <w:ind w:left="2226" w:hanging="360"/>
      </w:pPr>
      <w:rPr>
        <w:rFonts w:hint="default" w:ascii="Wingdings" w:hAnsi="Wingdings"/>
      </w:rPr>
    </w:lvl>
    <w:lvl w:ilvl="3" w:tplc="080A0001" w:tentative="1">
      <w:start w:val="1"/>
      <w:numFmt w:val="bullet"/>
      <w:lvlText w:val=""/>
      <w:lvlJc w:val="left"/>
      <w:pPr>
        <w:ind w:left="2946" w:hanging="360"/>
      </w:pPr>
      <w:rPr>
        <w:rFonts w:hint="default" w:ascii="Symbol" w:hAnsi="Symbol"/>
      </w:rPr>
    </w:lvl>
    <w:lvl w:ilvl="4" w:tplc="080A0003" w:tentative="1">
      <w:start w:val="1"/>
      <w:numFmt w:val="bullet"/>
      <w:lvlText w:val="o"/>
      <w:lvlJc w:val="left"/>
      <w:pPr>
        <w:ind w:left="3666" w:hanging="360"/>
      </w:pPr>
      <w:rPr>
        <w:rFonts w:hint="default" w:ascii="Courier New" w:hAnsi="Courier New" w:cs="Courier New"/>
      </w:rPr>
    </w:lvl>
    <w:lvl w:ilvl="5" w:tplc="080A0005" w:tentative="1">
      <w:start w:val="1"/>
      <w:numFmt w:val="bullet"/>
      <w:lvlText w:val=""/>
      <w:lvlJc w:val="left"/>
      <w:pPr>
        <w:ind w:left="4386" w:hanging="360"/>
      </w:pPr>
      <w:rPr>
        <w:rFonts w:hint="default" w:ascii="Wingdings" w:hAnsi="Wingdings"/>
      </w:rPr>
    </w:lvl>
    <w:lvl w:ilvl="6" w:tplc="080A0001" w:tentative="1">
      <w:start w:val="1"/>
      <w:numFmt w:val="bullet"/>
      <w:lvlText w:val=""/>
      <w:lvlJc w:val="left"/>
      <w:pPr>
        <w:ind w:left="5106" w:hanging="360"/>
      </w:pPr>
      <w:rPr>
        <w:rFonts w:hint="default" w:ascii="Symbol" w:hAnsi="Symbol"/>
      </w:rPr>
    </w:lvl>
    <w:lvl w:ilvl="7" w:tplc="080A0003" w:tentative="1">
      <w:start w:val="1"/>
      <w:numFmt w:val="bullet"/>
      <w:lvlText w:val="o"/>
      <w:lvlJc w:val="left"/>
      <w:pPr>
        <w:ind w:left="5826" w:hanging="360"/>
      </w:pPr>
      <w:rPr>
        <w:rFonts w:hint="default" w:ascii="Courier New" w:hAnsi="Courier New" w:cs="Courier New"/>
      </w:rPr>
    </w:lvl>
    <w:lvl w:ilvl="8" w:tplc="080A0005" w:tentative="1">
      <w:start w:val="1"/>
      <w:numFmt w:val="bullet"/>
      <w:lvlText w:val=""/>
      <w:lvlJc w:val="left"/>
      <w:pPr>
        <w:ind w:left="6546" w:hanging="360"/>
      </w:pPr>
      <w:rPr>
        <w:rFonts w:hint="default" w:ascii="Wingdings" w:hAnsi="Wingdings"/>
      </w:rPr>
    </w:lvl>
  </w:abstractNum>
  <w:abstractNum w:abstractNumId="6"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0D9D675C"/>
    <w:multiLevelType w:val="hybridMultilevel"/>
    <w:tmpl w:val="1DFCD368"/>
    <w:lvl w:ilvl="0" w:tplc="DA5A3ECE">
      <w:start w:val="1"/>
      <w:numFmt w:val="lowerRoman"/>
      <w:lvlText w:val="%1."/>
      <w:lvlJc w:val="left"/>
      <w:pPr>
        <w:ind w:left="1440" w:hanging="360"/>
      </w:pPr>
      <w:rPr>
        <w:rFonts w:hint="default" w:ascii="Palatino Linotype" w:hAnsi="Palatino Linotype"/>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0F060AC4"/>
    <w:multiLevelType w:val="hybridMultilevel"/>
    <w:tmpl w:val="6812F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189754F"/>
    <w:multiLevelType w:val="hybridMultilevel"/>
    <w:tmpl w:val="4ABC7128"/>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81149B"/>
    <w:multiLevelType w:val="hybridMultilevel"/>
    <w:tmpl w:val="B0181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9BA29DD"/>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31B794B"/>
    <w:multiLevelType w:val="hybridMultilevel"/>
    <w:tmpl w:val="178CC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8086AB4"/>
    <w:multiLevelType w:val="hybridMultilevel"/>
    <w:tmpl w:val="961C58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8A924B3"/>
    <w:multiLevelType w:val="hybridMultilevel"/>
    <w:tmpl w:val="2EAA7A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2CEA5692"/>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32A6F72"/>
    <w:multiLevelType w:val="hybridMultilevel"/>
    <w:tmpl w:val="71F43B6E"/>
    <w:lvl w:ilvl="0" w:tplc="080A0001">
      <w:start w:val="1"/>
      <w:numFmt w:val="bullet"/>
      <w:lvlText w:val=""/>
      <w:lvlJc w:val="left"/>
      <w:pPr>
        <w:ind w:left="720" w:hanging="360"/>
      </w:pPr>
      <w:rPr>
        <w:rFonts w:hint="default" w:ascii="Symbol" w:hAnsi="Symbol"/>
      </w:rPr>
    </w:lvl>
    <w:lvl w:ilvl="1" w:tplc="DA5A3ECE">
      <w:start w:val="1"/>
      <w:numFmt w:val="lowerRoman"/>
      <w:lvlText w:val="%2."/>
      <w:lvlJc w:val="left"/>
      <w:pPr>
        <w:ind w:left="1440" w:hanging="360"/>
      </w:pPr>
      <w:rPr>
        <w:rFonts w:hint="default" w:ascii="Palatino Linotype" w:hAnsi="Palatino Linotype"/>
        <w:sz w:val="20"/>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AC24A32"/>
    <w:multiLevelType w:val="hybridMultilevel"/>
    <w:tmpl w:val="4FE46A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CBF0975"/>
    <w:multiLevelType w:val="hybridMultilevel"/>
    <w:tmpl w:val="1996E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3E785D"/>
    <w:multiLevelType w:val="hybridMultilevel"/>
    <w:tmpl w:val="A2D43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9A603DD"/>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C9B3D7A"/>
    <w:multiLevelType w:val="hybridMultilevel"/>
    <w:tmpl w:val="705E5C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0036345"/>
    <w:multiLevelType w:val="hybridMultilevel"/>
    <w:tmpl w:val="3BE06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5837861"/>
    <w:multiLevelType w:val="hybridMultilevel"/>
    <w:tmpl w:val="036EFE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5DC48D6"/>
    <w:multiLevelType w:val="hybridMultilevel"/>
    <w:tmpl w:val="1744E84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8" w15:restartNumberingAfterBreak="0">
    <w:nsid w:val="78E41594"/>
    <w:multiLevelType w:val="hybridMultilevel"/>
    <w:tmpl w:val="1CDED6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D1A2A4C"/>
    <w:multiLevelType w:val="hybridMultilevel"/>
    <w:tmpl w:val="0210841E"/>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8143733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314830">
    <w:abstractNumId w:val="14"/>
  </w:num>
  <w:num w:numId="3" w16cid:durableId="461847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32762">
    <w:abstractNumId w:val="36"/>
  </w:num>
  <w:num w:numId="5" w16cid:durableId="1904414209">
    <w:abstractNumId w:val="1"/>
  </w:num>
  <w:num w:numId="6" w16cid:durableId="290139162">
    <w:abstractNumId w:val="15"/>
  </w:num>
  <w:num w:numId="7" w16cid:durableId="973293773">
    <w:abstractNumId w:val="28"/>
  </w:num>
  <w:num w:numId="8" w16cid:durableId="724109235">
    <w:abstractNumId w:val="30"/>
  </w:num>
  <w:num w:numId="9" w16cid:durableId="1797093120">
    <w:abstractNumId w:val="11"/>
  </w:num>
  <w:num w:numId="10" w16cid:durableId="1919748879">
    <w:abstractNumId w:val="29"/>
  </w:num>
  <w:num w:numId="11" w16cid:durableId="161164389">
    <w:abstractNumId w:val="31"/>
  </w:num>
  <w:num w:numId="12" w16cid:durableId="1020010516">
    <w:abstractNumId w:val="12"/>
  </w:num>
  <w:num w:numId="13" w16cid:durableId="967666369">
    <w:abstractNumId w:val="2"/>
  </w:num>
  <w:num w:numId="14" w16cid:durableId="2047289672">
    <w:abstractNumId w:val="17"/>
  </w:num>
  <w:num w:numId="15" w16cid:durableId="1466001419">
    <w:abstractNumId w:val="21"/>
  </w:num>
  <w:num w:numId="16" w16cid:durableId="1017776920">
    <w:abstractNumId w:val="9"/>
  </w:num>
  <w:num w:numId="17" w16cid:durableId="1324966867">
    <w:abstractNumId w:val="8"/>
  </w:num>
  <w:num w:numId="18" w16cid:durableId="1804497324">
    <w:abstractNumId w:val="25"/>
  </w:num>
  <w:num w:numId="19" w16cid:durableId="1982803320">
    <w:abstractNumId w:val="7"/>
  </w:num>
  <w:num w:numId="20" w16cid:durableId="181238648">
    <w:abstractNumId w:val="13"/>
  </w:num>
  <w:num w:numId="21" w16cid:durableId="1384400646">
    <w:abstractNumId w:val="35"/>
  </w:num>
  <w:num w:numId="22" w16cid:durableId="328559777">
    <w:abstractNumId w:val="16"/>
  </w:num>
  <w:num w:numId="23" w16cid:durableId="1127511081">
    <w:abstractNumId w:val="18"/>
  </w:num>
  <w:num w:numId="24" w16cid:durableId="1036614617">
    <w:abstractNumId w:val="22"/>
  </w:num>
  <w:num w:numId="25" w16cid:durableId="1284919040">
    <w:abstractNumId w:val="20"/>
  </w:num>
  <w:num w:numId="26" w16cid:durableId="441918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2816278">
    <w:abstractNumId w:val="39"/>
  </w:num>
  <w:num w:numId="28" w16cid:durableId="685863448">
    <w:abstractNumId w:val="6"/>
  </w:num>
  <w:num w:numId="29" w16cid:durableId="1349065934">
    <w:abstractNumId w:val="23"/>
  </w:num>
  <w:num w:numId="30" w16cid:durableId="1749226920">
    <w:abstractNumId w:val="37"/>
  </w:num>
  <w:num w:numId="31" w16cid:durableId="1370951889">
    <w:abstractNumId w:val="32"/>
  </w:num>
  <w:num w:numId="32" w16cid:durableId="265582193">
    <w:abstractNumId w:val="24"/>
  </w:num>
  <w:num w:numId="33" w16cid:durableId="1352729613">
    <w:abstractNumId w:val="27"/>
  </w:num>
  <w:num w:numId="34" w16cid:durableId="1690718326">
    <w:abstractNumId w:val="3"/>
  </w:num>
  <w:num w:numId="35" w16cid:durableId="1842770577">
    <w:abstractNumId w:val="5"/>
  </w:num>
  <w:num w:numId="36" w16cid:durableId="243682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7355530">
    <w:abstractNumId w:val="10"/>
  </w:num>
  <w:num w:numId="38" w16cid:durableId="28999128">
    <w:abstractNumId w:val="4"/>
  </w:num>
  <w:num w:numId="39" w16cid:durableId="683478450">
    <w:abstractNumId w:val="26"/>
  </w:num>
  <w:num w:numId="40" w16cid:durableId="1502231522">
    <w:abstractNumId w:val="38"/>
  </w:num>
  <w:num w:numId="41" w16cid:durableId="324817639">
    <w:abstractNumId w:val="0"/>
  </w:num>
  <w:num w:numId="42" w16cid:durableId="1141655731">
    <w:abstractNumId w:val="19"/>
  </w:num>
  <w:num w:numId="43" w16cid:durableId="2121559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5411"/>
    <w:rsid w:val="0001464C"/>
    <w:rsid w:val="00033495"/>
    <w:rsid w:val="00041034"/>
    <w:rsid w:val="000437E4"/>
    <w:rsid w:val="000530D1"/>
    <w:rsid w:val="0006659E"/>
    <w:rsid w:val="00072F70"/>
    <w:rsid w:val="00077108"/>
    <w:rsid w:val="000805DC"/>
    <w:rsid w:val="00084170"/>
    <w:rsid w:val="00090EEE"/>
    <w:rsid w:val="00092BC4"/>
    <w:rsid w:val="000B38F1"/>
    <w:rsid w:val="000C67BD"/>
    <w:rsid w:val="000D5539"/>
    <w:rsid w:val="000E4348"/>
    <w:rsid w:val="000E4638"/>
    <w:rsid w:val="000E518D"/>
    <w:rsid w:val="000E7811"/>
    <w:rsid w:val="00105FDE"/>
    <w:rsid w:val="001136B4"/>
    <w:rsid w:val="0013003D"/>
    <w:rsid w:val="00147995"/>
    <w:rsid w:val="00152D75"/>
    <w:rsid w:val="00155617"/>
    <w:rsid w:val="0016479F"/>
    <w:rsid w:val="00176419"/>
    <w:rsid w:val="0019018C"/>
    <w:rsid w:val="00190C94"/>
    <w:rsid w:val="00191AE4"/>
    <w:rsid w:val="00192BF8"/>
    <w:rsid w:val="00193B5F"/>
    <w:rsid w:val="001971E7"/>
    <w:rsid w:val="001A0FE6"/>
    <w:rsid w:val="001A5BA4"/>
    <w:rsid w:val="001B033A"/>
    <w:rsid w:val="001B1F7E"/>
    <w:rsid w:val="001B5B28"/>
    <w:rsid w:val="001B6B5E"/>
    <w:rsid w:val="001C12E6"/>
    <w:rsid w:val="001C5F8F"/>
    <w:rsid w:val="001D4BEF"/>
    <w:rsid w:val="001E601D"/>
    <w:rsid w:val="001E61B0"/>
    <w:rsid w:val="001F6315"/>
    <w:rsid w:val="00202FD6"/>
    <w:rsid w:val="002059DB"/>
    <w:rsid w:val="00205C3E"/>
    <w:rsid w:val="00212C5B"/>
    <w:rsid w:val="00221964"/>
    <w:rsid w:val="00224C52"/>
    <w:rsid w:val="00232543"/>
    <w:rsid w:val="002351AB"/>
    <w:rsid w:val="0023761E"/>
    <w:rsid w:val="002419D5"/>
    <w:rsid w:val="002513F1"/>
    <w:rsid w:val="00255716"/>
    <w:rsid w:val="002625D0"/>
    <w:rsid w:val="00273C8F"/>
    <w:rsid w:val="00273D56"/>
    <w:rsid w:val="002751C6"/>
    <w:rsid w:val="00277532"/>
    <w:rsid w:val="00283FB5"/>
    <w:rsid w:val="00286EA1"/>
    <w:rsid w:val="002878DE"/>
    <w:rsid w:val="002908B6"/>
    <w:rsid w:val="00292E42"/>
    <w:rsid w:val="0029565A"/>
    <w:rsid w:val="00296195"/>
    <w:rsid w:val="002A712C"/>
    <w:rsid w:val="002B7026"/>
    <w:rsid w:val="002C425A"/>
    <w:rsid w:val="002C5CA2"/>
    <w:rsid w:val="002C6689"/>
    <w:rsid w:val="002D1940"/>
    <w:rsid w:val="002D4507"/>
    <w:rsid w:val="002E32AB"/>
    <w:rsid w:val="002E5BC9"/>
    <w:rsid w:val="002F13CE"/>
    <w:rsid w:val="002F1649"/>
    <w:rsid w:val="002F4617"/>
    <w:rsid w:val="002F7105"/>
    <w:rsid w:val="0030159C"/>
    <w:rsid w:val="00304EDC"/>
    <w:rsid w:val="0031166E"/>
    <w:rsid w:val="00324ADE"/>
    <w:rsid w:val="00324EC3"/>
    <w:rsid w:val="00325503"/>
    <w:rsid w:val="00326EA2"/>
    <w:rsid w:val="00327C5F"/>
    <w:rsid w:val="0033169F"/>
    <w:rsid w:val="00335515"/>
    <w:rsid w:val="00337795"/>
    <w:rsid w:val="00342014"/>
    <w:rsid w:val="0034286C"/>
    <w:rsid w:val="0034646A"/>
    <w:rsid w:val="00351215"/>
    <w:rsid w:val="003512B5"/>
    <w:rsid w:val="00351BBE"/>
    <w:rsid w:val="0035784F"/>
    <w:rsid w:val="0037052D"/>
    <w:rsid w:val="00371D10"/>
    <w:rsid w:val="0037486D"/>
    <w:rsid w:val="00376DE8"/>
    <w:rsid w:val="003778C6"/>
    <w:rsid w:val="00384C91"/>
    <w:rsid w:val="00395577"/>
    <w:rsid w:val="003B0D6C"/>
    <w:rsid w:val="003B1737"/>
    <w:rsid w:val="003B2792"/>
    <w:rsid w:val="003B5A0A"/>
    <w:rsid w:val="003B7B49"/>
    <w:rsid w:val="003C67AD"/>
    <w:rsid w:val="003D66E7"/>
    <w:rsid w:val="003E713C"/>
    <w:rsid w:val="003F0EAA"/>
    <w:rsid w:val="003F3FDB"/>
    <w:rsid w:val="00416FD2"/>
    <w:rsid w:val="0042237E"/>
    <w:rsid w:val="00422394"/>
    <w:rsid w:val="00426064"/>
    <w:rsid w:val="00431386"/>
    <w:rsid w:val="004436D4"/>
    <w:rsid w:val="00444B06"/>
    <w:rsid w:val="00446040"/>
    <w:rsid w:val="00453B0C"/>
    <w:rsid w:val="004572A9"/>
    <w:rsid w:val="004820EA"/>
    <w:rsid w:val="004954EF"/>
    <w:rsid w:val="00495E03"/>
    <w:rsid w:val="004B71D1"/>
    <w:rsid w:val="004D102C"/>
    <w:rsid w:val="004D3EDF"/>
    <w:rsid w:val="004D556A"/>
    <w:rsid w:val="004E5C8E"/>
    <w:rsid w:val="00501BDA"/>
    <w:rsid w:val="00502445"/>
    <w:rsid w:val="00505612"/>
    <w:rsid w:val="00515FA8"/>
    <w:rsid w:val="00523A2F"/>
    <w:rsid w:val="005345A9"/>
    <w:rsid w:val="00543DD3"/>
    <w:rsid w:val="005444B6"/>
    <w:rsid w:val="00551FD5"/>
    <w:rsid w:val="00560A2B"/>
    <w:rsid w:val="0056275B"/>
    <w:rsid w:val="00562EBC"/>
    <w:rsid w:val="005670FF"/>
    <w:rsid w:val="005703B8"/>
    <w:rsid w:val="0058799A"/>
    <w:rsid w:val="00590901"/>
    <w:rsid w:val="00590E15"/>
    <w:rsid w:val="00593B72"/>
    <w:rsid w:val="005A4818"/>
    <w:rsid w:val="005B3B00"/>
    <w:rsid w:val="005B3BAB"/>
    <w:rsid w:val="005C64C9"/>
    <w:rsid w:val="005E03C3"/>
    <w:rsid w:val="005E0F61"/>
    <w:rsid w:val="005E21DD"/>
    <w:rsid w:val="005F2AA8"/>
    <w:rsid w:val="005F4D3B"/>
    <w:rsid w:val="005F573C"/>
    <w:rsid w:val="00601EA2"/>
    <w:rsid w:val="0060238A"/>
    <w:rsid w:val="00616387"/>
    <w:rsid w:val="00616923"/>
    <w:rsid w:val="00621403"/>
    <w:rsid w:val="006311A9"/>
    <w:rsid w:val="006319BF"/>
    <w:rsid w:val="00635D9F"/>
    <w:rsid w:val="00640FDE"/>
    <w:rsid w:val="006510E7"/>
    <w:rsid w:val="0065125A"/>
    <w:rsid w:val="00652BB7"/>
    <w:rsid w:val="00652D8D"/>
    <w:rsid w:val="00654565"/>
    <w:rsid w:val="0067778A"/>
    <w:rsid w:val="006900B8"/>
    <w:rsid w:val="00691F6B"/>
    <w:rsid w:val="006A2FB4"/>
    <w:rsid w:val="006A4ACF"/>
    <w:rsid w:val="006A5F3D"/>
    <w:rsid w:val="006C0BE4"/>
    <w:rsid w:val="006C526C"/>
    <w:rsid w:val="006E5B44"/>
    <w:rsid w:val="006F0034"/>
    <w:rsid w:val="006F47EF"/>
    <w:rsid w:val="00711D42"/>
    <w:rsid w:val="0071218A"/>
    <w:rsid w:val="0071324E"/>
    <w:rsid w:val="007138B4"/>
    <w:rsid w:val="00730406"/>
    <w:rsid w:val="007403F2"/>
    <w:rsid w:val="00740517"/>
    <w:rsid w:val="00751149"/>
    <w:rsid w:val="00752CBF"/>
    <w:rsid w:val="007609B8"/>
    <w:rsid w:val="00764A1C"/>
    <w:rsid w:val="0077799F"/>
    <w:rsid w:val="00782C2E"/>
    <w:rsid w:val="00784A13"/>
    <w:rsid w:val="007A10B1"/>
    <w:rsid w:val="007A23FE"/>
    <w:rsid w:val="007B0411"/>
    <w:rsid w:val="007C5768"/>
    <w:rsid w:val="007D4E6D"/>
    <w:rsid w:val="007E35BC"/>
    <w:rsid w:val="007E5CAF"/>
    <w:rsid w:val="007F329C"/>
    <w:rsid w:val="007F4B96"/>
    <w:rsid w:val="007F6748"/>
    <w:rsid w:val="007F6888"/>
    <w:rsid w:val="007F68DC"/>
    <w:rsid w:val="007F79FE"/>
    <w:rsid w:val="00813C48"/>
    <w:rsid w:val="008145EC"/>
    <w:rsid w:val="00814BE4"/>
    <w:rsid w:val="00821623"/>
    <w:rsid w:val="00830C85"/>
    <w:rsid w:val="0084321B"/>
    <w:rsid w:val="0084339B"/>
    <w:rsid w:val="00846D35"/>
    <w:rsid w:val="00847200"/>
    <w:rsid w:val="008635F1"/>
    <w:rsid w:val="00866462"/>
    <w:rsid w:val="0086681E"/>
    <w:rsid w:val="00875A4D"/>
    <w:rsid w:val="00887C2C"/>
    <w:rsid w:val="008A050C"/>
    <w:rsid w:val="008A0F99"/>
    <w:rsid w:val="008A5840"/>
    <w:rsid w:val="008B6A10"/>
    <w:rsid w:val="008C1900"/>
    <w:rsid w:val="008D0436"/>
    <w:rsid w:val="008D06D2"/>
    <w:rsid w:val="008D2AA0"/>
    <w:rsid w:val="008D4095"/>
    <w:rsid w:val="008D52C5"/>
    <w:rsid w:val="008D589F"/>
    <w:rsid w:val="008E2904"/>
    <w:rsid w:val="008F0993"/>
    <w:rsid w:val="008F4282"/>
    <w:rsid w:val="0090299E"/>
    <w:rsid w:val="00903752"/>
    <w:rsid w:val="00917722"/>
    <w:rsid w:val="00924CF0"/>
    <w:rsid w:val="00940947"/>
    <w:rsid w:val="00941F99"/>
    <w:rsid w:val="009479DF"/>
    <w:rsid w:val="0095259E"/>
    <w:rsid w:val="00962436"/>
    <w:rsid w:val="009638C6"/>
    <w:rsid w:val="009639F0"/>
    <w:rsid w:val="00966490"/>
    <w:rsid w:val="00966655"/>
    <w:rsid w:val="00976739"/>
    <w:rsid w:val="00984102"/>
    <w:rsid w:val="009900F6"/>
    <w:rsid w:val="009A3089"/>
    <w:rsid w:val="009B2E42"/>
    <w:rsid w:val="009B44DB"/>
    <w:rsid w:val="009C55B6"/>
    <w:rsid w:val="009D3092"/>
    <w:rsid w:val="009E048A"/>
    <w:rsid w:val="009E13D1"/>
    <w:rsid w:val="009E13DA"/>
    <w:rsid w:val="00A021D0"/>
    <w:rsid w:val="00A0231D"/>
    <w:rsid w:val="00A10F3C"/>
    <w:rsid w:val="00A22A88"/>
    <w:rsid w:val="00A2355B"/>
    <w:rsid w:val="00A300C4"/>
    <w:rsid w:val="00A42365"/>
    <w:rsid w:val="00A43DE3"/>
    <w:rsid w:val="00A47768"/>
    <w:rsid w:val="00A636D9"/>
    <w:rsid w:val="00A71605"/>
    <w:rsid w:val="00A92E13"/>
    <w:rsid w:val="00A93988"/>
    <w:rsid w:val="00A95528"/>
    <w:rsid w:val="00A955E1"/>
    <w:rsid w:val="00AA2C3A"/>
    <w:rsid w:val="00AA478B"/>
    <w:rsid w:val="00AA7D70"/>
    <w:rsid w:val="00AB31E1"/>
    <w:rsid w:val="00AC3E38"/>
    <w:rsid w:val="00AC473C"/>
    <w:rsid w:val="00AD046B"/>
    <w:rsid w:val="00AD0556"/>
    <w:rsid w:val="00AD4046"/>
    <w:rsid w:val="00AD4556"/>
    <w:rsid w:val="00AD6A80"/>
    <w:rsid w:val="00AD7AA9"/>
    <w:rsid w:val="00AE03DF"/>
    <w:rsid w:val="00AF09A1"/>
    <w:rsid w:val="00B033BC"/>
    <w:rsid w:val="00B248AF"/>
    <w:rsid w:val="00B33B4C"/>
    <w:rsid w:val="00B440DF"/>
    <w:rsid w:val="00B63A0C"/>
    <w:rsid w:val="00B662F8"/>
    <w:rsid w:val="00B7264D"/>
    <w:rsid w:val="00B82893"/>
    <w:rsid w:val="00B92E09"/>
    <w:rsid w:val="00B96BE1"/>
    <w:rsid w:val="00B96F37"/>
    <w:rsid w:val="00BA057E"/>
    <w:rsid w:val="00BA1F27"/>
    <w:rsid w:val="00BB394B"/>
    <w:rsid w:val="00BC3B00"/>
    <w:rsid w:val="00BD016C"/>
    <w:rsid w:val="00BD08C5"/>
    <w:rsid w:val="00BE14C6"/>
    <w:rsid w:val="00BE3263"/>
    <w:rsid w:val="00BE3F5F"/>
    <w:rsid w:val="00BE5E24"/>
    <w:rsid w:val="00BF27BE"/>
    <w:rsid w:val="00BF44C3"/>
    <w:rsid w:val="00C029E2"/>
    <w:rsid w:val="00C035DB"/>
    <w:rsid w:val="00C07FA6"/>
    <w:rsid w:val="00C138ED"/>
    <w:rsid w:val="00C25690"/>
    <w:rsid w:val="00C3697C"/>
    <w:rsid w:val="00C376BD"/>
    <w:rsid w:val="00C40AC9"/>
    <w:rsid w:val="00C42753"/>
    <w:rsid w:val="00C435D5"/>
    <w:rsid w:val="00C43F93"/>
    <w:rsid w:val="00C44AF0"/>
    <w:rsid w:val="00C54877"/>
    <w:rsid w:val="00C60536"/>
    <w:rsid w:val="00C65317"/>
    <w:rsid w:val="00C65A34"/>
    <w:rsid w:val="00C70651"/>
    <w:rsid w:val="00C71D28"/>
    <w:rsid w:val="00C86FBC"/>
    <w:rsid w:val="00C92DAA"/>
    <w:rsid w:val="00C93CBC"/>
    <w:rsid w:val="00CA1B00"/>
    <w:rsid w:val="00CB2B45"/>
    <w:rsid w:val="00CC42FB"/>
    <w:rsid w:val="00CC7B75"/>
    <w:rsid w:val="00CF0CE7"/>
    <w:rsid w:val="00D03AAD"/>
    <w:rsid w:val="00D03BBC"/>
    <w:rsid w:val="00D0581E"/>
    <w:rsid w:val="00D0584A"/>
    <w:rsid w:val="00D061A5"/>
    <w:rsid w:val="00D06558"/>
    <w:rsid w:val="00D142A7"/>
    <w:rsid w:val="00D2241D"/>
    <w:rsid w:val="00D23478"/>
    <w:rsid w:val="00D34ADA"/>
    <w:rsid w:val="00D4040E"/>
    <w:rsid w:val="00D451C6"/>
    <w:rsid w:val="00D50360"/>
    <w:rsid w:val="00D715B0"/>
    <w:rsid w:val="00D75842"/>
    <w:rsid w:val="00D809BF"/>
    <w:rsid w:val="00D8203F"/>
    <w:rsid w:val="00D86243"/>
    <w:rsid w:val="00D869C2"/>
    <w:rsid w:val="00D91B6D"/>
    <w:rsid w:val="00D93C72"/>
    <w:rsid w:val="00D974CF"/>
    <w:rsid w:val="00DA48C1"/>
    <w:rsid w:val="00DA6DF2"/>
    <w:rsid w:val="00DD1AF9"/>
    <w:rsid w:val="00DD3DE5"/>
    <w:rsid w:val="00DE1EB3"/>
    <w:rsid w:val="00DF084F"/>
    <w:rsid w:val="00DF5F5D"/>
    <w:rsid w:val="00E1071F"/>
    <w:rsid w:val="00E23B35"/>
    <w:rsid w:val="00E24DAE"/>
    <w:rsid w:val="00E27548"/>
    <w:rsid w:val="00E30966"/>
    <w:rsid w:val="00E33C78"/>
    <w:rsid w:val="00E42CFF"/>
    <w:rsid w:val="00E461AC"/>
    <w:rsid w:val="00E53178"/>
    <w:rsid w:val="00E5479A"/>
    <w:rsid w:val="00E56E00"/>
    <w:rsid w:val="00E62B40"/>
    <w:rsid w:val="00E71818"/>
    <w:rsid w:val="00E77820"/>
    <w:rsid w:val="00E91068"/>
    <w:rsid w:val="00E915C0"/>
    <w:rsid w:val="00EA4308"/>
    <w:rsid w:val="00EA776B"/>
    <w:rsid w:val="00EC0586"/>
    <w:rsid w:val="00EC315A"/>
    <w:rsid w:val="00EC7552"/>
    <w:rsid w:val="00EE0C8E"/>
    <w:rsid w:val="00EE32ED"/>
    <w:rsid w:val="00EF640A"/>
    <w:rsid w:val="00EF700D"/>
    <w:rsid w:val="00F053C6"/>
    <w:rsid w:val="00F10871"/>
    <w:rsid w:val="00F16379"/>
    <w:rsid w:val="00F22CD0"/>
    <w:rsid w:val="00F22F5C"/>
    <w:rsid w:val="00F236A7"/>
    <w:rsid w:val="00F36B00"/>
    <w:rsid w:val="00F42CAA"/>
    <w:rsid w:val="00F45A0F"/>
    <w:rsid w:val="00F46BC9"/>
    <w:rsid w:val="00F55196"/>
    <w:rsid w:val="00F551BD"/>
    <w:rsid w:val="00F55758"/>
    <w:rsid w:val="00F61040"/>
    <w:rsid w:val="00F97409"/>
    <w:rsid w:val="00F976DC"/>
    <w:rsid w:val="00F97C83"/>
    <w:rsid w:val="00FA4CDC"/>
    <w:rsid w:val="00FA4CF7"/>
    <w:rsid w:val="00FB6C24"/>
    <w:rsid w:val="00FC5E8D"/>
    <w:rsid w:val="00FC60F9"/>
    <w:rsid w:val="00FC6764"/>
    <w:rsid w:val="00FD3A19"/>
    <w:rsid w:val="00FD4D46"/>
    <w:rsid w:val="00FD5A1B"/>
    <w:rsid w:val="00FE03F9"/>
    <w:rsid w:val="00FE0FBD"/>
    <w:rsid w:val="00FE1E4A"/>
    <w:rsid w:val="00FF7458"/>
    <w:rsid w:val="22F38F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712C"/>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styleId="AsuntodelcomentarioCar" w:customStyle="1">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styleId="Mencinsinresolver1" w:customStyle="1">
    <w:name w:val="Mención sin resolver1"/>
    <w:basedOn w:val="Fuentedeprrafopredeter"/>
    <w:uiPriority w:val="99"/>
    <w:semiHidden/>
    <w:unhideWhenUsed/>
    <w:rsid w:val="002513F1"/>
    <w:rPr>
      <w:color w:val="605E5C"/>
      <w:shd w:val="clear" w:color="auto" w:fill="E1DFDD"/>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A5F3D"/>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813566926">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1520895978">
      <w:bodyDiv w:val="1"/>
      <w:marLeft w:val="0"/>
      <w:marRight w:val="0"/>
      <w:marTop w:val="0"/>
      <w:marBottom w:val="0"/>
      <w:divBdr>
        <w:top w:val="none" w:sz="0" w:space="0" w:color="auto"/>
        <w:left w:val="none" w:sz="0" w:space="0" w:color="auto"/>
        <w:bottom w:val="none" w:sz="0" w:space="0" w:color="auto"/>
        <w:right w:val="none" w:sz="0" w:space="0" w:color="auto"/>
      </w:divBdr>
    </w:div>
    <w:div w:id="20126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c67a6de23057463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12cdf43-b2de-42e9-9b2c-fec628f61463}"/>
      </w:docPartPr>
      <w:docPartBody>
        <w:p w14:paraId="75063CC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2022-04-21T06:09:00.0000000Z</dcterms:created>
  <dcterms:modified xsi:type="dcterms:W3CDTF">2022-05-13T19:05:10.9623852Z</dcterms:modified>
</coreProperties>
</file>