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2DE7" w14:textId="315932D9" w:rsidR="00506052" w:rsidRPr="00506052" w:rsidRDefault="00506052" w:rsidP="00506052">
      <w:pPr>
        <w:pStyle w:val="Encabezado"/>
        <w:spacing w:line="360" w:lineRule="auto"/>
        <w:contextualSpacing/>
        <w:jc w:val="both"/>
        <w:rPr>
          <w:rFonts w:ascii="Palatino Linotype" w:hAnsi="Palatino Linotype" w:cs="Tahoma"/>
          <w:b/>
        </w:rPr>
      </w:pPr>
      <w:r w:rsidRPr="00506052">
        <w:rPr>
          <w:rFonts w:ascii="Palatino Linotype" w:hAnsi="Palatino Linotype" w:cs="Tahoma"/>
          <w:b/>
        </w:rPr>
        <w:t xml:space="preserve">VOTO PARTICULAR QUE FORMULA EL COMISIONADO LUIS GUSTAVO PARRA NORIEGA, CON RELACIÓN A LA RESOLUCIÓN EMITIDA POR EL PLENO DEL INSTITUTO DE TRANSPARENCIA, ACCESO A LA INFORMACIÓN PÚBLICA Y PROTECCIÓN DE DATOS PERSONALES DEL ESTADO DE MÉXICO Y MUNICIPIOS, EN EL RECURSO DE REVISIÓN </w:t>
      </w:r>
      <w:r w:rsidRPr="00506052">
        <w:rPr>
          <w:rFonts w:ascii="Palatino Linotype" w:hAnsi="Palatino Linotype" w:cs="Tahoma"/>
          <w:b/>
          <w:lang w:val="es-MX"/>
        </w:rPr>
        <w:t>06330/INFOEM/IP/RR/2021</w:t>
      </w:r>
      <w:r w:rsidRPr="00506052">
        <w:rPr>
          <w:rFonts w:ascii="Palatino Linotype" w:hAnsi="Palatino Linotype" w:cs="Tahoma"/>
          <w:b/>
        </w:rPr>
        <w:t xml:space="preserve">, EN CONTRA DEL </w:t>
      </w:r>
      <w:r w:rsidRPr="00506052">
        <w:rPr>
          <w:rFonts w:ascii="Palatino Linotype" w:hAnsi="Palatino Linotype" w:cs="Tahoma"/>
          <w:b/>
          <w:lang w:val="es-MX"/>
        </w:rPr>
        <w:t>AYUNTAMIENTO DE VALLE DE BRAVO</w:t>
      </w:r>
      <w:r w:rsidRPr="00506052">
        <w:rPr>
          <w:rFonts w:ascii="Palatino Linotype" w:hAnsi="Palatino Linotype" w:cs="Tahoma"/>
          <w:b/>
        </w:rPr>
        <w:t>.</w:t>
      </w:r>
    </w:p>
    <w:p w14:paraId="05CDEB10" w14:textId="77777777" w:rsidR="00506052" w:rsidRDefault="00506052" w:rsidP="00506052">
      <w:pPr>
        <w:pStyle w:val="Encabezado"/>
        <w:spacing w:line="360" w:lineRule="auto"/>
        <w:ind w:left="-108" w:right="-250"/>
        <w:contextualSpacing/>
        <w:jc w:val="both"/>
        <w:rPr>
          <w:rFonts w:ascii="Palatino Linotype" w:hAnsi="Palatino Linotype" w:cs="Tahoma"/>
        </w:rPr>
      </w:pPr>
    </w:p>
    <w:p w14:paraId="31FAD44E" w14:textId="19338112"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y 48 fracción I, de los Lineamientos para el funcionamiento del Pleno y las Comisiones del Instituto de Transparencia, Acceso a la Información Pública y Protección de Datos Personales del Estado de México y Municipios, emito el presente </w:t>
      </w:r>
      <w:r w:rsidRPr="00506052">
        <w:rPr>
          <w:rFonts w:ascii="Palatino Linotype" w:hAnsi="Palatino Linotype" w:cs="Tahoma"/>
          <w:b/>
        </w:rPr>
        <w:t>Voto Particular</w:t>
      </w:r>
      <w:r w:rsidRPr="00506052">
        <w:rPr>
          <w:rFonts w:ascii="Palatino Linotype" w:hAnsi="Palatino Linotype" w:cs="Tahoma"/>
        </w:rPr>
        <w:t xml:space="preserve"> a la resolución del Recurso de Revisión </w:t>
      </w:r>
      <w:r w:rsidRPr="00506052">
        <w:rPr>
          <w:rFonts w:ascii="Palatino Linotype" w:hAnsi="Palatino Linotype" w:cs="Tahoma"/>
          <w:b/>
          <w:lang w:val="es-MX"/>
        </w:rPr>
        <w:t>06330/INFOEM/IP/RR/2021</w:t>
      </w:r>
      <w:r w:rsidRPr="00506052">
        <w:rPr>
          <w:rFonts w:ascii="Palatino Linotype" w:hAnsi="Palatino Linotype" w:cs="Tahoma"/>
          <w:b/>
          <w:lang w:val="es-ES_tradnl"/>
        </w:rPr>
        <w:t xml:space="preserve">, </w:t>
      </w:r>
      <w:r w:rsidRPr="00506052">
        <w:rPr>
          <w:rFonts w:ascii="Palatino Linotype" w:hAnsi="Palatino Linotype" w:cs="Tahoma"/>
        </w:rPr>
        <w:t>por no compartir en su totalidad las consideraciones que sustentan la Resolución, conforme a lo siguiente:</w:t>
      </w:r>
    </w:p>
    <w:p w14:paraId="7EAF755F" w14:textId="77777777" w:rsidR="00506052" w:rsidRPr="00506052" w:rsidRDefault="00506052" w:rsidP="00506052">
      <w:pPr>
        <w:spacing w:after="0" w:line="360" w:lineRule="auto"/>
        <w:ind w:right="49"/>
        <w:contextualSpacing/>
        <w:jc w:val="both"/>
        <w:rPr>
          <w:rFonts w:ascii="Palatino Linotype" w:hAnsi="Palatino Linotype" w:cs="Tahoma"/>
        </w:rPr>
      </w:pPr>
    </w:p>
    <w:p w14:paraId="2C36B0D4" w14:textId="2004C8E6"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Como se desprende de la Resolución que nos ocupa, el Solicitante requirió al Sujeto Obligado </w:t>
      </w:r>
      <w:r>
        <w:rPr>
          <w:rFonts w:ascii="Palatino Linotype" w:hAnsi="Palatino Linotype" w:cs="Tahoma"/>
        </w:rPr>
        <w:t>licencia de uso de suelo y licencia de construcción identificadas en la solicitud de información</w:t>
      </w:r>
      <w:r w:rsidRPr="00506052">
        <w:rPr>
          <w:rFonts w:ascii="Palatino Linotype" w:hAnsi="Palatino Linotype" w:cs="Tahoma"/>
        </w:rPr>
        <w:t xml:space="preserve">; por lo que, después de realizar una análisis profundo y exhaustivo, resultó procedente ordenar, en versión pública, la licencia de uso de suelo señalada en respuesta, en la cual se clasificará la clave catastral como información confidencial; </w:t>
      </w:r>
    </w:p>
    <w:p w14:paraId="492A7D79" w14:textId="77777777" w:rsidR="00506052" w:rsidRPr="00506052" w:rsidRDefault="00506052" w:rsidP="00506052">
      <w:pPr>
        <w:spacing w:after="0" w:line="360" w:lineRule="auto"/>
        <w:ind w:right="49"/>
        <w:contextualSpacing/>
        <w:jc w:val="both"/>
        <w:rPr>
          <w:rFonts w:ascii="Palatino Linotype" w:hAnsi="Palatino Linotype" w:cs="Tahoma"/>
        </w:rPr>
      </w:pPr>
    </w:p>
    <w:p w14:paraId="08F56EEA" w14:textId="05825EEE"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En este sentido, por lo que hace a la determinación de ordenar la entrega de la información comparto el sentido de </w:t>
      </w:r>
      <w:r w:rsidR="009A5356" w:rsidRPr="00506052">
        <w:rPr>
          <w:rFonts w:ascii="Palatino Linotype" w:hAnsi="Palatino Linotype" w:cs="Tahoma"/>
        </w:rPr>
        <w:t>esta</w:t>
      </w:r>
      <w:r w:rsidRPr="00506052">
        <w:rPr>
          <w:rFonts w:ascii="Palatino Linotype" w:hAnsi="Palatino Linotype" w:cs="Tahoma"/>
        </w:rPr>
        <w:t xml:space="preserve">, con la precisión de que, por lo que hace a la elaboración de la versión pública, no considero que sea procedente la clasificación de la clave catastral como </w:t>
      </w:r>
      <w:r w:rsidRPr="00506052">
        <w:rPr>
          <w:rFonts w:ascii="Palatino Linotype" w:hAnsi="Palatino Linotype" w:cs="Tahoma"/>
        </w:rPr>
        <w:lastRenderedPageBreak/>
        <w:t xml:space="preserve">confidencial, en virtud de que cuando obra en las licencias de uso de suelo, la clave catastral es un requisito, que da certeza de la ubicación del inmueble beneficiado con la emisión de dicha autorización. Además, se precisa que el otorgamiento del dato </w:t>
      </w:r>
      <w:r w:rsidRPr="00506052">
        <w:rPr>
          <w:rFonts w:ascii="Palatino Linotype" w:hAnsi="Palatino Linotype" w:cs="Tahoma"/>
          <w:i/>
          <w:iCs/>
        </w:rPr>
        <w:t>per se,</w:t>
      </w:r>
      <w:r w:rsidRPr="00506052">
        <w:rPr>
          <w:rFonts w:ascii="Palatino Linotype" w:hAnsi="Palatino Linotype" w:cs="Tahoma"/>
        </w:rPr>
        <w:t xml:space="preserve"> tampoco hace identificado o identificables a sus propietarios, pues para ello, es necesario acceder a un registro específico, y por lo cual, el dato, sin el acceso a esas bases de datos, no otorgan datos de sus titulares.</w:t>
      </w:r>
    </w:p>
    <w:p w14:paraId="4AACBEC1" w14:textId="77777777" w:rsidR="00506052" w:rsidRPr="00506052" w:rsidRDefault="00506052" w:rsidP="00506052">
      <w:pPr>
        <w:spacing w:after="0" w:line="360" w:lineRule="auto"/>
        <w:ind w:right="49"/>
        <w:contextualSpacing/>
        <w:jc w:val="both"/>
        <w:rPr>
          <w:rFonts w:ascii="Palatino Linotype" w:hAnsi="Palatino Linotype" w:cs="Tahoma"/>
        </w:rPr>
      </w:pPr>
    </w:p>
    <w:p w14:paraId="601ED158"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En este orden de ideas,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9521801" w14:textId="77777777" w:rsidR="00506052" w:rsidRPr="00506052" w:rsidRDefault="00506052" w:rsidP="00506052">
      <w:pPr>
        <w:spacing w:after="0" w:line="360" w:lineRule="auto"/>
        <w:ind w:right="49"/>
        <w:contextualSpacing/>
        <w:jc w:val="both"/>
        <w:rPr>
          <w:rFonts w:ascii="Palatino Linotype" w:hAnsi="Palatino Linotype" w:cs="Tahoma"/>
        </w:rPr>
      </w:pPr>
    </w:p>
    <w:p w14:paraId="7D6F9B94" w14:textId="7770AE20" w:rsid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Por su parte, la página oficial del Instituto de Información e Investigación Geográfica, Estadística y Catastral del Estado de México, en su apartado de Preguntas Frecuentes (consultada en la liga electrónica </w:t>
      </w:r>
      <w:hyperlink r:id="rId7" w:history="1">
        <w:r w:rsidRPr="00506052">
          <w:rPr>
            <w:rStyle w:val="Hipervnculo"/>
            <w:rFonts w:ascii="Palatino Linotype" w:hAnsi="Palatino Linotype" w:cs="Tahoma"/>
          </w:rPr>
          <w:t>http://igecem.edomex.gob.mx/faqs</w:t>
        </w:r>
      </w:hyperlink>
      <w:r w:rsidRPr="00506052">
        <w:rPr>
          <w:rFonts w:ascii="Palatino Linotype" w:hAnsi="Palatino Linotype" w:cs="Tahoma"/>
        </w:rPr>
        <w:t xml:space="preserve">, el catorce de </w:t>
      </w:r>
      <w:r>
        <w:rPr>
          <w:rFonts w:ascii="Palatino Linotype" w:hAnsi="Palatino Linotype" w:cs="Tahoma"/>
        </w:rPr>
        <w:t>febrero</w:t>
      </w:r>
      <w:r w:rsidRPr="00506052">
        <w:rPr>
          <w:rFonts w:ascii="Palatino Linotype" w:hAnsi="Palatino Linotype" w:cs="Tahoma"/>
        </w:rPr>
        <w:t xml:space="preserve"> de dos mil veintidós, a las doce veinticinco horas), para obtener la información registrada en el Padrón Catastral Municipal, es necesario la clave catastral de un predio, más acreditar el interés jurídico o legítimo respecto del inmueble; esto es, demostrar la propiedad, posesión, herencia, trámite judicial, entre otros. Lo expuesto robustece la afirmación, de que no basta la clave catastral para identificar el patrimonio de una persona, pues sería necesario que el Instituto de Información e Investigación Geográfica, Estadística y Catastral del Estado de México, diera acceso a esta información, previa acreditación de la personalidad.</w:t>
      </w:r>
    </w:p>
    <w:p w14:paraId="38D4EDAC" w14:textId="77777777" w:rsidR="00B732A1" w:rsidRPr="00506052" w:rsidRDefault="00B732A1" w:rsidP="00506052">
      <w:pPr>
        <w:spacing w:after="0" w:line="360" w:lineRule="auto"/>
        <w:ind w:right="49"/>
        <w:contextualSpacing/>
        <w:jc w:val="both"/>
        <w:rPr>
          <w:rFonts w:ascii="Palatino Linotype" w:hAnsi="Palatino Linotype" w:cs="Tahoma"/>
        </w:rPr>
      </w:pPr>
    </w:p>
    <w:p w14:paraId="3DB065F7" w14:textId="7711F5E3"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lastRenderedPageBreak/>
        <w:t>Conforme a lo descrito, la clave catastral por sí misma, sólo hace identificable a un inmueble; a su titular sirve para vincularlo sólo cuando la clave se acompaña de su nombre, pues por sí solo no identifica a ninguna persona; por lo que, dicho dato consiste en un número que permite identificar al titular cuando, como autoridad, se tiene acceso a las bases de datos respectivas. Para el caso que nos ocupa, se considera que existe interés público de acceder a él, en virtud que permite verificar al tratarse de información que permite corroborar la legalidad de la licencia de uso de suelo, con el predio sobre el cual se obtuvo el permiso.</w:t>
      </w:r>
    </w:p>
    <w:p w14:paraId="33448F78" w14:textId="77777777" w:rsidR="00506052" w:rsidRPr="00506052" w:rsidRDefault="00506052" w:rsidP="00506052">
      <w:pPr>
        <w:spacing w:after="0" w:line="360" w:lineRule="auto"/>
        <w:ind w:right="49"/>
        <w:contextualSpacing/>
        <w:jc w:val="both"/>
        <w:rPr>
          <w:rFonts w:ascii="Palatino Linotype" w:hAnsi="Palatino Linotype" w:cs="Tahoma"/>
        </w:rPr>
      </w:pPr>
    </w:p>
    <w:p w14:paraId="6840C728"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En ese contexto, la publicidad de la clave catastral tiene que ver con la importancia de que se entreguen todos los datos indispensables para poder corroborar que los inmuebles se encuentran dentro del registro del municipio, cumplen los requisitos establecidos en la normatividad aplicable. Este dato, además resulta ser de interés para la comunidad ya que determina en donde se ubica un inmueble y que este corresponde al establecido en la Licencia de Uso de Suelo, por lo que cualquier persona tiene derecho a ver la clave catastral en una zona geográfica en específico.</w:t>
      </w:r>
    </w:p>
    <w:p w14:paraId="18253E33" w14:textId="77777777" w:rsidR="00506052" w:rsidRPr="00506052" w:rsidRDefault="00506052" w:rsidP="00506052">
      <w:pPr>
        <w:spacing w:after="0" w:line="360" w:lineRule="auto"/>
        <w:ind w:right="49"/>
        <w:contextualSpacing/>
        <w:jc w:val="both"/>
        <w:rPr>
          <w:rFonts w:ascii="Palatino Linotype" w:hAnsi="Palatino Linotype" w:cs="Tahoma"/>
        </w:rPr>
      </w:pPr>
    </w:p>
    <w:p w14:paraId="67CFD6E2"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Asimismo, es de recordar que la información solicitada no sólo se trata de información pública, sino además que se encuentra dentro de las obligaciones de transparencia del Sujeto Obligado, de acuerdo con lo señalado en los artículos 92, fracción XXXII y 94, fracción I, inciso f, de la Ley de Transparencia y Acceso a la Información Pública del Estado de México y Municipios, que precisan que las licencias emitidas por los Ayuntamientos, incluidas las de Uso de Suelo, guardan la naturaleza de públicas.</w:t>
      </w:r>
    </w:p>
    <w:p w14:paraId="2B738A53" w14:textId="77777777" w:rsidR="00506052" w:rsidRPr="00506052" w:rsidRDefault="00506052" w:rsidP="00506052">
      <w:pPr>
        <w:spacing w:after="0" w:line="360" w:lineRule="auto"/>
        <w:ind w:right="49"/>
        <w:contextualSpacing/>
        <w:jc w:val="both"/>
        <w:rPr>
          <w:rFonts w:ascii="Palatino Linotype" w:hAnsi="Palatino Linotype" w:cs="Tahoma"/>
        </w:rPr>
      </w:pPr>
    </w:p>
    <w:p w14:paraId="0A8E4D0D" w14:textId="77777777" w:rsidR="00506052" w:rsidRPr="00506052" w:rsidRDefault="00506052" w:rsidP="00506052">
      <w:pPr>
        <w:spacing w:after="0" w:line="360" w:lineRule="auto"/>
        <w:ind w:right="49"/>
        <w:contextualSpacing/>
        <w:jc w:val="both"/>
        <w:rPr>
          <w:rFonts w:ascii="Palatino Linotype" w:hAnsi="Palatino Linotype" w:cs="Tahoma"/>
          <w:lang w:val="es-MX"/>
        </w:rPr>
      </w:pPr>
      <w:r w:rsidRPr="00506052">
        <w:rPr>
          <w:rFonts w:ascii="Palatino Linotype" w:hAnsi="Palatino Linotype" w:cs="Tahoma"/>
          <w:lang w:val="es-MX"/>
        </w:rPr>
        <w:t xml:space="preserve">De lo anterior, resulta importante destacar que es obligación del </w:t>
      </w:r>
      <w:r w:rsidRPr="00506052">
        <w:rPr>
          <w:rFonts w:ascii="Palatino Linotype" w:hAnsi="Palatino Linotype" w:cs="Tahoma"/>
          <w:bCs/>
          <w:lang w:val="es-MX"/>
        </w:rPr>
        <w:t>Sujeto Obligado,</w:t>
      </w:r>
      <w:r w:rsidRPr="00506052">
        <w:rPr>
          <w:rFonts w:ascii="Palatino Linotype" w:hAnsi="Palatino Linotype" w:cs="Tahoma"/>
          <w:lang w:val="es-MX"/>
        </w:rPr>
        <w:t xml:space="preserve"> hacer pública la información solicitada por el Particular; esto quiere decir que, por lo menos para el cumplimiento de las obligaciones establecidas en la </w:t>
      </w:r>
      <w:r w:rsidRPr="00506052">
        <w:rPr>
          <w:rFonts w:ascii="Palatino Linotype" w:hAnsi="Palatino Linotype" w:cs="Tahoma"/>
        </w:rPr>
        <w:t xml:space="preserve">Ley de Transparencia y Acceso a la </w:t>
      </w:r>
      <w:r w:rsidRPr="00506052">
        <w:rPr>
          <w:rFonts w:ascii="Palatino Linotype" w:hAnsi="Palatino Linotype" w:cs="Tahoma"/>
          <w:lang w:val="es-MX"/>
        </w:rPr>
        <w:lastRenderedPageBreak/>
        <w:t>Información Pública del Estado de México y Municipios, el Sujeto Obligado debe tener los documentos que son interés del Particular.</w:t>
      </w:r>
    </w:p>
    <w:p w14:paraId="102E965C" w14:textId="77777777" w:rsidR="00506052" w:rsidRPr="00506052" w:rsidRDefault="00506052" w:rsidP="00506052">
      <w:pPr>
        <w:spacing w:after="0" w:line="360" w:lineRule="auto"/>
        <w:ind w:right="49"/>
        <w:contextualSpacing/>
        <w:jc w:val="both"/>
        <w:rPr>
          <w:rFonts w:ascii="Palatino Linotype" w:hAnsi="Palatino Linotype" w:cs="Tahoma"/>
          <w:lang w:val="es-MX"/>
        </w:rPr>
      </w:pPr>
    </w:p>
    <w:p w14:paraId="664B0875" w14:textId="77777777" w:rsidR="00506052" w:rsidRPr="00506052" w:rsidRDefault="00506052" w:rsidP="00506052">
      <w:pPr>
        <w:spacing w:after="0" w:line="360" w:lineRule="auto"/>
        <w:ind w:right="49"/>
        <w:contextualSpacing/>
        <w:jc w:val="both"/>
        <w:rPr>
          <w:rFonts w:ascii="Palatino Linotype" w:hAnsi="Palatino Linotype" w:cs="Tahoma"/>
          <w:bCs/>
          <w:lang w:val="es-ES_tradnl"/>
        </w:rPr>
      </w:pPr>
      <w:r w:rsidRPr="00506052">
        <w:rPr>
          <w:rFonts w:ascii="Palatino Linotype" w:hAnsi="Palatino Linotype" w:cs="Tahoma"/>
        </w:rPr>
        <w:t xml:space="preserve">Aunado a lo anterior, es necesario precisar que existe un interés público de dar a conocer la Licencia, con la clave catastral, ya que acredita que se han cumplido con los requisitos establecidos en la Ley, además, que, permite a la ciudadanía verificar que el permiso, está autorizado por el Ayuntamiento y que su ubicación corresponde con la registrada. </w:t>
      </w:r>
    </w:p>
    <w:p w14:paraId="679063D1" w14:textId="77777777" w:rsidR="00506052" w:rsidRPr="00506052" w:rsidRDefault="00506052" w:rsidP="00506052">
      <w:pPr>
        <w:spacing w:after="0" w:line="360" w:lineRule="auto"/>
        <w:ind w:right="49"/>
        <w:contextualSpacing/>
        <w:jc w:val="both"/>
        <w:rPr>
          <w:rFonts w:ascii="Palatino Linotype" w:hAnsi="Palatino Linotype" w:cs="Tahoma"/>
        </w:rPr>
      </w:pPr>
    </w:p>
    <w:p w14:paraId="295237AC"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22E86CB"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 </w:t>
      </w:r>
    </w:p>
    <w:p w14:paraId="5DF5F442"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En ese mismo sentido y atento a la naturaleza del derecho a la protección de datos personales, por analogía, este debe ceder cuando exista un interés público mayor de acuerdo con las circunstancias del caso. Por lo que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se debe aplicar una prueba de interés público con base en elementos de idoneidad, necesidad y proporcionalidad. Para estos efectos, se entenderá por:</w:t>
      </w:r>
    </w:p>
    <w:p w14:paraId="3FA87200" w14:textId="77777777" w:rsidR="00506052" w:rsidRPr="00506052" w:rsidRDefault="00506052" w:rsidP="00506052">
      <w:pPr>
        <w:spacing w:after="0" w:line="360" w:lineRule="auto"/>
        <w:ind w:right="49"/>
        <w:contextualSpacing/>
        <w:jc w:val="both"/>
        <w:rPr>
          <w:rFonts w:ascii="Palatino Linotype" w:hAnsi="Palatino Linotype" w:cs="Tahoma"/>
        </w:rPr>
      </w:pPr>
    </w:p>
    <w:p w14:paraId="3C2A44AA" w14:textId="33C68442" w:rsidR="00506052" w:rsidRPr="00506052" w:rsidRDefault="00506052" w:rsidP="00506052">
      <w:pPr>
        <w:pStyle w:val="Prrafodelista"/>
        <w:numPr>
          <w:ilvl w:val="0"/>
          <w:numId w:val="1"/>
        </w:numPr>
        <w:spacing w:after="0" w:line="360" w:lineRule="auto"/>
        <w:ind w:right="49"/>
        <w:jc w:val="both"/>
        <w:rPr>
          <w:rFonts w:ascii="Palatino Linotype" w:hAnsi="Palatino Linotype" w:cs="Tahoma"/>
        </w:rPr>
      </w:pPr>
      <w:r w:rsidRPr="00506052">
        <w:rPr>
          <w:rFonts w:ascii="Palatino Linotype" w:hAnsi="Palatino Linotype" w:cs="Tahoma"/>
          <w:b/>
        </w:rPr>
        <w:t>Idoneidad</w:t>
      </w:r>
      <w:r w:rsidRPr="00506052">
        <w:rPr>
          <w:rFonts w:ascii="Palatino Linotype" w:hAnsi="Palatino Linotype" w:cs="Tahoma"/>
        </w:rPr>
        <w:t>: La legitimidad del derecho adoptado como preferente, que sea el adecuado para el logro de un fin constitucionalmente válido o apto para conseguir el fin pretendido;</w:t>
      </w:r>
    </w:p>
    <w:p w14:paraId="611E736A" w14:textId="77777777" w:rsidR="00506052" w:rsidRDefault="00506052" w:rsidP="00506052">
      <w:pPr>
        <w:spacing w:after="0" w:line="360" w:lineRule="auto"/>
        <w:ind w:right="49"/>
        <w:contextualSpacing/>
        <w:jc w:val="both"/>
        <w:rPr>
          <w:rFonts w:ascii="Palatino Linotype" w:hAnsi="Palatino Linotype" w:cs="Tahoma"/>
        </w:rPr>
      </w:pPr>
    </w:p>
    <w:p w14:paraId="5489187B" w14:textId="3A4E18E9" w:rsidR="00506052" w:rsidRPr="00506052" w:rsidRDefault="00506052" w:rsidP="00506052">
      <w:pPr>
        <w:pStyle w:val="Prrafodelista"/>
        <w:numPr>
          <w:ilvl w:val="0"/>
          <w:numId w:val="1"/>
        </w:numPr>
        <w:spacing w:after="0" w:line="360" w:lineRule="auto"/>
        <w:ind w:right="49"/>
        <w:jc w:val="both"/>
        <w:rPr>
          <w:rFonts w:ascii="Palatino Linotype" w:hAnsi="Palatino Linotype" w:cs="Tahoma"/>
        </w:rPr>
      </w:pPr>
      <w:r w:rsidRPr="00506052">
        <w:rPr>
          <w:rFonts w:ascii="Palatino Linotype" w:hAnsi="Palatino Linotype" w:cs="Tahoma"/>
          <w:b/>
        </w:rPr>
        <w:t>Necesidad</w:t>
      </w:r>
      <w:r w:rsidRPr="00506052">
        <w:rPr>
          <w:rFonts w:ascii="Palatino Linotype" w:hAnsi="Palatino Linotype" w:cs="Tahoma"/>
        </w:rPr>
        <w:t>: La falta de un medio alternativo menos lesivo a la apertura de la información, para satisfacer el interés público, y</w:t>
      </w:r>
    </w:p>
    <w:p w14:paraId="2A7CF908" w14:textId="77777777" w:rsidR="00506052" w:rsidRPr="00506052" w:rsidRDefault="00506052" w:rsidP="00506052">
      <w:pPr>
        <w:spacing w:after="0" w:line="360" w:lineRule="auto"/>
        <w:ind w:right="49"/>
        <w:contextualSpacing/>
        <w:jc w:val="both"/>
        <w:rPr>
          <w:rFonts w:ascii="Palatino Linotype" w:hAnsi="Palatino Linotype" w:cs="Tahoma"/>
        </w:rPr>
      </w:pPr>
    </w:p>
    <w:p w14:paraId="176A7349" w14:textId="2BA5D822" w:rsidR="00506052" w:rsidRPr="00506052" w:rsidRDefault="00506052" w:rsidP="00506052">
      <w:pPr>
        <w:pStyle w:val="Prrafodelista"/>
        <w:numPr>
          <w:ilvl w:val="0"/>
          <w:numId w:val="1"/>
        </w:numPr>
        <w:spacing w:after="0" w:line="360" w:lineRule="auto"/>
        <w:ind w:right="49"/>
        <w:jc w:val="both"/>
        <w:rPr>
          <w:rFonts w:ascii="Palatino Linotype" w:hAnsi="Palatino Linotype" w:cs="Tahoma"/>
        </w:rPr>
      </w:pPr>
      <w:r w:rsidRPr="00506052">
        <w:rPr>
          <w:rFonts w:ascii="Palatino Linotype" w:hAnsi="Palatino Linotype" w:cs="Tahoma"/>
          <w:b/>
        </w:rPr>
        <w:t>Proporcionalidad</w:t>
      </w:r>
      <w:r w:rsidRPr="00506052">
        <w:rPr>
          <w:rFonts w:ascii="Palatino Linotype" w:hAnsi="Palatino Linotype" w:cs="Tahoma"/>
        </w:rPr>
        <w:t>: El equilibrio entre perjuicio y beneficio a favor del interés público, a fin de que la decisión tomada represente un beneficio mayor al perjuicio que podría causar a la población.</w:t>
      </w:r>
    </w:p>
    <w:p w14:paraId="69D58704" w14:textId="77777777" w:rsidR="00506052" w:rsidRPr="00506052" w:rsidRDefault="00506052" w:rsidP="00506052">
      <w:pPr>
        <w:spacing w:after="0" w:line="360" w:lineRule="auto"/>
        <w:ind w:right="49"/>
        <w:contextualSpacing/>
        <w:jc w:val="both"/>
        <w:rPr>
          <w:rFonts w:ascii="Palatino Linotype" w:hAnsi="Palatino Linotype" w:cs="Tahoma"/>
        </w:rPr>
      </w:pPr>
    </w:p>
    <w:p w14:paraId="3FA999F1"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838532"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 </w:t>
      </w:r>
    </w:p>
    <w:p w14:paraId="1899B66B"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b/>
        </w:rPr>
        <w:t xml:space="preserve">a) Idoneidad. </w:t>
      </w:r>
      <w:r w:rsidRPr="00506052">
        <w:rPr>
          <w:rFonts w:ascii="Palatino Linotype" w:hAnsi="Palatino Linotype" w:cs="Tahoma"/>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BF7E5E2" w14:textId="77777777" w:rsidR="00506052" w:rsidRPr="00506052" w:rsidRDefault="00506052" w:rsidP="00506052">
      <w:pPr>
        <w:spacing w:after="0" w:line="360" w:lineRule="auto"/>
        <w:ind w:right="49"/>
        <w:contextualSpacing/>
        <w:jc w:val="both"/>
        <w:rPr>
          <w:rFonts w:ascii="Palatino Linotype" w:hAnsi="Palatino Linotype" w:cs="Tahoma"/>
        </w:rPr>
      </w:pPr>
    </w:p>
    <w:p w14:paraId="503B0616"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Sin embargo, existen dos fines válidos para otorgar la clave catastral, los cuales, consisten en transparentar que se han cumplido con los requisitos para la obtención de la licencia, además de que permite verificar que la ubicación del predo, corresponde con el establecido en la propia autorización.</w:t>
      </w:r>
    </w:p>
    <w:p w14:paraId="036564EB" w14:textId="0EEFF7B2" w:rsidR="00506052" w:rsidRPr="00506052" w:rsidRDefault="00506052" w:rsidP="00506052">
      <w:pPr>
        <w:spacing w:after="0" w:line="360" w:lineRule="auto"/>
        <w:ind w:right="49"/>
        <w:contextualSpacing/>
        <w:jc w:val="both"/>
        <w:rPr>
          <w:rFonts w:ascii="Palatino Linotype" w:hAnsi="Palatino Linotype" w:cs="Tahoma"/>
        </w:rPr>
      </w:pPr>
    </w:p>
    <w:p w14:paraId="63DD4690"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b/>
        </w:rPr>
        <w:lastRenderedPageBreak/>
        <w:t>b) Necesidad</w:t>
      </w:r>
      <w:r w:rsidRPr="00506052">
        <w:rPr>
          <w:rFonts w:ascii="Palatino Linotype" w:hAnsi="Palatino Linotype" w:cs="Tahoma"/>
        </w:rPr>
        <w:t xml:space="preserve">: Por otra parte, este Instituto observa que también se actualiza el principio de necesidad, ya que no existe un medio menos oneroso para lograr el fin válido, pues se estima necesaria la difusión de la información requerida, pues como se refirió en párrafos anteriores, permite verificar a la ciudadanía que el Ayuntamiento emitió la autorización correspondiente, cumpliendo con todos los requisitos legales. </w:t>
      </w:r>
    </w:p>
    <w:p w14:paraId="3AE8EF2F" w14:textId="77777777" w:rsidR="00506052" w:rsidRPr="00506052" w:rsidRDefault="00506052" w:rsidP="00506052">
      <w:pPr>
        <w:spacing w:after="0" w:line="360" w:lineRule="auto"/>
        <w:ind w:right="49"/>
        <w:contextualSpacing/>
        <w:jc w:val="both"/>
        <w:rPr>
          <w:rFonts w:ascii="Palatino Linotype" w:hAnsi="Palatino Linotype" w:cs="Tahoma"/>
        </w:rPr>
      </w:pPr>
    </w:p>
    <w:p w14:paraId="152CB4FE"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b/>
        </w:rPr>
        <w:t>c) Proporcionalidad</w:t>
      </w:r>
      <w:r w:rsidRPr="00506052">
        <w:rPr>
          <w:rFonts w:ascii="Palatino Linotype" w:hAnsi="Palatino Linotype" w:cs="Tahoma"/>
        </w:rPr>
        <w:t xml:space="preserve"> en sentido estricto: El sacrificio de la protección de la clave catastral, es proporcional debido a que no se trata de interferir de manera arbitraria en la vida privada dueño del inmueble, pues la clave catastral, por sí sola, únicamente da la ubicación en un espacio geográfico, sin que se identifique al dueño de dicho predio.</w:t>
      </w:r>
    </w:p>
    <w:p w14:paraId="6F2842B9" w14:textId="77777777" w:rsidR="00506052" w:rsidRPr="00506052" w:rsidRDefault="00506052" w:rsidP="00506052">
      <w:pPr>
        <w:spacing w:after="0" w:line="360" w:lineRule="auto"/>
        <w:ind w:right="49"/>
        <w:contextualSpacing/>
        <w:jc w:val="both"/>
        <w:rPr>
          <w:rFonts w:ascii="Palatino Linotype" w:hAnsi="Palatino Linotype" w:cs="Tahoma"/>
        </w:rPr>
      </w:pPr>
    </w:p>
    <w:p w14:paraId="769493DD" w14:textId="77777777"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Así, en el caso en estudio, la clave catastral permite identificar, que la ubicación del inmueble corresponde con la establecida en la Licencia de Uso de Suelo; por lo tanto, es información de acceso a público. </w:t>
      </w:r>
    </w:p>
    <w:p w14:paraId="3CF96B6A" w14:textId="77777777" w:rsidR="00506052" w:rsidRPr="00506052" w:rsidRDefault="00506052" w:rsidP="00506052">
      <w:pPr>
        <w:spacing w:after="0" w:line="360" w:lineRule="auto"/>
        <w:ind w:right="49"/>
        <w:contextualSpacing/>
        <w:jc w:val="both"/>
        <w:rPr>
          <w:rFonts w:ascii="Palatino Linotype" w:hAnsi="Palatino Linotype" w:cs="Tahoma"/>
        </w:rPr>
      </w:pPr>
    </w:p>
    <w:p w14:paraId="479A8B2A" w14:textId="7EAEC851" w:rsidR="00506052" w:rsidRP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rPr>
        <w:t xml:space="preserve">Así, resultaba procedente ordenar entregar la Licencia, sin clasificar la clave catastral, pues con dicho dato se permite acreditar que la ubicación del </w:t>
      </w:r>
      <w:r w:rsidR="00B732A1" w:rsidRPr="00506052">
        <w:rPr>
          <w:rFonts w:ascii="Palatino Linotype" w:hAnsi="Palatino Linotype" w:cs="Tahoma"/>
        </w:rPr>
        <w:t>predio</w:t>
      </w:r>
      <w:r w:rsidRPr="00506052">
        <w:rPr>
          <w:rFonts w:ascii="Palatino Linotype" w:hAnsi="Palatino Linotype" w:cs="Tahoma"/>
        </w:rPr>
        <w:t xml:space="preserve"> corresponde con la establecida en la autorización respectiva, por lo que, no resulta procedente la clasificación, en términos del artículo 143, fracción I de la Ley de Transparencia y Acceso a la Información Pública del Estado de México y Municipios.</w:t>
      </w:r>
    </w:p>
    <w:p w14:paraId="0ED992F1" w14:textId="77777777" w:rsidR="00506052" w:rsidRPr="00506052" w:rsidRDefault="00506052" w:rsidP="00506052">
      <w:pPr>
        <w:spacing w:after="0" w:line="360" w:lineRule="auto"/>
        <w:ind w:right="49"/>
        <w:contextualSpacing/>
        <w:jc w:val="both"/>
        <w:rPr>
          <w:rFonts w:ascii="Palatino Linotype" w:hAnsi="Palatino Linotype" w:cs="Tahoma"/>
          <w:bCs/>
          <w:iCs/>
        </w:rPr>
      </w:pPr>
    </w:p>
    <w:p w14:paraId="7BD5C301" w14:textId="71A62BEC" w:rsidR="00506052" w:rsidRDefault="00506052" w:rsidP="00506052">
      <w:pPr>
        <w:spacing w:after="0" w:line="360" w:lineRule="auto"/>
        <w:ind w:right="49"/>
        <w:contextualSpacing/>
        <w:jc w:val="both"/>
        <w:rPr>
          <w:rFonts w:ascii="Palatino Linotype" w:hAnsi="Palatino Linotype" w:cs="Tahoma"/>
        </w:rPr>
      </w:pPr>
      <w:r w:rsidRPr="00506052">
        <w:rPr>
          <w:rFonts w:ascii="Palatino Linotype" w:hAnsi="Palatino Linotype" w:cs="Tahoma"/>
          <w:bCs/>
          <w:iCs/>
        </w:rPr>
        <w:t>P</w:t>
      </w:r>
      <w:r w:rsidRPr="00506052">
        <w:rPr>
          <w:rFonts w:ascii="Palatino Linotype" w:hAnsi="Palatino Linotype" w:cs="Tahoma"/>
        </w:rPr>
        <w:t xml:space="preserve">or lo que, con base en los razonamientos expuestos, </w:t>
      </w:r>
      <w:r w:rsidRPr="00506052">
        <w:rPr>
          <w:rFonts w:ascii="Palatino Linotype" w:hAnsi="Palatino Linotype" w:cs="Tahoma"/>
          <w:b/>
        </w:rPr>
        <w:t>se emite el presente Voto Particular</w:t>
      </w:r>
      <w:r w:rsidRPr="00506052">
        <w:rPr>
          <w:rFonts w:ascii="Palatino Linotype" w:hAnsi="Palatino Linotype" w:cs="Tahoma"/>
        </w:rPr>
        <w:t>. -------------------------------------------------------------------------------------------------------------------------------------------------------------------------------------------------------------------------------------------------------------------------------------------------------------------------------------------------------------------------------------------------------------------------------------------------------------------------------------------------------------</w:t>
      </w:r>
      <w:r>
        <w:rPr>
          <w:rFonts w:ascii="Palatino Linotype" w:hAnsi="Palatino Linotype" w:cs="Tahoma"/>
        </w:rPr>
        <w:br w:type="page"/>
      </w:r>
    </w:p>
    <w:p w14:paraId="7344694F" w14:textId="77777777" w:rsidR="00006D13" w:rsidRPr="00506052" w:rsidRDefault="00006D13" w:rsidP="00506052">
      <w:pPr>
        <w:spacing w:after="0" w:line="360" w:lineRule="auto"/>
        <w:ind w:right="49"/>
        <w:contextualSpacing/>
        <w:jc w:val="both"/>
        <w:rPr>
          <w:rFonts w:ascii="Palatino Linotype" w:hAnsi="Palatino Linotype" w:cs="Tahoma"/>
        </w:rPr>
      </w:pPr>
    </w:p>
    <w:sectPr w:rsidR="00006D13" w:rsidRPr="00506052" w:rsidSect="00490695">
      <w:headerReference w:type="default" r:id="rId8"/>
      <w:footerReference w:type="default" r:id="rId9"/>
      <w:pgSz w:w="12240" w:h="15840" w:code="1"/>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0CC3" w14:textId="77777777" w:rsidR="00994DB6" w:rsidRDefault="00994DB6" w:rsidP="00506052">
      <w:pPr>
        <w:spacing w:after="0" w:line="240" w:lineRule="auto"/>
      </w:pPr>
      <w:r>
        <w:separator/>
      </w:r>
    </w:p>
  </w:endnote>
  <w:endnote w:type="continuationSeparator" w:id="0">
    <w:p w14:paraId="75F39258" w14:textId="77777777" w:rsidR="00994DB6" w:rsidRDefault="00994DB6" w:rsidP="0050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5E19904" w14:textId="77777777" w:rsidR="00AC333A" w:rsidRDefault="0050605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6AB8242A" w14:textId="77777777" w:rsidR="00AC333A" w:rsidRDefault="00994D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915E" w14:textId="77777777" w:rsidR="00994DB6" w:rsidRDefault="00994DB6" w:rsidP="00506052">
      <w:pPr>
        <w:spacing w:after="0" w:line="240" w:lineRule="auto"/>
      </w:pPr>
      <w:r>
        <w:separator/>
      </w:r>
    </w:p>
  </w:footnote>
  <w:footnote w:type="continuationSeparator" w:id="0">
    <w:p w14:paraId="1798D55E" w14:textId="77777777" w:rsidR="00994DB6" w:rsidRDefault="00994DB6" w:rsidP="0050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946"/>
    </w:tblGrid>
    <w:tr w:rsidR="0077694E" w:rsidRPr="001106EA" w14:paraId="770E3376" w14:textId="77777777" w:rsidTr="00AE51E4">
      <w:trPr>
        <w:trHeight w:val="1843"/>
      </w:trPr>
      <w:tc>
        <w:tcPr>
          <w:tcW w:w="2410" w:type="dxa"/>
          <w:vAlign w:val="bottom"/>
        </w:tcPr>
        <w:p w14:paraId="08D4D65D" w14:textId="77777777" w:rsidR="0077694E" w:rsidRDefault="00506052"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3BC2DF5" wp14:editId="453BF262">
                <wp:simplePos x="0" y="0"/>
                <wp:positionH relativeFrom="column">
                  <wp:posOffset>-396240</wp:posOffset>
                </wp:positionH>
                <wp:positionV relativeFrom="paragraph">
                  <wp:posOffset>-885190</wp:posOffset>
                </wp:positionV>
                <wp:extent cx="1873250" cy="11264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83061DC" w14:textId="77777777" w:rsidR="0077694E" w:rsidRDefault="00994DB6" w:rsidP="0077694E">
          <w:pPr>
            <w:pStyle w:val="Encabezado"/>
            <w:tabs>
              <w:tab w:val="clear" w:pos="4252"/>
              <w:tab w:val="center" w:pos="2614"/>
            </w:tabs>
          </w:pPr>
        </w:p>
      </w:tc>
      <w:tc>
        <w:tcPr>
          <w:tcW w:w="6946" w:type="dxa"/>
          <w:vAlign w:val="center"/>
        </w:tcPr>
        <w:tbl>
          <w:tblPr>
            <w:tblStyle w:val="Tablaconcuadrcula"/>
            <w:tblW w:w="6515"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0"/>
            <w:gridCol w:w="4215"/>
          </w:tblGrid>
          <w:tr w:rsidR="00926E48" w14:paraId="13B6FB89" w14:textId="77777777" w:rsidTr="00AE51E4">
            <w:tc>
              <w:tcPr>
                <w:tcW w:w="2300" w:type="dxa"/>
              </w:tcPr>
              <w:p w14:paraId="232717FB" w14:textId="77777777" w:rsidR="00926E48" w:rsidRDefault="00506052" w:rsidP="00926E48">
                <w:pPr>
                  <w:pStyle w:val="Encabezado"/>
                  <w:ind w:left="-108" w:right="-250"/>
                  <w:jc w:val="both"/>
                  <w:rPr>
                    <w:rFonts w:ascii="Palatino Linotype" w:hAnsi="Palatino Linotype" w:cs="Tahoma"/>
                    <w:b/>
                  </w:rPr>
                </w:pPr>
                <w:r>
                  <w:rPr>
                    <w:rFonts w:ascii="Palatino Linotype" w:hAnsi="Palatino Linotype" w:cs="Tahoma"/>
                    <w:b/>
                  </w:rPr>
                  <w:t>V</w:t>
                </w:r>
                <w:r w:rsidRPr="00B9745A">
                  <w:rPr>
                    <w:rFonts w:ascii="Palatino Linotype" w:hAnsi="Palatino Linotype" w:cs="Tahoma"/>
                    <w:b/>
                  </w:rPr>
                  <w:t>oto Particula</w:t>
                </w:r>
                <w:r>
                  <w:rPr>
                    <w:rFonts w:ascii="Palatino Linotype" w:hAnsi="Palatino Linotype" w:cs="Tahoma"/>
                    <w:b/>
                  </w:rPr>
                  <w:t>r</w:t>
                </w:r>
              </w:p>
            </w:tc>
            <w:tc>
              <w:tcPr>
                <w:tcW w:w="4215" w:type="dxa"/>
              </w:tcPr>
              <w:p w14:paraId="2DCFB09B" w14:textId="77777777" w:rsidR="00926E48" w:rsidRDefault="00994DB6" w:rsidP="001106EA">
                <w:pPr>
                  <w:pStyle w:val="Encabezado"/>
                  <w:ind w:right="-250"/>
                  <w:jc w:val="both"/>
                  <w:rPr>
                    <w:rFonts w:ascii="Palatino Linotype" w:hAnsi="Palatino Linotype" w:cs="Tahoma"/>
                    <w:b/>
                  </w:rPr>
                </w:pPr>
              </w:p>
            </w:tc>
          </w:tr>
          <w:tr w:rsidR="00926E48" w14:paraId="6C07F92C" w14:textId="77777777" w:rsidTr="00AE51E4">
            <w:tc>
              <w:tcPr>
                <w:tcW w:w="2300" w:type="dxa"/>
              </w:tcPr>
              <w:p w14:paraId="6DDC6659" w14:textId="77777777" w:rsidR="00926E48" w:rsidRDefault="00506052" w:rsidP="00926E48">
                <w:pPr>
                  <w:pStyle w:val="Encabezado"/>
                  <w:ind w:left="-108" w:right="-250"/>
                  <w:jc w:val="both"/>
                  <w:rPr>
                    <w:rFonts w:ascii="Palatino Linotype" w:hAnsi="Palatino Linotype" w:cs="Tahoma"/>
                    <w:b/>
                  </w:rPr>
                </w:pPr>
                <w:r w:rsidRPr="00B9745A">
                  <w:rPr>
                    <w:rFonts w:ascii="Palatino Linotype" w:hAnsi="Palatino Linotype" w:cs="Tahoma"/>
                    <w:b/>
                  </w:rPr>
                  <w:t>Recurso de Revisión:</w:t>
                </w:r>
              </w:p>
            </w:tc>
            <w:tc>
              <w:tcPr>
                <w:tcW w:w="4215" w:type="dxa"/>
              </w:tcPr>
              <w:p w14:paraId="3B4F4B49" w14:textId="5E3F2DE2" w:rsidR="00926E48" w:rsidRPr="00506052" w:rsidRDefault="00506052" w:rsidP="00926E48">
                <w:pPr>
                  <w:pStyle w:val="Encabezado"/>
                  <w:ind w:right="-250"/>
                  <w:jc w:val="both"/>
                  <w:rPr>
                    <w:rFonts w:ascii="Palatino Linotype" w:hAnsi="Palatino Linotype" w:cs="Tahoma"/>
                  </w:rPr>
                </w:pPr>
                <w:r w:rsidRPr="00506052">
                  <w:rPr>
                    <w:rFonts w:ascii="Palatino Linotype" w:hAnsi="Palatino Linotype" w:cs="Tahoma"/>
                    <w:lang w:val="es-MX"/>
                  </w:rPr>
                  <w:t>06330/INFOEM/IP/RR/2021</w:t>
                </w:r>
              </w:p>
            </w:tc>
          </w:tr>
          <w:tr w:rsidR="00926E48" w14:paraId="781B5E56" w14:textId="77777777" w:rsidTr="00AE51E4">
            <w:tc>
              <w:tcPr>
                <w:tcW w:w="2300" w:type="dxa"/>
              </w:tcPr>
              <w:p w14:paraId="08EEFC08" w14:textId="77777777" w:rsidR="00926E48" w:rsidRDefault="00506052" w:rsidP="00926E48">
                <w:pPr>
                  <w:pStyle w:val="Encabezado"/>
                  <w:ind w:left="-108" w:right="-250"/>
                  <w:jc w:val="both"/>
                  <w:rPr>
                    <w:rFonts w:ascii="Palatino Linotype" w:hAnsi="Palatino Linotype" w:cs="Tahoma"/>
                    <w:b/>
                  </w:rPr>
                </w:pPr>
                <w:r>
                  <w:rPr>
                    <w:rFonts w:ascii="Palatino Linotype" w:hAnsi="Palatino Linotype" w:cs="Tahoma"/>
                    <w:b/>
                  </w:rPr>
                  <w:t>Sujeto Obligado:</w:t>
                </w:r>
              </w:p>
            </w:tc>
            <w:tc>
              <w:tcPr>
                <w:tcW w:w="4215" w:type="dxa"/>
              </w:tcPr>
              <w:p w14:paraId="534779E0" w14:textId="29EE1694" w:rsidR="00926E48" w:rsidRPr="00926E48" w:rsidRDefault="00506052" w:rsidP="005348C8">
                <w:pPr>
                  <w:pStyle w:val="Encabezado"/>
                  <w:jc w:val="both"/>
                  <w:rPr>
                    <w:rFonts w:ascii="Palatino Linotype" w:hAnsi="Palatino Linotype" w:cs="Tahoma"/>
                    <w:bCs/>
                  </w:rPr>
                </w:pPr>
                <w:r w:rsidRPr="00506052">
                  <w:rPr>
                    <w:rFonts w:ascii="Palatino Linotype" w:hAnsi="Palatino Linotype" w:cs="Tahoma"/>
                    <w:bCs/>
                    <w:lang w:val="es-MX"/>
                  </w:rPr>
                  <w:t>Ayuntamiento de Valle de Bravo</w:t>
                </w:r>
              </w:p>
            </w:tc>
          </w:tr>
          <w:tr w:rsidR="00926E48" w14:paraId="20C51F7A" w14:textId="77777777" w:rsidTr="00AE51E4">
            <w:tc>
              <w:tcPr>
                <w:tcW w:w="2300" w:type="dxa"/>
              </w:tcPr>
              <w:p w14:paraId="4CFF12E3" w14:textId="77777777" w:rsidR="00926E48" w:rsidRDefault="00506052" w:rsidP="00926E48">
                <w:pPr>
                  <w:pStyle w:val="Encabezado"/>
                  <w:ind w:left="-108" w:right="-250"/>
                  <w:jc w:val="both"/>
                  <w:rPr>
                    <w:rFonts w:ascii="Palatino Linotype" w:hAnsi="Palatino Linotype" w:cs="Tahoma"/>
                    <w:b/>
                  </w:rPr>
                </w:pPr>
                <w:r w:rsidRPr="00B9745A">
                  <w:rPr>
                    <w:rFonts w:ascii="Palatino Linotype" w:hAnsi="Palatino Linotype" w:cs="Tahoma"/>
                    <w:b/>
                  </w:rPr>
                  <w:t>Comisionado Ponente:</w:t>
                </w:r>
              </w:p>
            </w:tc>
            <w:tc>
              <w:tcPr>
                <w:tcW w:w="4215" w:type="dxa"/>
              </w:tcPr>
              <w:p w14:paraId="70845BDD" w14:textId="6D8EF318" w:rsidR="00926E48" w:rsidRPr="00926E48" w:rsidRDefault="00506052" w:rsidP="00926E48">
                <w:pPr>
                  <w:pStyle w:val="Encabezado"/>
                  <w:ind w:right="-250"/>
                  <w:jc w:val="both"/>
                  <w:rPr>
                    <w:rFonts w:ascii="Palatino Linotype" w:hAnsi="Palatino Linotype" w:cs="Tahoma"/>
                    <w:bCs/>
                  </w:rPr>
                </w:pPr>
                <w:r w:rsidRPr="00506052">
                  <w:rPr>
                    <w:rFonts w:ascii="Palatino Linotype" w:hAnsi="Palatino Linotype"/>
                    <w:bCs/>
                    <w:lang w:val="es-MX"/>
                  </w:rPr>
                  <w:t>José Martínez Vilchis</w:t>
                </w:r>
              </w:p>
            </w:tc>
          </w:tr>
        </w:tbl>
        <w:p w14:paraId="45555E44" w14:textId="77777777" w:rsidR="00BF337B" w:rsidRPr="001106EA" w:rsidRDefault="00994DB6" w:rsidP="00926E48">
          <w:pPr>
            <w:pStyle w:val="Encabezado"/>
            <w:ind w:right="-250"/>
            <w:jc w:val="both"/>
            <w:rPr>
              <w:rFonts w:ascii="Tahoma" w:hAnsi="Tahoma" w:cs="Tahoma"/>
            </w:rPr>
          </w:pPr>
        </w:p>
      </w:tc>
    </w:tr>
  </w:tbl>
  <w:p w14:paraId="76D9311F" w14:textId="77777777" w:rsidR="00D55429" w:rsidRDefault="00994DB6" w:rsidP="00BF337B">
    <w:pPr>
      <w:pStyle w:val="Encabezado"/>
      <w:rPr>
        <w:sz w:val="2"/>
        <w:szCs w:val="2"/>
      </w:rPr>
    </w:pPr>
  </w:p>
  <w:p w14:paraId="053E6AD3" w14:textId="77777777" w:rsidR="00BF337B" w:rsidRDefault="00994DB6" w:rsidP="00BF337B">
    <w:pPr>
      <w:pStyle w:val="Encabezado"/>
      <w:rPr>
        <w:sz w:val="2"/>
        <w:szCs w:val="2"/>
      </w:rPr>
    </w:pPr>
  </w:p>
  <w:p w14:paraId="4694DE2B" w14:textId="77777777" w:rsidR="00BF337B" w:rsidRDefault="00994DB6" w:rsidP="00BF337B">
    <w:pPr>
      <w:pStyle w:val="Encabezado"/>
      <w:rPr>
        <w:sz w:val="2"/>
        <w:szCs w:val="2"/>
      </w:rPr>
    </w:pPr>
  </w:p>
  <w:p w14:paraId="581BF654" w14:textId="77777777" w:rsidR="00BF337B" w:rsidRDefault="00994DB6" w:rsidP="00BF337B">
    <w:pPr>
      <w:pStyle w:val="Encabezado"/>
      <w:rPr>
        <w:sz w:val="2"/>
        <w:szCs w:val="2"/>
      </w:rPr>
    </w:pPr>
  </w:p>
  <w:p w14:paraId="43C5E522" w14:textId="77777777" w:rsidR="00BF337B" w:rsidRDefault="00994DB6" w:rsidP="00BF337B">
    <w:pPr>
      <w:pStyle w:val="Encabezado"/>
      <w:rPr>
        <w:sz w:val="2"/>
        <w:szCs w:val="2"/>
      </w:rPr>
    </w:pPr>
  </w:p>
  <w:p w14:paraId="19F4236B" w14:textId="77777777" w:rsidR="00BF337B" w:rsidRPr="001106EA" w:rsidRDefault="00994DB6" w:rsidP="00BF337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32E43"/>
    <w:multiLevelType w:val="hybridMultilevel"/>
    <w:tmpl w:val="561023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52"/>
    <w:rsid w:val="00006D13"/>
    <w:rsid w:val="00506052"/>
    <w:rsid w:val="00994DB6"/>
    <w:rsid w:val="009A5356"/>
    <w:rsid w:val="00B732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90AE"/>
  <w15:chartTrackingRefBased/>
  <w15:docId w15:val="{B918B630-A05A-47C5-9D9D-DABE4BA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5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60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6052"/>
    <w:rPr>
      <w:lang w:val="es-ES"/>
    </w:rPr>
  </w:style>
  <w:style w:type="paragraph" w:styleId="Piedepgina">
    <w:name w:val="footer"/>
    <w:basedOn w:val="Normal"/>
    <w:link w:val="PiedepginaCar"/>
    <w:uiPriority w:val="99"/>
    <w:unhideWhenUsed/>
    <w:rsid w:val="005060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6052"/>
    <w:rPr>
      <w:lang w:val="es-ES"/>
    </w:rPr>
  </w:style>
  <w:style w:type="table" w:styleId="Tablaconcuadrcula">
    <w:name w:val="Table Grid"/>
    <w:basedOn w:val="Tablanormal"/>
    <w:uiPriority w:val="59"/>
    <w:rsid w:val="0050605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6052"/>
    <w:rPr>
      <w:color w:val="0563C1" w:themeColor="hyperlink"/>
      <w:u w:val="single"/>
    </w:rPr>
  </w:style>
  <w:style w:type="character" w:styleId="Mencinsinresolver">
    <w:name w:val="Unresolved Mention"/>
    <w:basedOn w:val="Fuentedeprrafopredeter"/>
    <w:uiPriority w:val="99"/>
    <w:semiHidden/>
    <w:unhideWhenUsed/>
    <w:rsid w:val="00506052"/>
    <w:rPr>
      <w:color w:val="605E5C"/>
      <w:shd w:val="clear" w:color="auto" w:fill="E1DFDD"/>
    </w:rPr>
  </w:style>
  <w:style w:type="paragraph" w:styleId="Prrafodelista">
    <w:name w:val="List Paragraph"/>
    <w:basedOn w:val="Normal"/>
    <w:uiPriority w:val="34"/>
    <w:qFormat/>
    <w:rsid w:val="00506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gecem.edomex.gob.mx/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1715</Words>
  <Characters>9435</Characters>
  <Application>Microsoft Office Word</Application>
  <DocSecurity>0</DocSecurity>
  <Lines>78</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3</cp:revision>
  <dcterms:created xsi:type="dcterms:W3CDTF">2022-02-13T02:56:00Z</dcterms:created>
  <dcterms:modified xsi:type="dcterms:W3CDTF">2022-02-14T21:30:00Z</dcterms:modified>
</cp:coreProperties>
</file>