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3CB61" w14:textId="77777777" w:rsidR="000E7A9F" w:rsidRPr="00F35F7B" w:rsidRDefault="000E7A9F" w:rsidP="00C15A60">
      <w:pPr>
        <w:spacing w:after="0" w:line="360" w:lineRule="auto"/>
        <w:ind w:right="-93"/>
        <w:contextualSpacing/>
        <w:jc w:val="both"/>
        <w:rPr>
          <w:rFonts w:ascii="Palatino Linotype" w:hAnsi="Palatino Linotype" w:cs="Tahoma"/>
          <w:b/>
          <w:sz w:val="10"/>
          <w:szCs w:val="10"/>
        </w:rPr>
      </w:pPr>
    </w:p>
    <w:p w14:paraId="0DCE4B37" w14:textId="5972165A" w:rsidR="004536B0" w:rsidRDefault="00977189" w:rsidP="00C15A60">
      <w:pPr>
        <w:spacing w:after="0" w:line="360" w:lineRule="auto"/>
        <w:ind w:right="-93"/>
        <w:contextualSpacing/>
        <w:jc w:val="both"/>
        <w:rPr>
          <w:rFonts w:ascii="Palatino Linotype" w:hAnsi="Palatino Linotype" w:cs="Tahoma"/>
          <w:b/>
        </w:rPr>
      </w:pPr>
      <w:r w:rsidRPr="004536B0">
        <w:rPr>
          <w:rFonts w:ascii="Palatino Linotype" w:hAnsi="Palatino Linotype" w:cs="Tahoma"/>
          <w:b/>
        </w:rPr>
        <w:t xml:space="preserve">VOTO </w:t>
      </w:r>
      <w:r>
        <w:rPr>
          <w:rFonts w:ascii="Palatino Linotype" w:hAnsi="Palatino Linotype" w:cs="Tahoma"/>
          <w:b/>
        </w:rPr>
        <w:t>PARTICULAR</w:t>
      </w:r>
      <w:r w:rsidRPr="004536B0">
        <w:rPr>
          <w:rFonts w:ascii="Palatino Linotype" w:hAnsi="Palatino Linotype" w:cs="Tahoma"/>
          <w:b/>
        </w:rPr>
        <w:t xml:space="preserve"> QUE FORMULA EL COMISIONADO LUIS GUSTAVO PARRA </w:t>
      </w:r>
      <w:r w:rsidR="004176BE" w:rsidRPr="004536B0">
        <w:rPr>
          <w:rFonts w:ascii="Palatino Linotype" w:hAnsi="Palatino Linotype" w:cs="Tahoma"/>
          <w:b/>
        </w:rPr>
        <w:t>NORIEGA, A LA RESOLU</w:t>
      </w:r>
      <w:r w:rsidR="004176BE">
        <w:rPr>
          <w:rFonts w:ascii="Palatino Linotype" w:hAnsi="Palatino Linotype" w:cs="Tahoma"/>
          <w:b/>
        </w:rPr>
        <w:t xml:space="preserve">CIÓN DEL RECURSO DE REVISIÓN </w:t>
      </w:r>
      <w:r w:rsidR="004176BE" w:rsidRPr="004176BE">
        <w:rPr>
          <w:rFonts w:ascii="Palatino Linotype" w:hAnsi="Palatino Linotype" w:cs="Arial"/>
          <w:b/>
          <w:bCs/>
          <w:lang w:eastAsia="es-MX"/>
        </w:rPr>
        <w:t>0363</w:t>
      </w:r>
      <w:r w:rsidR="004176BE">
        <w:rPr>
          <w:rFonts w:ascii="Palatino Linotype" w:hAnsi="Palatino Linotype" w:cs="Arial"/>
          <w:b/>
          <w:bCs/>
          <w:lang w:eastAsia="es-MX"/>
        </w:rPr>
        <w:t>9/INFOEM/IP/RR/2022 Y ACUMULADO</w:t>
      </w:r>
      <w:r w:rsidR="004176BE" w:rsidRPr="001C5BFE">
        <w:rPr>
          <w:rFonts w:ascii="Palatino Linotype" w:hAnsi="Palatino Linotype" w:cs="Tahoma"/>
          <w:b/>
        </w:rPr>
        <w:t>, PROMOVIDO EN CONTRA DE</w:t>
      </w:r>
      <w:r w:rsidR="004176BE">
        <w:rPr>
          <w:rFonts w:ascii="Palatino Linotype" w:hAnsi="Palatino Linotype" w:cs="Tahoma"/>
          <w:b/>
        </w:rPr>
        <w:t xml:space="preserve"> </w:t>
      </w:r>
      <w:r w:rsidR="004176BE" w:rsidRPr="001C5BFE">
        <w:rPr>
          <w:rFonts w:ascii="Palatino Linotype" w:hAnsi="Palatino Linotype" w:cs="Tahoma"/>
          <w:b/>
        </w:rPr>
        <w:t>L</w:t>
      </w:r>
      <w:r w:rsidR="004176BE">
        <w:rPr>
          <w:rFonts w:ascii="Palatino Linotype" w:hAnsi="Palatino Linotype" w:cs="Tahoma"/>
          <w:b/>
        </w:rPr>
        <w:t>A</w:t>
      </w:r>
      <w:r w:rsidR="004176BE" w:rsidRPr="001C5BFE">
        <w:rPr>
          <w:rFonts w:ascii="Palatino Linotype" w:hAnsi="Palatino Linotype" w:cs="Tahoma"/>
          <w:b/>
        </w:rPr>
        <w:t xml:space="preserve"> </w:t>
      </w:r>
      <w:r w:rsidR="004176BE">
        <w:rPr>
          <w:rFonts w:ascii="Palatino Linotype" w:eastAsia="Palatino Linotype" w:hAnsi="Palatino Linotype" w:cs="Palatino Linotype"/>
          <w:b/>
        </w:rPr>
        <w:t>SECRETARÍA DE MOVILIDAD</w:t>
      </w:r>
      <w:r w:rsidR="00307747">
        <w:rPr>
          <w:rFonts w:ascii="Palatino Linotype" w:eastAsia="Palatino Linotype" w:hAnsi="Palatino Linotype" w:cs="Palatino Linotype"/>
          <w:b/>
        </w:rPr>
        <w:t>.</w:t>
      </w:r>
    </w:p>
    <w:p w14:paraId="3E2843F0" w14:textId="77777777" w:rsidR="005D7E89" w:rsidRPr="004536B0" w:rsidRDefault="005D7E89" w:rsidP="00C15A60">
      <w:pPr>
        <w:spacing w:after="0" w:line="360" w:lineRule="auto"/>
        <w:ind w:right="-93"/>
        <w:contextualSpacing/>
        <w:jc w:val="both"/>
        <w:rPr>
          <w:rFonts w:ascii="Palatino Linotype" w:hAnsi="Palatino Linotype"/>
        </w:rPr>
      </w:pPr>
    </w:p>
    <w:p w14:paraId="06BA196A" w14:textId="6A13A93D" w:rsidR="006705F3" w:rsidRPr="006705F3" w:rsidRDefault="006705F3" w:rsidP="006705F3">
      <w:pPr>
        <w:spacing w:after="0" w:line="360" w:lineRule="auto"/>
        <w:ind w:right="-93"/>
        <w:contextualSpacing/>
        <w:jc w:val="both"/>
        <w:rPr>
          <w:rFonts w:ascii="Palatino Linotype" w:hAnsi="Palatino Linotype"/>
          <w:b/>
        </w:rPr>
      </w:pPr>
      <w:r w:rsidRPr="006705F3">
        <w:rPr>
          <w:rFonts w:ascii="Palatino Linotype" w:hAnsi="Palatino Linotype"/>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6705F3">
        <w:rPr>
          <w:rFonts w:ascii="Palatino Linotype" w:hAnsi="Palatino Linotype"/>
          <w:b/>
        </w:rPr>
        <w:t>Voto Particular</w:t>
      </w:r>
      <w:r w:rsidRPr="006705F3">
        <w:rPr>
          <w:rFonts w:ascii="Palatino Linotype" w:hAnsi="Palatino Linotype"/>
        </w:rPr>
        <w:t xml:space="preserve"> por no compartir en su totalidad las consideraciones que sustentan la Resolución del Recurso de Revisión </w:t>
      </w:r>
      <w:r w:rsidR="004176BE" w:rsidRPr="004176BE">
        <w:rPr>
          <w:rFonts w:ascii="Palatino Linotype" w:hAnsi="Palatino Linotype"/>
          <w:b/>
          <w:bCs/>
        </w:rPr>
        <w:t>0363</w:t>
      </w:r>
      <w:r w:rsidR="004176BE">
        <w:rPr>
          <w:rFonts w:ascii="Palatino Linotype" w:hAnsi="Palatino Linotype"/>
          <w:b/>
          <w:bCs/>
        </w:rPr>
        <w:t>9/INFOEM/IP/RR/2022 y acumulado</w:t>
      </w:r>
      <w:r w:rsidRPr="001C5BFE">
        <w:rPr>
          <w:rFonts w:ascii="Palatino Linotype" w:hAnsi="Palatino Linotype"/>
          <w:b/>
        </w:rPr>
        <w:t>.</w:t>
      </w:r>
    </w:p>
    <w:p w14:paraId="3EF7854F" w14:textId="20C53C43" w:rsidR="004536B0" w:rsidRDefault="004536B0" w:rsidP="00C15A60">
      <w:pPr>
        <w:spacing w:after="0" w:line="360" w:lineRule="auto"/>
        <w:ind w:right="-93"/>
        <w:contextualSpacing/>
        <w:jc w:val="both"/>
        <w:rPr>
          <w:rFonts w:ascii="Palatino Linotype" w:hAnsi="Palatino Linotype"/>
        </w:rPr>
      </w:pPr>
    </w:p>
    <w:p w14:paraId="57658D04" w14:textId="0938935C" w:rsidR="004176BE" w:rsidRDefault="004536B0" w:rsidP="00D17DA1">
      <w:pPr>
        <w:spacing w:after="0" w:line="360" w:lineRule="auto"/>
        <w:ind w:right="-93"/>
        <w:jc w:val="both"/>
        <w:rPr>
          <w:rFonts w:ascii="Palatino Linotype" w:hAnsi="Palatino Linotype"/>
        </w:rPr>
      </w:pPr>
      <w:r w:rsidRPr="004536B0">
        <w:rPr>
          <w:rFonts w:ascii="Palatino Linotype" w:hAnsi="Palatino Linotype"/>
        </w:rPr>
        <w:t>Como se desprende de la Resolución que nos</w:t>
      </w:r>
      <w:r w:rsidR="006705F3">
        <w:rPr>
          <w:rFonts w:ascii="Palatino Linotype" w:hAnsi="Palatino Linotype"/>
        </w:rPr>
        <w:t xml:space="preserve"> ocupa, el </w:t>
      </w:r>
      <w:r w:rsidR="00D17DA1">
        <w:rPr>
          <w:rFonts w:ascii="Palatino Linotype" w:hAnsi="Palatino Linotype"/>
        </w:rPr>
        <w:t xml:space="preserve">Particular solicitó </w:t>
      </w:r>
      <w:r w:rsidR="003A35F7">
        <w:rPr>
          <w:rFonts w:ascii="Palatino Linotype" w:hAnsi="Palatino Linotype"/>
        </w:rPr>
        <w:t xml:space="preserve">la entrega de </w:t>
      </w:r>
      <w:r w:rsidR="004176BE">
        <w:rPr>
          <w:rFonts w:ascii="Palatino Linotype" w:hAnsi="Palatino Linotype"/>
        </w:rPr>
        <w:t>los oficios firmados durante el año 2020 y 2021</w:t>
      </w:r>
      <w:r w:rsidR="003A35F7">
        <w:rPr>
          <w:rFonts w:ascii="Palatino Linotype" w:hAnsi="Palatino Linotype"/>
        </w:rPr>
        <w:t>; en respuesta el Sujeto Obligado,</w:t>
      </w:r>
      <w:r w:rsidR="004176BE">
        <w:rPr>
          <w:rFonts w:ascii="Palatino Linotype" w:hAnsi="Palatino Linotype"/>
        </w:rPr>
        <w:t xml:space="preserve"> señaló que se localizó un total de 16,612 hojas únicamente en ocho áreas,</w:t>
      </w:r>
      <w:r w:rsidR="002D51BC">
        <w:rPr>
          <w:rFonts w:ascii="Palatino Linotype" w:hAnsi="Palatino Linotype"/>
        </w:rPr>
        <w:t xml:space="preserve"> por lo que invocó un cambio de modalidad por cobro, el cual se acompañó del acuerdo del Comité de Transparencia; por lo que el Particular se inconformó y durante la sustanciación del Recurso de Revisión, el Sujeto Obligado remitió el acuerdo del Comité de Transparencia en el que se aprobó la versión pública de la información solicitada.</w:t>
      </w:r>
    </w:p>
    <w:p w14:paraId="45D7F757" w14:textId="77777777" w:rsidR="002D51BC" w:rsidRDefault="002D51BC" w:rsidP="00D17DA1">
      <w:pPr>
        <w:spacing w:after="0" w:line="360" w:lineRule="auto"/>
        <w:ind w:right="-93"/>
        <w:jc w:val="both"/>
        <w:rPr>
          <w:rFonts w:ascii="Palatino Linotype" w:hAnsi="Palatino Linotype"/>
        </w:rPr>
      </w:pPr>
    </w:p>
    <w:p w14:paraId="5A79E03A" w14:textId="4A8A3E87" w:rsidR="002D51BC" w:rsidRDefault="008D3E1B" w:rsidP="00D17DA1">
      <w:pPr>
        <w:spacing w:after="0" w:line="360" w:lineRule="auto"/>
        <w:ind w:right="-93"/>
        <w:jc w:val="both"/>
        <w:rPr>
          <w:rFonts w:ascii="Palatino Linotype" w:hAnsi="Palatino Linotype"/>
        </w:rPr>
      </w:pPr>
      <w:r>
        <w:rPr>
          <w:rFonts w:ascii="Palatino Linotype" w:hAnsi="Palatino Linotype"/>
        </w:rPr>
        <w:t>Del</w:t>
      </w:r>
      <w:r w:rsidR="002D51BC">
        <w:rPr>
          <w:rFonts w:ascii="Palatino Linotype" w:hAnsi="Palatino Linotype"/>
        </w:rPr>
        <w:t xml:space="preserve"> </w:t>
      </w:r>
      <w:r w:rsidR="00D96C42">
        <w:rPr>
          <w:rFonts w:ascii="Palatino Linotype" w:hAnsi="Palatino Linotype"/>
        </w:rPr>
        <w:t>análisis</w:t>
      </w:r>
      <w:r w:rsidR="002D51BC">
        <w:rPr>
          <w:rFonts w:ascii="Palatino Linotype" w:hAnsi="Palatino Linotype"/>
        </w:rPr>
        <w:t xml:space="preserve"> realizado por la Ponencia </w:t>
      </w:r>
      <w:r w:rsidR="00D96C42">
        <w:rPr>
          <w:rFonts w:ascii="Palatino Linotype" w:hAnsi="Palatino Linotype"/>
        </w:rPr>
        <w:t>Resolutora</w:t>
      </w:r>
      <w:r w:rsidR="002D51BC">
        <w:rPr>
          <w:rFonts w:ascii="Palatino Linotype" w:hAnsi="Palatino Linotype"/>
        </w:rPr>
        <w:t xml:space="preserve">, se determinó revocar la respuesta y ordenar la entrega de la información vía </w:t>
      </w:r>
      <w:r w:rsidR="002D51BC" w:rsidRPr="002D51BC">
        <w:rPr>
          <w:rFonts w:ascii="Palatino Linotype" w:hAnsi="Palatino Linotype" w:cs="Tahoma"/>
        </w:rPr>
        <w:t xml:space="preserve">Sistema de Acceso a la Información Mexiquense (SAIMEX), </w:t>
      </w:r>
      <w:r w:rsidR="002D51BC">
        <w:rPr>
          <w:rFonts w:ascii="Palatino Linotype" w:hAnsi="Palatino Linotype" w:cs="Tahoma"/>
        </w:rPr>
        <w:t xml:space="preserve"> además, se señaló la posibilidad de que la información actualice algún</w:t>
      </w:r>
      <w:r w:rsidR="00D96C42">
        <w:rPr>
          <w:rFonts w:ascii="Palatino Linotype" w:hAnsi="Palatino Linotype" w:cs="Tahoma"/>
        </w:rPr>
        <w:t xml:space="preserve"> supuesto </w:t>
      </w:r>
      <w:r w:rsidR="00D96C42">
        <w:rPr>
          <w:rFonts w:ascii="Palatino Linotype" w:hAnsi="Palatino Linotype" w:cs="Tahoma"/>
        </w:rPr>
        <w:lastRenderedPageBreak/>
        <w:t xml:space="preserve">de reserva, por lo que </w:t>
      </w:r>
      <w:r w:rsidR="002D51BC">
        <w:rPr>
          <w:rFonts w:ascii="Palatino Linotype" w:hAnsi="Palatino Linotype" w:cs="Tahoma"/>
        </w:rPr>
        <w:t>se dejó en</w:t>
      </w:r>
      <w:r w:rsidR="00D96C42">
        <w:rPr>
          <w:rFonts w:ascii="Palatino Linotype" w:hAnsi="Palatino Linotype" w:cs="Tahoma"/>
        </w:rPr>
        <w:t xml:space="preserve"> salvedad sin el análisis de la prueba de daño correspondiente.</w:t>
      </w:r>
    </w:p>
    <w:p w14:paraId="5BC9DF8E" w14:textId="77777777" w:rsidR="003A35F7" w:rsidRDefault="003A35F7" w:rsidP="00D17DA1">
      <w:pPr>
        <w:spacing w:after="0" w:line="360" w:lineRule="auto"/>
        <w:ind w:right="-93"/>
        <w:jc w:val="both"/>
        <w:rPr>
          <w:rFonts w:ascii="Palatino Linotype" w:eastAsia="Batang" w:hAnsi="Palatino Linotype" w:cs="Tahoma"/>
          <w:bCs/>
          <w:lang w:val="es-ES_tradnl"/>
        </w:rPr>
      </w:pPr>
    </w:p>
    <w:p w14:paraId="5C65BB9B" w14:textId="03AD19FB" w:rsidR="00D96C42" w:rsidRDefault="003A35F7" w:rsidP="00D17DA1">
      <w:pPr>
        <w:spacing w:after="0" w:line="360" w:lineRule="auto"/>
        <w:ind w:right="-93"/>
        <w:jc w:val="both"/>
        <w:rPr>
          <w:rFonts w:ascii="Palatino Linotype" w:eastAsia="Batang" w:hAnsi="Palatino Linotype" w:cs="Tahoma"/>
          <w:bCs/>
        </w:rPr>
      </w:pPr>
      <w:r>
        <w:rPr>
          <w:rFonts w:ascii="Palatino Linotype" w:eastAsia="Batang" w:hAnsi="Palatino Linotype" w:cs="Tahoma"/>
          <w:bCs/>
          <w:lang w:val="es-ES_tradnl"/>
        </w:rPr>
        <w:t xml:space="preserve">Al respecto, comparto el sentido de la resolución respecto a la entrega de la información, sin embargo, </w:t>
      </w:r>
      <w:r w:rsidR="00D96C42">
        <w:rPr>
          <w:rFonts w:ascii="Palatino Linotype" w:eastAsia="Batang" w:hAnsi="Palatino Linotype" w:cs="Tahoma"/>
          <w:bCs/>
          <w:lang w:val="es-ES_tradnl"/>
        </w:rPr>
        <w:t xml:space="preserve">no concuerdo con determinar la entrega a través de </w:t>
      </w:r>
      <w:r w:rsidR="00D96C42" w:rsidRPr="00D96C42">
        <w:rPr>
          <w:rFonts w:ascii="Palatino Linotype" w:eastAsia="Batang" w:hAnsi="Palatino Linotype" w:cs="Tahoma"/>
          <w:bCs/>
        </w:rPr>
        <w:t xml:space="preserve">Sistema de Acceso a la Información Mexiquense (SAIMEX), </w:t>
      </w:r>
      <w:r w:rsidR="00D96C42">
        <w:rPr>
          <w:rFonts w:ascii="Palatino Linotype" w:eastAsia="Batang" w:hAnsi="Palatino Linotype" w:cs="Tahoma"/>
          <w:bCs/>
        </w:rPr>
        <w:t xml:space="preserve"> ni con que no se realizara un análisis detallado respecto al supuesto de reserva, asimismo que no se estableciera la prueba de daño respectiva; ello en atención a los siguientes argumentos:</w:t>
      </w:r>
    </w:p>
    <w:p w14:paraId="345EB337" w14:textId="77777777" w:rsidR="00D96C42" w:rsidRDefault="00D96C42" w:rsidP="00D17DA1">
      <w:pPr>
        <w:spacing w:after="0" w:line="360" w:lineRule="auto"/>
        <w:ind w:right="-93"/>
        <w:jc w:val="both"/>
        <w:rPr>
          <w:rFonts w:ascii="Palatino Linotype" w:eastAsia="Batang" w:hAnsi="Palatino Linotype" w:cs="Tahoma"/>
          <w:bCs/>
        </w:rPr>
      </w:pPr>
    </w:p>
    <w:p w14:paraId="7E9034E9" w14:textId="725B51D1" w:rsidR="00D96C42" w:rsidRPr="00D96C42" w:rsidRDefault="00D96C42" w:rsidP="00D96C42">
      <w:pPr>
        <w:pStyle w:val="Prrafodelista"/>
        <w:numPr>
          <w:ilvl w:val="0"/>
          <w:numId w:val="26"/>
        </w:numPr>
        <w:spacing w:after="0" w:line="360" w:lineRule="auto"/>
        <w:ind w:right="-93"/>
        <w:jc w:val="both"/>
        <w:rPr>
          <w:rFonts w:ascii="Palatino Linotype" w:eastAsia="Batang" w:hAnsi="Palatino Linotype" w:cs="Tahoma"/>
          <w:b/>
          <w:bCs/>
          <w:lang w:val="es-ES_tradnl"/>
        </w:rPr>
      </w:pPr>
      <w:r>
        <w:rPr>
          <w:rFonts w:ascii="Palatino Linotype" w:eastAsia="Batang" w:hAnsi="Palatino Linotype" w:cs="Tahoma"/>
          <w:b/>
          <w:bCs/>
          <w:lang w:val="es-ES_tradnl"/>
        </w:rPr>
        <w:t xml:space="preserve">Del cambio de modalidad. </w:t>
      </w:r>
    </w:p>
    <w:p w14:paraId="7D4ADD01" w14:textId="77777777" w:rsidR="00D96C42" w:rsidRDefault="00D96C42" w:rsidP="00D17DA1">
      <w:pPr>
        <w:spacing w:after="0" w:line="360" w:lineRule="auto"/>
        <w:ind w:right="-93"/>
        <w:jc w:val="both"/>
        <w:rPr>
          <w:rFonts w:ascii="Palatino Linotype" w:eastAsia="Batang" w:hAnsi="Palatino Linotype" w:cs="Tahoma"/>
          <w:bCs/>
          <w:lang w:val="es-ES_tradnl"/>
        </w:rPr>
      </w:pPr>
    </w:p>
    <w:p w14:paraId="0E0F03B2" w14:textId="458EDB7A" w:rsidR="00D17DA1" w:rsidRDefault="00D96C42" w:rsidP="00D17DA1">
      <w:pPr>
        <w:spacing w:after="0" w:line="360" w:lineRule="auto"/>
        <w:ind w:right="-93"/>
        <w:jc w:val="both"/>
        <w:rPr>
          <w:rFonts w:ascii="Palatino Linotype" w:hAnsi="Palatino Linotype"/>
        </w:rPr>
      </w:pPr>
      <w:r>
        <w:rPr>
          <w:rFonts w:ascii="Palatino Linotype" w:eastAsia="Batang" w:hAnsi="Palatino Linotype" w:cs="Tahoma"/>
          <w:bCs/>
          <w:lang w:val="es-ES_tradnl"/>
        </w:rPr>
        <w:t>Considero</w:t>
      </w:r>
      <w:r w:rsidR="003A35F7">
        <w:rPr>
          <w:rFonts w:ascii="Palatino Linotype" w:eastAsia="Batang" w:hAnsi="Palatino Linotype" w:cs="Tahoma"/>
          <w:bCs/>
          <w:lang w:val="es-ES_tradnl"/>
        </w:rPr>
        <w:t xml:space="preserve"> que el cambio de modalidad </w:t>
      </w:r>
      <w:r w:rsidR="00B52BF4">
        <w:rPr>
          <w:rFonts w:ascii="Palatino Linotype" w:eastAsia="Batang" w:hAnsi="Palatino Linotype" w:cs="Tahoma"/>
          <w:bCs/>
          <w:lang w:val="es-ES_tradnl"/>
        </w:rPr>
        <w:t>debió</w:t>
      </w:r>
      <w:r w:rsidR="003A35F7">
        <w:rPr>
          <w:rFonts w:ascii="Palatino Linotype" w:eastAsia="Batang" w:hAnsi="Palatino Linotype" w:cs="Tahoma"/>
          <w:bCs/>
          <w:lang w:val="es-ES_tradnl"/>
        </w:rPr>
        <w:t xml:space="preserve"> ser considerado </w:t>
      </w:r>
      <w:r w:rsidR="00B52BF4">
        <w:rPr>
          <w:rFonts w:ascii="Palatino Linotype" w:eastAsia="Batang" w:hAnsi="Palatino Linotype" w:cs="Tahoma"/>
          <w:bCs/>
          <w:lang w:val="es-ES_tradnl"/>
        </w:rPr>
        <w:t xml:space="preserve">ante la imposibilidad técnica que representara la entrega vía </w:t>
      </w:r>
      <w:r w:rsidR="00B52BF4" w:rsidRPr="00B52BF4">
        <w:rPr>
          <w:rFonts w:ascii="Palatino Linotype" w:eastAsia="Batang" w:hAnsi="Palatino Linotype" w:cs="Tahoma"/>
          <w:bCs/>
          <w:lang w:val="es-ES_tradnl"/>
        </w:rPr>
        <w:t>Sistema de Acceso a la Información Mexiquense (SAIMEX</w:t>
      </w:r>
      <w:r w:rsidR="004F0F09">
        <w:rPr>
          <w:rFonts w:ascii="Palatino Linotype" w:eastAsia="Batang" w:hAnsi="Palatino Linotype" w:cs="Tahoma"/>
          <w:bCs/>
          <w:lang w:val="es-ES_tradnl"/>
        </w:rPr>
        <w:t xml:space="preserve">), de tal forma que lo ordenado se entregara directo en otras modalidades preferentemente electrónicas y gratuitas, sin incluir el sistema. </w:t>
      </w:r>
      <w:r w:rsidR="00B52BF4">
        <w:rPr>
          <w:rFonts w:ascii="Palatino Linotype" w:eastAsia="Batang" w:hAnsi="Palatino Linotype" w:cs="Tahoma"/>
          <w:bCs/>
          <w:lang w:val="es-ES_tradnl"/>
        </w:rPr>
        <w:t>Esto es así</w:t>
      </w:r>
      <w:r w:rsidR="004F0F09">
        <w:rPr>
          <w:rFonts w:ascii="Palatino Linotype" w:eastAsia="Batang" w:hAnsi="Palatino Linotype" w:cs="Tahoma"/>
          <w:bCs/>
          <w:lang w:val="es-ES_tradnl"/>
        </w:rPr>
        <w:t>,</w:t>
      </w:r>
      <w:r w:rsidR="00B52BF4">
        <w:rPr>
          <w:rFonts w:ascii="Palatino Linotype" w:eastAsia="Batang" w:hAnsi="Palatino Linotype" w:cs="Tahoma"/>
          <w:bCs/>
          <w:lang w:val="es-ES_tradnl"/>
        </w:rPr>
        <w:t xml:space="preserve"> en virtud de que el Sujeto Obligado a través </w:t>
      </w:r>
      <w:r>
        <w:rPr>
          <w:rFonts w:ascii="Palatino Linotype" w:eastAsia="Batang" w:hAnsi="Palatino Linotype" w:cs="Tahoma"/>
          <w:bCs/>
          <w:lang w:val="es-ES_tradnl"/>
        </w:rPr>
        <w:t xml:space="preserve">de respuesta informó que la información corresponde a un total de </w:t>
      </w:r>
      <w:r w:rsidRPr="004F0F09">
        <w:rPr>
          <w:rFonts w:ascii="Palatino Linotype" w:eastAsia="Batang" w:hAnsi="Palatino Linotype" w:cs="Tahoma"/>
          <w:b/>
          <w:lang w:val="es-ES_tradnl"/>
        </w:rPr>
        <w:t>16,612</w:t>
      </w:r>
      <w:r w:rsidR="00B52BF4" w:rsidRPr="004F0F09">
        <w:rPr>
          <w:rFonts w:ascii="Palatino Linotype" w:eastAsia="Batang" w:hAnsi="Palatino Linotype" w:cs="Tahoma"/>
          <w:b/>
          <w:lang w:val="es-ES_tradnl"/>
        </w:rPr>
        <w:t xml:space="preserve"> hojas</w:t>
      </w:r>
      <w:r w:rsidR="00B52BF4">
        <w:rPr>
          <w:rFonts w:ascii="Palatino Linotype" w:eastAsia="Batang" w:hAnsi="Palatino Linotype" w:cs="Tahoma"/>
          <w:bCs/>
          <w:lang w:val="es-ES_tradnl"/>
        </w:rPr>
        <w:t xml:space="preserve"> (</w:t>
      </w:r>
      <w:r>
        <w:rPr>
          <w:rFonts w:ascii="Palatino Linotype" w:eastAsia="Batang" w:hAnsi="Palatino Linotype" w:cs="Tahoma"/>
          <w:bCs/>
          <w:lang w:val="es-ES_tradnl"/>
        </w:rPr>
        <w:t>dieciséis mil seiscientos doce</w:t>
      </w:r>
      <w:r w:rsidR="00B52BF4">
        <w:rPr>
          <w:rFonts w:ascii="Palatino Linotype" w:eastAsia="Batang" w:hAnsi="Palatino Linotype" w:cs="Tahoma"/>
          <w:bCs/>
          <w:lang w:val="es-ES_tradnl"/>
        </w:rPr>
        <w:t xml:space="preserve"> hojas) </w:t>
      </w:r>
      <w:r>
        <w:rPr>
          <w:rFonts w:ascii="Palatino Linotype" w:eastAsia="Batang" w:hAnsi="Palatino Linotype" w:cs="Tahoma"/>
          <w:bCs/>
          <w:lang w:val="es-ES_tradnl"/>
        </w:rPr>
        <w:t>ello únicamente de ocho áreas</w:t>
      </w:r>
      <w:r w:rsidR="00B52BF4">
        <w:rPr>
          <w:rFonts w:ascii="Palatino Linotype" w:eastAsia="Batang" w:hAnsi="Palatino Linotype" w:cs="Tahoma"/>
          <w:bCs/>
          <w:lang w:val="es-ES_tradnl"/>
        </w:rPr>
        <w:t xml:space="preserve">; </w:t>
      </w:r>
      <w:r>
        <w:rPr>
          <w:rFonts w:ascii="Palatino Linotype" w:eastAsia="Batang" w:hAnsi="Palatino Linotype" w:cs="Tahoma"/>
          <w:bCs/>
          <w:lang w:val="es-ES_tradnl"/>
        </w:rPr>
        <w:t xml:space="preserve">sin considerar el resto de </w:t>
      </w:r>
      <w:r w:rsidR="004F0F09">
        <w:rPr>
          <w:rFonts w:ascii="Palatino Linotype" w:eastAsia="Batang" w:hAnsi="Palatino Linotype" w:cs="Tahoma"/>
          <w:bCs/>
          <w:lang w:val="es-ES_tradnl"/>
        </w:rPr>
        <w:t>las áreas</w:t>
      </w:r>
      <w:r>
        <w:rPr>
          <w:rFonts w:ascii="Palatino Linotype" w:eastAsia="Batang" w:hAnsi="Palatino Linotype" w:cs="Tahoma"/>
          <w:bCs/>
          <w:lang w:val="es-ES_tradnl"/>
        </w:rPr>
        <w:t xml:space="preserve"> cuyos oficios también fueron ordenados.</w:t>
      </w:r>
    </w:p>
    <w:p w14:paraId="1C23594A" w14:textId="77777777" w:rsidR="00B52BF4" w:rsidRDefault="00B52BF4" w:rsidP="00D17DA1">
      <w:pPr>
        <w:spacing w:after="0" w:line="360" w:lineRule="auto"/>
        <w:ind w:right="-93"/>
        <w:jc w:val="both"/>
        <w:rPr>
          <w:rFonts w:ascii="Palatino Linotype" w:hAnsi="Palatino Linotype"/>
        </w:rPr>
      </w:pPr>
    </w:p>
    <w:p w14:paraId="5B0FD85C" w14:textId="33FE6720" w:rsidR="00804696" w:rsidRDefault="00D96C42" w:rsidP="00D17DA1">
      <w:pPr>
        <w:spacing w:after="0" w:line="360" w:lineRule="auto"/>
        <w:ind w:right="-93"/>
        <w:jc w:val="both"/>
        <w:rPr>
          <w:rFonts w:ascii="Palatino Linotype" w:eastAsia="Batang" w:hAnsi="Palatino Linotype" w:cs="Tahoma"/>
          <w:bCs/>
          <w:lang w:val="es-ES_tradnl"/>
        </w:rPr>
      </w:pPr>
      <w:r>
        <w:rPr>
          <w:rFonts w:ascii="Palatino Linotype" w:hAnsi="Palatino Linotype"/>
        </w:rPr>
        <w:t xml:space="preserve">En este contexto, se debe tomar en consideración que en diversos precedentes, la </w:t>
      </w:r>
      <w:r w:rsidR="00804696">
        <w:rPr>
          <w:rFonts w:ascii="Palatino Linotype" w:hAnsi="Palatino Linotype"/>
        </w:rPr>
        <w:t xml:space="preserve">Dirección General de Informática, </w:t>
      </w:r>
      <w:r w:rsidR="004F0F09">
        <w:rPr>
          <w:rFonts w:ascii="Palatino Linotype" w:hAnsi="Palatino Linotype"/>
        </w:rPr>
        <w:t xml:space="preserve">ha </w:t>
      </w:r>
      <w:r>
        <w:rPr>
          <w:rFonts w:ascii="Palatino Linotype" w:hAnsi="Palatino Linotype"/>
        </w:rPr>
        <w:t>señal</w:t>
      </w:r>
      <w:r w:rsidR="004F0F09">
        <w:rPr>
          <w:rFonts w:ascii="Palatino Linotype" w:hAnsi="Palatino Linotype"/>
        </w:rPr>
        <w:t>ado</w:t>
      </w:r>
      <w:r>
        <w:rPr>
          <w:rFonts w:ascii="Palatino Linotype" w:hAnsi="Palatino Linotype"/>
        </w:rPr>
        <w:t xml:space="preserve"> </w:t>
      </w:r>
      <w:r w:rsidR="00804696">
        <w:rPr>
          <w:rFonts w:ascii="Palatino Linotype" w:eastAsia="Batang" w:hAnsi="Palatino Linotype" w:cs="Tahoma"/>
          <w:bCs/>
          <w:lang w:val="es-ES_tradnl"/>
        </w:rPr>
        <w:t xml:space="preserve">expresamente que el </w:t>
      </w:r>
      <w:r w:rsidRPr="00D96C42">
        <w:rPr>
          <w:rFonts w:ascii="Palatino Linotype" w:eastAsia="Batang" w:hAnsi="Palatino Linotype" w:cs="Tahoma"/>
          <w:bCs/>
        </w:rPr>
        <w:t>Sistema de Acceso a la I</w:t>
      </w:r>
      <w:r>
        <w:rPr>
          <w:rFonts w:ascii="Palatino Linotype" w:eastAsia="Batang" w:hAnsi="Palatino Linotype" w:cs="Tahoma"/>
          <w:bCs/>
        </w:rPr>
        <w:t>nformación Mexiquense (SAIMEX),</w:t>
      </w:r>
      <w:r w:rsidR="00804696">
        <w:rPr>
          <w:rFonts w:ascii="Palatino Linotype" w:eastAsia="Batang" w:hAnsi="Palatino Linotype" w:cs="Tahoma"/>
          <w:bCs/>
          <w:lang w:val="es-ES_tradnl"/>
        </w:rPr>
        <w:t xml:space="preserve"> soporta un máximo de hasta 8,000 hojas (ocho mil hojas).</w:t>
      </w:r>
      <w:r w:rsidR="004F0F09">
        <w:rPr>
          <w:rFonts w:ascii="Palatino Linotype" w:eastAsia="Batang" w:hAnsi="Palatino Linotype" w:cs="Tahoma"/>
          <w:bCs/>
          <w:lang w:val="es-ES_tradnl"/>
        </w:rPr>
        <w:t xml:space="preserve"> </w:t>
      </w:r>
      <w:r w:rsidR="00804696">
        <w:rPr>
          <w:rFonts w:ascii="Palatino Linotype" w:eastAsia="Batang" w:hAnsi="Palatino Linotype" w:cs="Tahoma"/>
          <w:bCs/>
          <w:lang w:val="es-ES_tradnl"/>
        </w:rPr>
        <w:t xml:space="preserve">En este sentido, se debió tomar en consideración que el Sujeto Obligado ya manifestó que la información solicitada asciende a un total superior a las </w:t>
      </w:r>
      <w:r>
        <w:rPr>
          <w:rFonts w:ascii="Palatino Linotype" w:eastAsia="Batang" w:hAnsi="Palatino Linotype" w:cs="Tahoma"/>
          <w:bCs/>
          <w:lang w:val="es-ES_tradnl"/>
        </w:rPr>
        <w:t>16,000 hojas</w:t>
      </w:r>
      <w:r w:rsidR="00804696">
        <w:rPr>
          <w:rFonts w:ascii="Palatino Linotype" w:eastAsia="Batang" w:hAnsi="Palatino Linotype" w:cs="Tahoma"/>
          <w:bCs/>
          <w:lang w:val="es-ES_tradnl"/>
        </w:rPr>
        <w:t xml:space="preserve">, es decir, </w:t>
      </w:r>
      <w:r>
        <w:rPr>
          <w:rFonts w:ascii="Palatino Linotype" w:eastAsia="Batang" w:hAnsi="Palatino Linotype" w:cs="Tahoma"/>
          <w:bCs/>
          <w:lang w:val="es-ES_tradnl"/>
        </w:rPr>
        <w:t xml:space="preserve">una cantidad de </w:t>
      </w:r>
      <w:r w:rsidR="00804696">
        <w:rPr>
          <w:rFonts w:ascii="Palatino Linotype" w:eastAsia="Batang" w:hAnsi="Palatino Linotype" w:cs="Tahoma"/>
          <w:bCs/>
          <w:lang w:val="es-ES_tradnl"/>
        </w:rPr>
        <w:t xml:space="preserve">hojas por encima de lo que soporta el </w:t>
      </w:r>
      <w:r w:rsidR="00804696" w:rsidRPr="00804696">
        <w:rPr>
          <w:rFonts w:ascii="Palatino Linotype" w:eastAsia="Batang" w:hAnsi="Palatino Linotype" w:cs="Tahoma"/>
          <w:bCs/>
          <w:lang w:val="es-ES_tradnl"/>
        </w:rPr>
        <w:t>Sistema de Acceso a la Información Mexiquense (SAIMEX)</w:t>
      </w:r>
      <w:r w:rsidR="00804696">
        <w:rPr>
          <w:rFonts w:ascii="Palatino Linotype" w:eastAsia="Batang" w:hAnsi="Palatino Linotype" w:cs="Tahoma"/>
          <w:bCs/>
          <w:lang w:val="es-ES_tradnl"/>
        </w:rPr>
        <w:t xml:space="preserve">, por tanto, se debió considerar la posibilidad de acreditar una imposibilidad </w:t>
      </w:r>
      <w:r w:rsidR="00804696">
        <w:rPr>
          <w:rFonts w:ascii="Palatino Linotype" w:eastAsia="Batang" w:hAnsi="Palatino Linotype" w:cs="Tahoma"/>
          <w:bCs/>
          <w:lang w:val="es-ES_tradnl"/>
        </w:rPr>
        <w:lastRenderedPageBreak/>
        <w:t>técnica por parte del Sujeto Obligado para realizar la entrega en la moda</w:t>
      </w:r>
      <w:r>
        <w:rPr>
          <w:rFonts w:ascii="Palatino Linotype" w:eastAsia="Batang" w:hAnsi="Palatino Linotype" w:cs="Tahoma"/>
          <w:bCs/>
          <w:lang w:val="es-ES_tradnl"/>
        </w:rPr>
        <w:t>lidad elegida por el Particular;</w:t>
      </w:r>
      <w:r w:rsidR="00804696">
        <w:rPr>
          <w:rFonts w:ascii="Palatino Linotype" w:eastAsia="Batang" w:hAnsi="Palatino Linotype" w:cs="Tahoma"/>
          <w:bCs/>
          <w:lang w:val="es-ES_tradnl"/>
        </w:rPr>
        <w:t xml:space="preserve"> </w:t>
      </w:r>
      <w:r w:rsidR="004F0F09">
        <w:rPr>
          <w:rFonts w:ascii="Palatino Linotype" w:eastAsia="Batang" w:hAnsi="Palatino Linotype" w:cs="Tahoma"/>
          <w:bCs/>
          <w:lang w:val="es-ES_tradnl"/>
        </w:rPr>
        <w:t>esto no porque el cambio de modalidad sea un beneficio para el Sujeto Obligado, ni porque, se debe buscar la forma que garantice que el Recurrente tendrá la información y, al ordenarse en una modalidad que sabemos supera las capacidades del Sistema, la consecuencia será que el Particular no tendrá la información.</w:t>
      </w:r>
    </w:p>
    <w:p w14:paraId="5C1AD060" w14:textId="77777777" w:rsidR="00804696" w:rsidRDefault="00804696" w:rsidP="00D17DA1">
      <w:pPr>
        <w:spacing w:after="0" w:line="360" w:lineRule="auto"/>
        <w:ind w:right="-93"/>
        <w:jc w:val="both"/>
        <w:rPr>
          <w:rFonts w:ascii="Palatino Linotype" w:eastAsia="Batang" w:hAnsi="Palatino Linotype" w:cs="Tahoma"/>
          <w:bCs/>
          <w:lang w:val="es-ES_tradnl"/>
        </w:rPr>
      </w:pPr>
    </w:p>
    <w:p w14:paraId="55BD8596" w14:textId="09E138A9" w:rsidR="00D96C42" w:rsidRDefault="00804696" w:rsidP="00D17DA1">
      <w:pPr>
        <w:spacing w:after="0" w:line="360" w:lineRule="auto"/>
        <w:ind w:right="-93"/>
        <w:jc w:val="both"/>
        <w:rPr>
          <w:rFonts w:ascii="Palatino Linotype" w:eastAsia="Batang" w:hAnsi="Palatino Linotype" w:cs="Tahoma"/>
          <w:bCs/>
          <w:lang w:val="es-ES_tradnl"/>
        </w:rPr>
      </w:pPr>
      <w:r>
        <w:rPr>
          <w:rFonts w:ascii="Palatino Linotype" w:eastAsia="Batang" w:hAnsi="Palatino Linotype" w:cs="Tahoma"/>
          <w:bCs/>
          <w:lang w:val="es-ES_tradnl"/>
        </w:rPr>
        <w:t>Lo anterior, ya que si bien la información fue ordenada en la modalidad elegida por el Particular, lo cierto es, que aun cuando el Sujeto Obligado pretenda d</w:t>
      </w:r>
      <w:r w:rsidR="00D96C42">
        <w:rPr>
          <w:rFonts w:ascii="Palatino Linotype" w:eastAsia="Batang" w:hAnsi="Palatino Linotype" w:cs="Tahoma"/>
          <w:bCs/>
          <w:lang w:val="es-ES_tradnl"/>
        </w:rPr>
        <w:t>ar cumplimiento a la resolución</w:t>
      </w:r>
      <w:r>
        <w:rPr>
          <w:rFonts w:ascii="Palatino Linotype" w:eastAsia="Batang" w:hAnsi="Palatino Linotype" w:cs="Tahoma"/>
          <w:bCs/>
          <w:lang w:val="es-ES_tradnl"/>
        </w:rPr>
        <w:t>, enfrentar</w:t>
      </w:r>
      <w:r w:rsidR="004F0F09">
        <w:rPr>
          <w:rFonts w:ascii="Palatino Linotype" w:eastAsia="Batang" w:hAnsi="Palatino Linotype" w:cs="Tahoma"/>
          <w:bCs/>
          <w:lang w:val="es-ES_tradnl"/>
        </w:rPr>
        <w:t>á</w:t>
      </w:r>
      <w:r>
        <w:rPr>
          <w:rFonts w:ascii="Palatino Linotype" w:eastAsia="Batang" w:hAnsi="Palatino Linotype" w:cs="Tahoma"/>
          <w:bCs/>
          <w:lang w:val="es-ES_tradnl"/>
        </w:rPr>
        <w:t xml:space="preserve"> una imposibilidad técnica, pues la información rebaza la cantidad máxima que el </w:t>
      </w:r>
      <w:r w:rsidRPr="00804696">
        <w:rPr>
          <w:rFonts w:ascii="Palatino Linotype" w:eastAsia="Batang" w:hAnsi="Palatino Linotype" w:cs="Tahoma"/>
          <w:bCs/>
          <w:lang w:val="es-ES_tradnl"/>
        </w:rPr>
        <w:t>Sistema de Acceso a la Información Mexiquense (SAIMEX)</w:t>
      </w:r>
      <w:r>
        <w:rPr>
          <w:rFonts w:ascii="Palatino Linotype" w:eastAsia="Batang" w:hAnsi="Palatino Linotype" w:cs="Tahoma"/>
          <w:bCs/>
          <w:lang w:val="es-ES_tradnl"/>
        </w:rPr>
        <w:t xml:space="preserve"> soporta.</w:t>
      </w:r>
    </w:p>
    <w:p w14:paraId="3081BBBB" w14:textId="77777777" w:rsidR="00D96C42" w:rsidRDefault="00D96C42" w:rsidP="00D17DA1">
      <w:pPr>
        <w:spacing w:after="0" w:line="360" w:lineRule="auto"/>
        <w:ind w:right="-93"/>
        <w:jc w:val="both"/>
        <w:rPr>
          <w:rFonts w:ascii="Palatino Linotype" w:eastAsia="Batang" w:hAnsi="Palatino Linotype" w:cs="Tahoma"/>
          <w:bCs/>
          <w:lang w:val="es-ES_tradnl"/>
        </w:rPr>
      </w:pPr>
    </w:p>
    <w:p w14:paraId="2BF79FE4" w14:textId="7A62E5ED" w:rsidR="00D96C42" w:rsidRDefault="00D96C42" w:rsidP="00D96C42">
      <w:pPr>
        <w:pStyle w:val="Prrafodelista"/>
        <w:numPr>
          <w:ilvl w:val="0"/>
          <w:numId w:val="26"/>
        </w:numPr>
        <w:spacing w:after="0" w:line="360" w:lineRule="auto"/>
        <w:ind w:right="-93"/>
        <w:jc w:val="both"/>
        <w:rPr>
          <w:rFonts w:ascii="Palatino Linotype" w:hAnsi="Palatino Linotype"/>
          <w:b/>
        </w:rPr>
      </w:pPr>
      <w:r>
        <w:rPr>
          <w:rFonts w:ascii="Palatino Linotype" w:hAnsi="Palatino Linotype"/>
          <w:b/>
        </w:rPr>
        <w:t>De la posibilidad de la reserva de información en salvedad.</w:t>
      </w:r>
    </w:p>
    <w:p w14:paraId="3AA68233" w14:textId="77777777" w:rsidR="00E3505B" w:rsidRDefault="00E3505B" w:rsidP="00E3505B">
      <w:pPr>
        <w:spacing w:after="0" w:line="360" w:lineRule="auto"/>
        <w:ind w:right="-93"/>
        <w:jc w:val="both"/>
        <w:rPr>
          <w:rFonts w:ascii="Palatino Linotype" w:hAnsi="Palatino Linotype"/>
          <w:b/>
        </w:rPr>
      </w:pPr>
    </w:p>
    <w:p w14:paraId="3D07A945" w14:textId="5B3C27BB" w:rsidR="00E3505B" w:rsidRDefault="00E3505B" w:rsidP="00E3505B">
      <w:pPr>
        <w:spacing w:after="0" w:line="360" w:lineRule="auto"/>
        <w:ind w:right="49"/>
        <w:jc w:val="both"/>
        <w:rPr>
          <w:rFonts w:ascii="Palatino Linotype" w:hAnsi="Palatino Linotype" w:cs="Tahoma"/>
        </w:rPr>
      </w:pPr>
      <w:r>
        <w:rPr>
          <w:rFonts w:ascii="Palatino Linotype" w:hAnsi="Palatino Linotype" w:cs="Tahoma"/>
        </w:rPr>
        <w:t>Sobre la posibilidad de la reserva de la información que se dejó en salvedad, consider</w:t>
      </w:r>
      <w:r w:rsidR="004F0F09">
        <w:rPr>
          <w:rFonts w:ascii="Palatino Linotype" w:hAnsi="Palatino Linotype" w:cs="Tahoma"/>
        </w:rPr>
        <w:t>o</w:t>
      </w:r>
      <w:r>
        <w:rPr>
          <w:rFonts w:ascii="Palatino Linotype" w:hAnsi="Palatino Linotype" w:cs="Tahoma"/>
        </w:rPr>
        <w:t xml:space="preserve"> indispensable resaltar que en las resoluciones que emite este Pleno, se debe analizar</w:t>
      </w:r>
      <w:r w:rsidR="006358BD">
        <w:rPr>
          <w:rFonts w:ascii="Palatino Linotype" w:hAnsi="Palatino Linotype" w:cs="Tahoma"/>
        </w:rPr>
        <w:t xml:space="preserve"> la reserva de información</w:t>
      </w:r>
      <w:r>
        <w:rPr>
          <w:rFonts w:ascii="Palatino Linotype" w:hAnsi="Palatino Linotype" w:cs="Tahoma"/>
        </w:rPr>
        <w:t xml:space="preserve"> de forma tal, que se plantee en el estudio la prueba de daño que permita a este Organismo Garante confirmar que la entrega de la información causa un daño al interés público, y que en ese caso, prevalece frente al derecho de acceso a la información de un Particular.</w:t>
      </w:r>
    </w:p>
    <w:p w14:paraId="69F5A231" w14:textId="77777777" w:rsidR="00E3505B" w:rsidRDefault="00E3505B" w:rsidP="00E3505B">
      <w:pPr>
        <w:spacing w:after="0" w:line="360" w:lineRule="auto"/>
        <w:ind w:right="49"/>
        <w:jc w:val="both"/>
        <w:rPr>
          <w:rFonts w:ascii="Palatino Linotype" w:hAnsi="Palatino Linotype" w:cs="Tahoma"/>
        </w:rPr>
      </w:pPr>
    </w:p>
    <w:p w14:paraId="0F5C21BF" w14:textId="77777777" w:rsidR="00E3505B" w:rsidRDefault="00E3505B" w:rsidP="00E3505B">
      <w:pPr>
        <w:spacing w:after="0" w:line="360" w:lineRule="auto"/>
        <w:ind w:right="49"/>
        <w:jc w:val="both"/>
        <w:rPr>
          <w:rFonts w:ascii="Palatino Linotype" w:hAnsi="Palatino Linotype" w:cs="Tahoma"/>
        </w:rPr>
      </w:pPr>
      <w:r>
        <w:rPr>
          <w:rFonts w:ascii="Palatino Linotype" w:hAnsi="Palatino Linotype" w:cs="Tahoma"/>
        </w:rPr>
        <w:t xml:space="preserve">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5031CA62" w14:textId="77777777" w:rsidR="00E3505B" w:rsidRDefault="00E3505B" w:rsidP="00E3505B">
      <w:pPr>
        <w:spacing w:after="0" w:line="360" w:lineRule="auto"/>
        <w:ind w:right="49"/>
        <w:jc w:val="both"/>
        <w:rPr>
          <w:rFonts w:ascii="Palatino Linotype" w:hAnsi="Palatino Linotype" w:cs="Tahoma"/>
        </w:rPr>
      </w:pPr>
      <w:r>
        <w:rPr>
          <w:rFonts w:ascii="Palatino Linotype" w:hAnsi="Palatino Linotype" w:cs="Tahoma"/>
        </w:rPr>
        <w:lastRenderedPageBreak/>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algún </w:t>
      </w:r>
      <w:r w:rsidRPr="00976B1D">
        <w:rPr>
          <w:rFonts w:ascii="Palatino Linotype" w:hAnsi="Palatino Linotype" w:cs="Tahoma"/>
        </w:rPr>
        <w:t>supuesto de reserva del artículo 140</w:t>
      </w:r>
      <w:r>
        <w:rPr>
          <w:rFonts w:ascii="Palatino Linotype" w:hAnsi="Palatino Linotype" w:cs="Tahoma"/>
        </w:rPr>
        <w:t xml:space="preserve"> </w:t>
      </w:r>
      <w:r w:rsidRPr="00976B1D">
        <w:rPr>
          <w:rFonts w:ascii="Palatino Linotype" w:hAnsi="Palatino Linotype" w:cs="Tahoma"/>
        </w:rPr>
        <w:t>de la Ley de Transparencia de nuestra Entidad.</w:t>
      </w:r>
    </w:p>
    <w:p w14:paraId="212E019F" w14:textId="77777777" w:rsidR="00E3505B" w:rsidRPr="008B7FC0" w:rsidRDefault="00E3505B" w:rsidP="00E3505B">
      <w:pPr>
        <w:spacing w:after="0" w:line="360" w:lineRule="auto"/>
        <w:ind w:right="49"/>
        <w:jc w:val="both"/>
        <w:rPr>
          <w:rFonts w:ascii="Palatino Linotype" w:hAnsi="Palatino Linotype" w:cs="Tahoma"/>
        </w:rPr>
      </w:pPr>
    </w:p>
    <w:p w14:paraId="7D00F970" w14:textId="77777777" w:rsidR="00E3505B" w:rsidRPr="00885189" w:rsidRDefault="00E3505B" w:rsidP="00E3505B">
      <w:pPr>
        <w:spacing w:after="0" w:line="360" w:lineRule="auto"/>
        <w:ind w:right="49"/>
        <w:jc w:val="both"/>
        <w:rPr>
          <w:rFonts w:ascii="Palatino Linotype" w:hAnsi="Palatino Linotype" w:cs="Tahoma"/>
        </w:rPr>
      </w:pPr>
      <w:r>
        <w:rPr>
          <w:rFonts w:ascii="Palatino Linotype" w:hAnsi="Palatino Linotype" w:cs="Arial"/>
        </w:rPr>
        <w:t xml:space="preserve">Por lo que, nuestra labor es advertir que existen elementos suficientes para que, en cada recurso de revisión que se analice, se acredite la respectiva prueba de daño; </w:t>
      </w:r>
      <w:r w:rsidRPr="00976B1D">
        <w:rPr>
          <w:rFonts w:ascii="Palatino Linotype" w:hAnsi="Palatino Linotype" w:cs="Tahoma"/>
        </w:rPr>
        <w:t>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96E453C" w14:textId="77777777" w:rsidR="00E3505B" w:rsidRDefault="00E3505B" w:rsidP="00E3505B">
      <w:pPr>
        <w:spacing w:after="0" w:line="360" w:lineRule="auto"/>
        <w:ind w:right="49"/>
        <w:jc w:val="both"/>
        <w:rPr>
          <w:rFonts w:ascii="Palatino Linotype" w:hAnsi="Palatino Linotype" w:cs="Tahoma"/>
        </w:rPr>
      </w:pPr>
    </w:p>
    <w:p w14:paraId="0662D8E8" w14:textId="77777777" w:rsidR="00E3505B" w:rsidRDefault="00E3505B" w:rsidP="00E3505B">
      <w:pPr>
        <w:spacing w:after="0" w:line="360" w:lineRule="auto"/>
        <w:ind w:right="49"/>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w:t>
      </w:r>
    </w:p>
    <w:p w14:paraId="1927E20C" w14:textId="77777777" w:rsidR="00E3505B" w:rsidRDefault="00E3505B" w:rsidP="00E3505B">
      <w:pPr>
        <w:spacing w:after="0" w:line="360" w:lineRule="auto"/>
        <w:ind w:right="49"/>
        <w:jc w:val="both"/>
        <w:rPr>
          <w:rFonts w:ascii="Palatino Linotype" w:hAnsi="Palatino Linotype" w:cs="Tahoma"/>
        </w:rPr>
      </w:pPr>
    </w:p>
    <w:p w14:paraId="2A17AED1" w14:textId="77777777" w:rsidR="00E3505B" w:rsidRPr="00885189" w:rsidRDefault="00E3505B" w:rsidP="00E3505B">
      <w:pPr>
        <w:spacing w:after="0" w:line="360" w:lineRule="auto"/>
        <w:ind w:right="49"/>
        <w:jc w:val="both"/>
        <w:rPr>
          <w:rFonts w:ascii="Palatino Linotype" w:hAnsi="Palatino Linotype" w:cs="Tahoma"/>
        </w:rPr>
      </w:pPr>
      <w:r w:rsidRPr="00885189">
        <w:rPr>
          <w:rFonts w:ascii="Palatino Linotype" w:hAnsi="Palatino Linotype" w:cs="Tahoma"/>
        </w:rPr>
        <w:t xml:space="preserve">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99A5433" w14:textId="77777777" w:rsidR="00E3505B" w:rsidRPr="00885189" w:rsidRDefault="00E3505B" w:rsidP="00E3505B">
      <w:pPr>
        <w:spacing w:after="0" w:line="360" w:lineRule="auto"/>
        <w:ind w:right="49"/>
        <w:jc w:val="both"/>
        <w:rPr>
          <w:rFonts w:ascii="Palatino Linotype" w:hAnsi="Palatino Linotype" w:cs="Tahoma"/>
        </w:rPr>
      </w:pPr>
    </w:p>
    <w:p w14:paraId="72298FBA" w14:textId="252E673F" w:rsidR="00E3505B" w:rsidRDefault="00E3505B" w:rsidP="00E3505B">
      <w:pPr>
        <w:spacing w:after="0" w:line="360" w:lineRule="auto"/>
        <w:ind w:right="49"/>
        <w:jc w:val="both"/>
        <w:rPr>
          <w:rFonts w:ascii="Palatino Linotype" w:hAnsi="Palatino Linotype" w:cs="Tahoma"/>
        </w:rPr>
      </w:pPr>
      <w:r w:rsidRPr="00885189">
        <w:rPr>
          <w:rFonts w:ascii="Palatino Linotype" w:hAnsi="Palatino Linotype" w:cs="Tahoma"/>
        </w:rPr>
        <w:lastRenderedPageBreak/>
        <w:t>Bajo esa lógica, estimo que en el presente caso,</w:t>
      </w:r>
      <w:r>
        <w:rPr>
          <w:rFonts w:ascii="Palatino Linotype" w:hAnsi="Palatino Linotype" w:cs="Tahoma"/>
        </w:rPr>
        <w:t xml:space="preserve"> resultaba fundamental allegarse de mayores elementos que concluyeran en conocer el sustento documental del proyecto, a fin de determinar si se encuentra en un supuesto de reserva de información y entonces, emitir un fallo concluyente que señale si la información era reservada o no y que, en caso de serlo, se efectuara un e</w:t>
      </w:r>
      <w:r w:rsidRPr="00885189">
        <w:rPr>
          <w:rFonts w:ascii="Palatino Linotype" w:hAnsi="Palatino Linotype" w:cs="Tahoma"/>
        </w:rPr>
        <w:t>studio de clasificación a la luz de los elementos que exigen los Lineamientos generales en materia de clasificación y desclasificación de la información, así como para la elaboración de versiones públicas.</w:t>
      </w:r>
    </w:p>
    <w:p w14:paraId="3F7BB5ED" w14:textId="77777777" w:rsidR="00E3505B" w:rsidRPr="00885189" w:rsidRDefault="00E3505B" w:rsidP="00E3505B">
      <w:pPr>
        <w:spacing w:after="0" w:line="360" w:lineRule="auto"/>
        <w:ind w:right="49"/>
        <w:jc w:val="both"/>
        <w:rPr>
          <w:rFonts w:ascii="Palatino Linotype" w:hAnsi="Palatino Linotype" w:cs="Tahoma"/>
        </w:rPr>
      </w:pPr>
    </w:p>
    <w:p w14:paraId="07FF198C" w14:textId="06D3503F" w:rsidR="00E3505B" w:rsidRDefault="00E3505B" w:rsidP="00E3505B">
      <w:pPr>
        <w:spacing w:after="0" w:line="360" w:lineRule="auto"/>
        <w:ind w:right="49"/>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w:t>
      </w:r>
      <w:r>
        <w:rPr>
          <w:rFonts w:ascii="Palatino Linotype" w:hAnsi="Palatino Linotype" w:cs="Tahoma"/>
        </w:rPr>
        <w:t xml:space="preserve"> personales, garantiza que los P</w:t>
      </w:r>
      <w:r w:rsidRPr="00885189">
        <w:rPr>
          <w:rFonts w:ascii="Palatino Linotype" w:hAnsi="Palatino Linotype" w:cs="Tahoma"/>
        </w:rPr>
        <w:t>articulares puedan ejercer sus derechos y ser partícipes de la vida democrática de nuestro E</w:t>
      </w:r>
      <w:r>
        <w:rPr>
          <w:rFonts w:ascii="Palatino Linotype" w:hAnsi="Palatino Linotype" w:cs="Tahoma"/>
        </w:rPr>
        <w:t xml:space="preserve">stado y nuestro país, de lo contrario se corre el riesgo de que el Sujeto Obligado realice una clasificación incorrecta de la información. </w:t>
      </w:r>
    </w:p>
    <w:p w14:paraId="6083B82B" w14:textId="77777777" w:rsidR="00E3505B" w:rsidRDefault="00E3505B" w:rsidP="00E3505B">
      <w:pPr>
        <w:spacing w:after="0" w:line="360" w:lineRule="auto"/>
        <w:ind w:right="49"/>
        <w:jc w:val="both"/>
        <w:rPr>
          <w:rFonts w:ascii="Palatino Linotype" w:hAnsi="Palatino Linotype" w:cs="Tahoma"/>
        </w:rPr>
      </w:pPr>
    </w:p>
    <w:p w14:paraId="383D3F2F" w14:textId="77777777" w:rsidR="00E3505B" w:rsidRPr="00885189" w:rsidRDefault="00E3505B" w:rsidP="00E3505B">
      <w:pPr>
        <w:spacing w:after="0" w:line="360" w:lineRule="auto"/>
        <w:ind w:right="49"/>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20ADC7B1" w14:textId="77777777" w:rsidR="00E3505B" w:rsidRDefault="00E3505B" w:rsidP="00E3505B">
      <w:pPr>
        <w:spacing w:after="0" w:line="360" w:lineRule="auto"/>
        <w:ind w:right="49"/>
        <w:jc w:val="both"/>
        <w:rPr>
          <w:rFonts w:ascii="Palatino Linotype" w:hAnsi="Palatino Linotype" w:cs="Tahoma"/>
        </w:rPr>
      </w:pPr>
    </w:p>
    <w:p w14:paraId="45D28E11" w14:textId="77777777" w:rsidR="00E3505B" w:rsidRDefault="00E3505B" w:rsidP="00E3505B">
      <w:pPr>
        <w:spacing w:after="0" w:line="360" w:lineRule="auto"/>
        <w:ind w:right="49"/>
        <w:jc w:val="both"/>
        <w:rPr>
          <w:rFonts w:ascii="Palatino Linotype" w:hAnsi="Palatino Linotype" w:cs="Tahoma"/>
        </w:rPr>
      </w:pPr>
      <w:r>
        <w:rPr>
          <w:rFonts w:ascii="Palatino Linotype" w:hAnsi="Palatino Linotype" w:cs="Tahoma"/>
        </w:rPr>
        <w:t xml:space="preserve">Así pues, las resoluciones emitidas por este Organismo Garante deben ser congruentes, exhaustivas y concretas, ya que el aportar un fallo que determine una consecuencia cierta, aporta certidumbre al Particular sobre la procedencia o no del ejercicio de su derecho; por lo que resulta fundamental que se llegue a una conclusión indubitable, que implique la certeza de las consecuencias y que aporte a los Recurrentes la concreción necesaria sobre sus pretensiones y los argumentos que le permitan comprender a cabalidad la procedencia </w:t>
      </w:r>
      <w:r>
        <w:rPr>
          <w:rFonts w:ascii="Palatino Linotype" w:hAnsi="Palatino Linotype" w:cs="Tahoma"/>
        </w:rPr>
        <w:lastRenderedPageBreak/>
        <w:t>o improcedencia de su derecho y al Sujeto Obligado se le proporcione luz sobre la naturaleza de la información solicitada a fin de garantizar debidamente el derecho de Acceso a la Información Pública.</w:t>
      </w:r>
    </w:p>
    <w:p w14:paraId="395B8A08" w14:textId="77777777" w:rsidR="004E5CA5" w:rsidRPr="004E5CA5" w:rsidRDefault="004E5CA5" w:rsidP="004E5CA5">
      <w:pPr>
        <w:spacing w:after="0" w:line="360" w:lineRule="auto"/>
        <w:jc w:val="both"/>
        <w:rPr>
          <w:rFonts w:ascii="Palatino Linotype" w:eastAsia="Calibri" w:hAnsi="Palatino Linotype" w:cs="Times New Roman"/>
        </w:rPr>
      </w:pPr>
    </w:p>
    <w:p w14:paraId="37716E85" w14:textId="1B7F1CF4" w:rsidR="00E81338" w:rsidRPr="004536B0" w:rsidRDefault="00284D7A" w:rsidP="00E81338">
      <w:pPr>
        <w:spacing w:after="0" w:line="360" w:lineRule="auto"/>
        <w:jc w:val="both"/>
        <w:rPr>
          <w:rFonts w:ascii="Palatino Linotype" w:hAnsi="Palatino Linotype" w:cs="Tahoma"/>
        </w:rPr>
      </w:pPr>
      <w:r>
        <w:rPr>
          <w:rFonts w:ascii="Palatino Linotype" w:hAnsi="Palatino Linotype" w:cs="Tahoma"/>
        </w:rPr>
        <w:t>A</w:t>
      </w:r>
      <w:r w:rsidR="00E81338" w:rsidRPr="004536B0">
        <w:rPr>
          <w:rFonts w:ascii="Palatino Linotype" w:hAnsi="Palatino Linotype" w:cs="Tahoma"/>
        </w:rPr>
        <w:t xml:space="preserve">sí, con base en los razonamientos expuestos, </w:t>
      </w:r>
      <w:r w:rsidR="00E81338" w:rsidRPr="00804696">
        <w:rPr>
          <w:rFonts w:ascii="Palatino Linotype" w:hAnsi="Palatino Linotype" w:cs="Tahoma"/>
          <w:b/>
        </w:rPr>
        <w:t xml:space="preserve">se emite el Presente Voto </w:t>
      </w:r>
      <w:r w:rsidR="00F2485B" w:rsidRPr="00804696">
        <w:rPr>
          <w:rFonts w:ascii="Palatino Linotype" w:hAnsi="Palatino Linotype" w:cs="Tahoma"/>
          <w:b/>
        </w:rPr>
        <w:t>Particular</w:t>
      </w:r>
      <w:r w:rsidR="00E81338" w:rsidRPr="004536B0">
        <w:rPr>
          <w:rFonts w:ascii="Palatino Linotype" w:hAnsi="Palatino Linotype" w:cs="Tahoma"/>
        </w:rPr>
        <w:t>.</w:t>
      </w:r>
      <w:r w:rsidR="00B77A0C">
        <w:rPr>
          <w:rFonts w:ascii="Palatino Linotype" w:hAnsi="Palatino Linotype" w:cs="Tahoma"/>
        </w:rPr>
        <w:t>---------------------------------------------------------------------------------------------------</w:t>
      </w:r>
      <w:r w:rsidR="00804696">
        <w:rPr>
          <w:rFonts w:ascii="Palatino Linotype" w:hAnsi="Palatino Linotype" w:cs="Tahoma"/>
        </w:rPr>
        <w:t>-------------------------------</w:t>
      </w:r>
    </w:p>
    <w:p w14:paraId="4DF1C657" w14:textId="77777777" w:rsidR="00B77A0C" w:rsidRDefault="00B77A0C" w:rsidP="00E81338">
      <w:pPr>
        <w:spacing w:after="0" w:line="360" w:lineRule="auto"/>
        <w:jc w:val="both"/>
        <w:rPr>
          <w:rFonts w:ascii="Palatino Linotype" w:hAnsi="Palatino Linotype" w:cs="Tahoma"/>
        </w:rPr>
      </w:pPr>
    </w:p>
    <w:p w14:paraId="4F52E680" w14:textId="77777777" w:rsidR="00B77A0C" w:rsidRDefault="00B77A0C" w:rsidP="00E81338">
      <w:pPr>
        <w:spacing w:after="0" w:line="360" w:lineRule="auto"/>
        <w:jc w:val="both"/>
        <w:rPr>
          <w:rFonts w:ascii="Palatino Linotype" w:hAnsi="Palatino Linotype" w:cs="Tahoma"/>
        </w:rPr>
      </w:pPr>
    </w:p>
    <w:p w14:paraId="3A618FBF" w14:textId="77777777" w:rsidR="00B77A0C" w:rsidRDefault="00B77A0C" w:rsidP="00E81338">
      <w:pPr>
        <w:spacing w:after="0" w:line="360" w:lineRule="auto"/>
        <w:jc w:val="both"/>
        <w:rPr>
          <w:rFonts w:ascii="Palatino Linotype" w:hAnsi="Palatino Linotype" w:cs="Tahoma"/>
        </w:rPr>
      </w:pPr>
    </w:p>
    <w:p w14:paraId="4BD464A8" w14:textId="77777777" w:rsidR="00B77A0C" w:rsidRDefault="00B77A0C" w:rsidP="00E81338">
      <w:pPr>
        <w:spacing w:after="0" w:line="360" w:lineRule="auto"/>
        <w:jc w:val="both"/>
        <w:rPr>
          <w:rFonts w:ascii="Palatino Linotype" w:hAnsi="Palatino Linotype" w:cs="Tahoma"/>
        </w:rPr>
      </w:pPr>
    </w:p>
    <w:p w14:paraId="2E266BCE" w14:textId="77777777" w:rsidR="00B77A0C" w:rsidRDefault="00B77A0C" w:rsidP="00E81338">
      <w:pPr>
        <w:spacing w:after="0" w:line="360" w:lineRule="auto"/>
        <w:jc w:val="both"/>
        <w:rPr>
          <w:rFonts w:ascii="Palatino Linotype" w:hAnsi="Palatino Linotype" w:cs="Tahoma"/>
        </w:rPr>
      </w:pPr>
    </w:p>
    <w:p w14:paraId="13029175" w14:textId="77777777" w:rsidR="00B77A0C" w:rsidRDefault="00B77A0C" w:rsidP="00E81338">
      <w:pPr>
        <w:spacing w:after="0" w:line="360" w:lineRule="auto"/>
        <w:jc w:val="both"/>
        <w:rPr>
          <w:rFonts w:ascii="Palatino Linotype" w:hAnsi="Palatino Linotype" w:cs="Tahoma"/>
        </w:rPr>
      </w:pPr>
    </w:p>
    <w:p w14:paraId="64930440" w14:textId="77777777" w:rsidR="00B77A0C" w:rsidRDefault="00B77A0C" w:rsidP="00E81338">
      <w:pPr>
        <w:spacing w:after="0" w:line="360" w:lineRule="auto"/>
        <w:jc w:val="both"/>
        <w:rPr>
          <w:rFonts w:ascii="Palatino Linotype" w:hAnsi="Palatino Linotype" w:cs="Tahoma"/>
        </w:rPr>
      </w:pPr>
    </w:p>
    <w:p w14:paraId="771707C7" w14:textId="77777777" w:rsidR="00B77A0C" w:rsidRDefault="00B77A0C" w:rsidP="00E81338">
      <w:pPr>
        <w:spacing w:after="0" w:line="360" w:lineRule="auto"/>
        <w:jc w:val="both"/>
        <w:rPr>
          <w:rFonts w:ascii="Palatino Linotype" w:hAnsi="Palatino Linotype" w:cs="Tahoma"/>
        </w:rPr>
      </w:pPr>
    </w:p>
    <w:p w14:paraId="49925926" w14:textId="77777777" w:rsidR="00B77A0C" w:rsidRDefault="00B77A0C" w:rsidP="00E81338">
      <w:pPr>
        <w:spacing w:after="0" w:line="360" w:lineRule="auto"/>
        <w:jc w:val="both"/>
        <w:rPr>
          <w:rFonts w:ascii="Palatino Linotype" w:hAnsi="Palatino Linotype" w:cs="Tahoma"/>
        </w:rPr>
      </w:pPr>
    </w:p>
    <w:p w14:paraId="0E72EA63" w14:textId="77777777" w:rsidR="00B77A0C" w:rsidRDefault="00B77A0C" w:rsidP="00E81338">
      <w:pPr>
        <w:spacing w:after="0" w:line="360" w:lineRule="auto"/>
        <w:jc w:val="both"/>
        <w:rPr>
          <w:rFonts w:ascii="Palatino Linotype" w:hAnsi="Palatino Linotype" w:cs="Tahoma"/>
        </w:rPr>
      </w:pPr>
    </w:p>
    <w:p w14:paraId="69969ACC" w14:textId="77777777" w:rsidR="00B77A0C" w:rsidRDefault="00B77A0C" w:rsidP="00E81338">
      <w:pPr>
        <w:spacing w:after="0" w:line="360" w:lineRule="auto"/>
        <w:jc w:val="both"/>
        <w:rPr>
          <w:rFonts w:ascii="Palatino Linotype" w:hAnsi="Palatino Linotype" w:cs="Tahoma"/>
        </w:rPr>
      </w:pPr>
    </w:p>
    <w:p w14:paraId="51BD8536" w14:textId="77777777" w:rsidR="00B77A0C" w:rsidRDefault="00B77A0C" w:rsidP="00E81338">
      <w:pPr>
        <w:spacing w:after="0" w:line="360" w:lineRule="auto"/>
        <w:jc w:val="both"/>
        <w:rPr>
          <w:rFonts w:ascii="Palatino Linotype" w:hAnsi="Palatino Linotype" w:cs="Tahoma"/>
        </w:rPr>
      </w:pPr>
    </w:p>
    <w:p w14:paraId="6EAC412E" w14:textId="77777777" w:rsidR="00B77A0C" w:rsidRDefault="00B77A0C" w:rsidP="00E81338">
      <w:pPr>
        <w:spacing w:after="0" w:line="360" w:lineRule="auto"/>
        <w:jc w:val="both"/>
        <w:rPr>
          <w:rFonts w:ascii="Palatino Linotype" w:hAnsi="Palatino Linotype" w:cs="Tahoma"/>
        </w:rPr>
      </w:pPr>
    </w:p>
    <w:p w14:paraId="614D765F" w14:textId="77777777" w:rsidR="00B77A0C" w:rsidRDefault="00B77A0C" w:rsidP="00E81338">
      <w:pPr>
        <w:spacing w:after="0" w:line="360" w:lineRule="auto"/>
        <w:jc w:val="both"/>
        <w:rPr>
          <w:rFonts w:ascii="Palatino Linotype" w:hAnsi="Palatino Linotype" w:cs="Tahoma"/>
        </w:rPr>
      </w:pPr>
    </w:p>
    <w:p w14:paraId="73C313AB" w14:textId="77777777" w:rsidR="00B77A0C" w:rsidRDefault="00B77A0C" w:rsidP="00E81338">
      <w:pPr>
        <w:spacing w:after="0" w:line="360" w:lineRule="auto"/>
        <w:jc w:val="both"/>
        <w:rPr>
          <w:rFonts w:ascii="Palatino Linotype" w:hAnsi="Palatino Linotype" w:cs="Tahoma"/>
        </w:rPr>
      </w:pPr>
    </w:p>
    <w:p w14:paraId="1DD67C50" w14:textId="77777777" w:rsidR="00B77A0C" w:rsidRDefault="00B77A0C" w:rsidP="00E81338">
      <w:pPr>
        <w:spacing w:after="0" w:line="360" w:lineRule="auto"/>
        <w:jc w:val="both"/>
        <w:rPr>
          <w:rFonts w:ascii="Palatino Linotype" w:hAnsi="Palatino Linotype" w:cs="Tahoma"/>
        </w:rPr>
      </w:pPr>
    </w:p>
    <w:p w14:paraId="486BBFD6" w14:textId="77777777" w:rsidR="00B77A0C" w:rsidRDefault="00B77A0C" w:rsidP="00E81338">
      <w:pPr>
        <w:spacing w:after="0" w:line="360" w:lineRule="auto"/>
        <w:jc w:val="both"/>
        <w:rPr>
          <w:rFonts w:ascii="Palatino Linotype" w:hAnsi="Palatino Linotype" w:cs="Tahoma"/>
        </w:rPr>
      </w:pPr>
    </w:p>
    <w:p w14:paraId="68AB461D" w14:textId="77777777" w:rsidR="00B77A0C" w:rsidRDefault="00B77A0C" w:rsidP="00E81338">
      <w:pPr>
        <w:spacing w:after="0" w:line="360" w:lineRule="auto"/>
        <w:jc w:val="both"/>
        <w:rPr>
          <w:rFonts w:ascii="Palatino Linotype" w:hAnsi="Palatino Linotype" w:cs="Tahoma"/>
        </w:rPr>
      </w:pPr>
    </w:p>
    <w:p w14:paraId="7B42D7E5" w14:textId="77777777" w:rsidR="001D1143" w:rsidRDefault="001D1143" w:rsidP="00E81338">
      <w:pPr>
        <w:spacing w:after="0" w:line="360" w:lineRule="auto"/>
        <w:jc w:val="both"/>
        <w:rPr>
          <w:rFonts w:ascii="Palatino Linotype" w:hAnsi="Palatino Linotype" w:cs="Tahoma"/>
        </w:rPr>
      </w:pPr>
    </w:p>
    <w:p w14:paraId="4E616CEB" w14:textId="77777777" w:rsidR="001D1143" w:rsidRDefault="001D1143" w:rsidP="00E81338">
      <w:pPr>
        <w:spacing w:after="0" w:line="360" w:lineRule="auto"/>
        <w:jc w:val="both"/>
        <w:rPr>
          <w:rFonts w:ascii="Palatino Linotype" w:hAnsi="Palatino Linotype" w:cs="Tahoma"/>
        </w:rPr>
      </w:pPr>
    </w:p>
    <w:p w14:paraId="0A9C4F9D" w14:textId="77777777" w:rsidR="001D1143" w:rsidRDefault="001D1143" w:rsidP="00E81338">
      <w:pPr>
        <w:spacing w:after="0" w:line="360" w:lineRule="auto"/>
        <w:jc w:val="both"/>
        <w:rPr>
          <w:rFonts w:ascii="Palatino Linotype" w:hAnsi="Palatino Linotype" w:cs="Tahoma"/>
        </w:rPr>
      </w:pPr>
    </w:p>
    <w:p w14:paraId="29A6DE27" w14:textId="77777777" w:rsidR="001D1143" w:rsidRDefault="001D1143" w:rsidP="00E81338">
      <w:pPr>
        <w:spacing w:after="0" w:line="360" w:lineRule="auto"/>
        <w:jc w:val="both"/>
        <w:rPr>
          <w:rFonts w:ascii="Palatino Linotype" w:hAnsi="Palatino Linotype" w:cs="Tahoma"/>
        </w:rPr>
      </w:pPr>
    </w:p>
    <w:p w14:paraId="01A546C7" w14:textId="77777777" w:rsidR="001D1143" w:rsidRDefault="001D1143" w:rsidP="00E81338">
      <w:pPr>
        <w:spacing w:after="0" w:line="360" w:lineRule="auto"/>
        <w:jc w:val="both"/>
        <w:rPr>
          <w:rFonts w:ascii="Palatino Linotype" w:hAnsi="Palatino Linotype" w:cs="Tahoma"/>
        </w:rPr>
      </w:pPr>
    </w:p>
    <w:p w14:paraId="3C98F425" w14:textId="77777777" w:rsidR="001D1143" w:rsidRDefault="001D1143" w:rsidP="00E81338">
      <w:pPr>
        <w:spacing w:after="0" w:line="360" w:lineRule="auto"/>
        <w:jc w:val="both"/>
        <w:rPr>
          <w:rFonts w:ascii="Palatino Linotype" w:hAnsi="Palatino Linotype" w:cs="Tahoma"/>
        </w:rPr>
      </w:pPr>
    </w:p>
    <w:p w14:paraId="0DADAA6B" w14:textId="77777777" w:rsidR="00B77A0C" w:rsidRPr="004536B0" w:rsidRDefault="00B77A0C" w:rsidP="00E81338">
      <w:pPr>
        <w:spacing w:after="0" w:line="360" w:lineRule="auto"/>
        <w:jc w:val="both"/>
        <w:rPr>
          <w:rFonts w:ascii="Palatino Linotype" w:hAnsi="Palatino Linotype" w:cs="Tahoma"/>
        </w:rPr>
      </w:pPr>
    </w:p>
    <w:sectPr w:rsidR="00B77A0C" w:rsidRPr="004536B0"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E5541" w14:textId="77777777" w:rsidR="00CE4F2A" w:rsidRDefault="00CE4F2A" w:rsidP="00EE29F6">
      <w:pPr>
        <w:spacing w:after="0" w:line="240" w:lineRule="auto"/>
      </w:pPr>
      <w:r>
        <w:separator/>
      </w:r>
    </w:p>
  </w:endnote>
  <w:endnote w:type="continuationSeparator" w:id="0">
    <w:p w14:paraId="5266DEA4" w14:textId="77777777" w:rsidR="00CE4F2A" w:rsidRDefault="00CE4F2A"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734111"/>
      <w:docPartObj>
        <w:docPartGallery w:val="Page Numbers (Bottom of Page)"/>
        <w:docPartUnique/>
      </w:docPartObj>
    </w:sdtPr>
    <w:sdtEndPr/>
    <w:sdtContent>
      <w:sdt>
        <w:sdtPr>
          <w:id w:val="-1769616900"/>
          <w:docPartObj>
            <w:docPartGallery w:val="Page Numbers (Top of Page)"/>
            <w:docPartUnique/>
          </w:docPartObj>
        </w:sdtPr>
        <w:sdtEndPr/>
        <w:sdtContent>
          <w:p w14:paraId="319ED1D5" w14:textId="42EF5307" w:rsidR="009E55B9" w:rsidRDefault="009E55B9">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307747">
              <w:rPr>
                <w:b/>
                <w:bCs/>
                <w:noProof/>
              </w:rPr>
              <w:t>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07747">
              <w:rPr>
                <w:b/>
                <w:bCs/>
                <w:noProof/>
              </w:rPr>
              <w:t>7</w:t>
            </w:r>
            <w:r>
              <w:rPr>
                <w:b/>
                <w:bCs/>
                <w:sz w:val="24"/>
                <w:szCs w:val="24"/>
              </w:rPr>
              <w:fldChar w:fldCharType="end"/>
            </w:r>
          </w:p>
        </w:sdtContent>
      </w:sdt>
    </w:sdtContent>
  </w:sdt>
  <w:p w14:paraId="1A19266D" w14:textId="77777777" w:rsidR="00AC333A" w:rsidRDefault="00AC3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A0CD9" w14:textId="77777777" w:rsidR="00CE4F2A" w:rsidRDefault="00CE4F2A" w:rsidP="00EE29F6">
      <w:pPr>
        <w:spacing w:after="0" w:line="240" w:lineRule="auto"/>
      </w:pPr>
      <w:r>
        <w:separator/>
      </w:r>
    </w:p>
  </w:footnote>
  <w:footnote w:type="continuationSeparator" w:id="0">
    <w:p w14:paraId="50B7B302" w14:textId="77777777" w:rsidR="00CE4F2A" w:rsidRDefault="00CE4F2A"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77694E" w:rsidRPr="001106EA" w14:paraId="0DBC0D16" w14:textId="77777777" w:rsidTr="00D524F5">
      <w:trPr>
        <w:trHeight w:val="1843"/>
      </w:trPr>
      <w:tc>
        <w:tcPr>
          <w:tcW w:w="3119" w:type="dxa"/>
          <w:vAlign w:val="bottom"/>
        </w:tcPr>
        <w:p w14:paraId="12E37591"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6CDA1CDD" wp14:editId="06924625">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3B21EC61" w14:textId="77777777" w:rsidR="00A1524E" w:rsidRDefault="00A1524E" w:rsidP="0077694E">
          <w:pPr>
            <w:pStyle w:val="Encabezado"/>
            <w:tabs>
              <w:tab w:val="clear" w:pos="4252"/>
              <w:tab w:val="center" w:pos="2614"/>
            </w:tabs>
          </w:pPr>
        </w:p>
      </w:tc>
      <w:tc>
        <w:tcPr>
          <w:tcW w:w="5812" w:type="dxa"/>
          <w:vAlign w:val="center"/>
        </w:tcPr>
        <w:p w14:paraId="1F7621A1" w14:textId="77777777"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 xml:space="preserve">Voto </w:t>
          </w:r>
          <w:r w:rsidR="005D7E89">
            <w:rPr>
              <w:rFonts w:ascii="Palatino Linotype" w:hAnsi="Palatino Linotype" w:cs="Tahoma"/>
              <w:b/>
            </w:rPr>
            <w:t>Particular</w:t>
          </w:r>
        </w:p>
        <w:p w14:paraId="11F4CF8B" w14:textId="5DF99E34" w:rsidR="005D7E89" w:rsidRPr="001C5BFE" w:rsidRDefault="001106EA" w:rsidP="005D7E89">
          <w:pPr>
            <w:pStyle w:val="Encabezado"/>
            <w:ind w:left="-108" w:right="-250"/>
            <w:jc w:val="both"/>
            <w:rPr>
              <w:rFonts w:ascii="Palatino Linotype" w:hAnsi="Palatino Linotype"/>
              <w:b/>
              <w:lang w:val="es-ES_tradnl"/>
            </w:rPr>
          </w:pPr>
          <w:r w:rsidRPr="00B9745A">
            <w:rPr>
              <w:rFonts w:ascii="Palatino Linotype" w:hAnsi="Palatino Linotype" w:cs="Tahoma"/>
              <w:b/>
            </w:rPr>
            <w:t>Recurso de Revisión</w:t>
          </w:r>
          <w:r w:rsidRPr="001C5BFE">
            <w:rPr>
              <w:rFonts w:ascii="Palatino Linotype" w:hAnsi="Palatino Linotype" w:cs="Tahoma"/>
              <w:b/>
            </w:rPr>
            <w:t xml:space="preserve">: </w:t>
          </w:r>
          <w:r w:rsidR="004176BE" w:rsidRPr="004176BE">
            <w:rPr>
              <w:rFonts w:ascii="Palatino Linotype" w:hAnsi="Palatino Linotype" w:cs="Tahoma"/>
            </w:rPr>
            <w:t>03639/INFOEM/IP/RR/2022 y acumulado.</w:t>
          </w:r>
        </w:p>
        <w:p w14:paraId="77CAC7DB" w14:textId="4E327F83" w:rsidR="005D7E89" w:rsidRPr="001C5BFE" w:rsidRDefault="00801E58" w:rsidP="005D7E89">
          <w:pPr>
            <w:pStyle w:val="Encabezado"/>
            <w:ind w:left="1737" w:hanging="1843"/>
            <w:jc w:val="both"/>
            <w:rPr>
              <w:rFonts w:ascii="Palatino Linotype" w:hAnsi="Palatino Linotype"/>
              <w:b/>
              <w:lang w:val="es-ES_tradnl"/>
            </w:rPr>
          </w:pPr>
          <w:r w:rsidRPr="001C5BFE">
            <w:rPr>
              <w:rFonts w:ascii="Palatino Linotype" w:hAnsi="Palatino Linotype" w:cs="Tahoma"/>
              <w:b/>
            </w:rPr>
            <w:t xml:space="preserve">Sujeto Obligado: </w:t>
          </w:r>
          <w:r w:rsidR="004176BE" w:rsidRPr="004176BE">
            <w:rPr>
              <w:rFonts w:ascii="Palatino Linotype" w:hAnsi="Palatino Linotype"/>
              <w:lang w:val="es-ES_tradnl"/>
            </w:rPr>
            <w:t>Secretaría de Movilidad.</w:t>
          </w:r>
        </w:p>
        <w:p w14:paraId="042154BA" w14:textId="4236C265" w:rsidR="00112D5D" w:rsidRPr="001106EA" w:rsidRDefault="006F754E" w:rsidP="008A56FC">
          <w:pPr>
            <w:pStyle w:val="Encabezado"/>
            <w:ind w:left="-108" w:right="-250"/>
            <w:jc w:val="both"/>
            <w:rPr>
              <w:rFonts w:ascii="Tahoma" w:hAnsi="Tahoma" w:cs="Tahoma"/>
            </w:rPr>
          </w:pPr>
          <w:r w:rsidRPr="001C5BFE">
            <w:rPr>
              <w:rFonts w:ascii="Palatino Linotype" w:hAnsi="Palatino Linotype" w:cs="Tahoma"/>
              <w:b/>
            </w:rPr>
            <w:t>Comisionad</w:t>
          </w:r>
          <w:r w:rsidR="001247C3" w:rsidRPr="001C5BFE">
            <w:rPr>
              <w:rFonts w:ascii="Palatino Linotype" w:hAnsi="Palatino Linotype" w:cs="Tahoma"/>
              <w:b/>
            </w:rPr>
            <w:t>o</w:t>
          </w:r>
          <w:r w:rsidRPr="001C5BFE">
            <w:rPr>
              <w:rFonts w:ascii="Palatino Linotype" w:hAnsi="Palatino Linotype" w:cs="Tahoma"/>
              <w:b/>
            </w:rPr>
            <w:t xml:space="preserve"> Ponente: </w:t>
          </w:r>
          <w:r w:rsidR="004176BE" w:rsidRPr="004176BE">
            <w:rPr>
              <w:rFonts w:ascii="Palatino Linotype" w:hAnsi="Palatino Linotype" w:cs="Tahoma"/>
              <w:lang w:val="es-MX"/>
            </w:rPr>
            <w:t>Guadalupe Ramírez Peña.</w:t>
          </w:r>
        </w:p>
      </w:tc>
    </w:tr>
  </w:tbl>
  <w:p w14:paraId="024EAA3C"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1B5A21"/>
    <w:multiLevelType w:val="hybridMultilevel"/>
    <w:tmpl w:val="C1A686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143C31"/>
    <w:multiLevelType w:val="hybridMultilevel"/>
    <w:tmpl w:val="DCE4A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B011FE"/>
    <w:multiLevelType w:val="hybridMultilevel"/>
    <w:tmpl w:val="821863FE"/>
    <w:lvl w:ilvl="0" w:tplc="47029A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BD1D52"/>
    <w:multiLevelType w:val="hybridMultilevel"/>
    <w:tmpl w:val="2464787A"/>
    <w:lvl w:ilvl="0" w:tplc="DDEC2560">
      <w:numFmt w:val="bullet"/>
      <w:lvlText w:val=""/>
      <w:lvlJc w:val="left"/>
      <w:pPr>
        <w:ind w:left="720" w:hanging="360"/>
      </w:pPr>
      <w:rPr>
        <w:rFonts w:ascii="Symbol" w:eastAsia="Batang"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F717FB"/>
    <w:multiLevelType w:val="hybridMultilevel"/>
    <w:tmpl w:val="549EA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94D6BEA"/>
    <w:multiLevelType w:val="hybridMultilevel"/>
    <w:tmpl w:val="75827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DA11178"/>
    <w:multiLevelType w:val="hybridMultilevel"/>
    <w:tmpl w:val="AF889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3"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884412271">
    <w:abstractNumId w:val="4"/>
  </w:num>
  <w:num w:numId="2" w16cid:durableId="878249132">
    <w:abstractNumId w:val="14"/>
  </w:num>
  <w:num w:numId="3" w16cid:durableId="242765084">
    <w:abstractNumId w:val="7"/>
  </w:num>
  <w:num w:numId="4" w16cid:durableId="1389763438">
    <w:abstractNumId w:val="0"/>
  </w:num>
  <w:num w:numId="5" w16cid:durableId="2005011701">
    <w:abstractNumId w:val="15"/>
  </w:num>
  <w:num w:numId="6" w16cid:durableId="252393678">
    <w:abstractNumId w:val="6"/>
  </w:num>
  <w:num w:numId="7" w16cid:durableId="1387610178">
    <w:abstractNumId w:val="12"/>
  </w:num>
  <w:num w:numId="8" w16cid:durableId="498886646">
    <w:abstractNumId w:val="23"/>
  </w:num>
  <w:num w:numId="9" w16cid:durableId="1644043428">
    <w:abstractNumId w:val="16"/>
  </w:num>
  <w:num w:numId="10" w16cid:durableId="1483934517">
    <w:abstractNumId w:val="18"/>
  </w:num>
  <w:num w:numId="11" w16cid:durableId="771243108">
    <w:abstractNumId w:val="21"/>
  </w:num>
  <w:num w:numId="12" w16cid:durableId="833837838">
    <w:abstractNumId w:val="1"/>
  </w:num>
  <w:num w:numId="13" w16cid:durableId="1729912884">
    <w:abstractNumId w:val="9"/>
  </w:num>
  <w:num w:numId="14" w16cid:durableId="96759786">
    <w:abstractNumId w:val="24"/>
  </w:num>
  <w:num w:numId="15" w16cid:durableId="2014261222">
    <w:abstractNumId w:val="22"/>
  </w:num>
  <w:num w:numId="16" w16cid:durableId="78063429">
    <w:abstractNumId w:val="2"/>
  </w:num>
  <w:num w:numId="17" w16cid:durableId="1242837112">
    <w:abstractNumId w:val="5"/>
  </w:num>
  <w:num w:numId="18" w16cid:durableId="1891190229">
    <w:abstractNumId w:val="19"/>
  </w:num>
  <w:num w:numId="19" w16cid:durableId="1410349042">
    <w:abstractNumId w:val="10"/>
  </w:num>
  <w:num w:numId="20" w16cid:durableId="1832016497">
    <w:abstractNumId w:val="17"/>
  </w:num>
  <w:num w:numId="21" w16cid:durableId="449978338">
    <w:abstractNumId w:val="3"/>
  </w:num>
  <w:num w:numId="22" w16cid:durableId="62653447">
    <w:abstractNumId w:val="25"/>
  </w:num>
  <w:num w:numId="23" w16cid:durableId="1683701336">
    <w:abstractNumId w:val="8"/>
  </w:num>
  <w:num w:numId="24" w16cid:durableId="2056272748">
    <w:abstractNumId w:val="13"/>
  </w:num>
  <w:num w:numId="25" w16cid:durableId="619185225">
    <w:abstractNumId w:val="20"/>
  </w:num>
  <w:num w:numId="26" w16cid:durableId="20426260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6F73"/>
    <w:rsid w:val="00011BCD"/>
    <w:rsid w:val="00020D08"/>
    <w:rsid w:val="00021E2D"/>
    <w:rsid w:val="0002627D"/>
    <w:rsid w:val="00026846"/>
    <w:rsid w:val="0002759D"/>
    <w:rsid w:val="000301C6"/>
    <w:rsid w:val="00031240"/>
    <w:rsid w:val="00041B19"/>
    <w:rsid w:val="00042A63"/>
    <w:rsid w:val="00046497"/>
    <w:rsid w:val="0005256C"/>
    <w:rsid w:val="00060F74"/>
    <w:rsid w:val="000612E1"/>
    <w:rsid w:val="0006561A"/>
    <w:rsid w:val="00082543"/>
    <w:rsid w:val="00087AC8"/>
    <w:rsid w:val="00092533"/>
    <w:rsid w:val="00097988"/>
    <w:rsid w:val="000A65BC"/>
    <w:rsid w:val="000B235B"/>
    <w:rsid w:val="000B7F6F"/>
    <w:rsid w:val="000C10B7"/>
    <w:rsid w:val="000C5469"/>
    <w:rsid w:val="000D0645"/>
    <w:rsid w:val="000D186F"/>
    <w:rsid w:val="000E7A9F"/>
    <w:rsid w:val="000F5649"/>
    <w:rsid w:val="000F7079"/>
    <w:rsid w:val="00103FFF"/>
    <w:rsid w:val="0010688C"/>
    <w:rsid w:val="001106EA"/>
    <w:rsid w:val="00110BC3"/>
    <w:rsid w:val="00112D5D"/>
    <w:rsid w:val="001159DC"/>
    <w:rsid w:val="00116C1F"/>
    <w:rsid w:val="00116E1A"/>
    <w:rsid w:val="001247C3"/>
    <w:rsid w:val="00126082"/>
    <w:rsid w:val="00136AD8"/>
    <w:rsid w:val="0014038B"/>
    <w:rsid w:val="00140A57"/>
    <w:rsid w:val="0014736A"/>
    <w:rsid w:val="00150749"/>
    <w:rsid w:val="001600B6"/>
    <w:rsid w:val="00160EAD"/>
    <w:rsid w:val="00162325"/>
    <w:rsid w:val="00164625"/>
    <w:rsid w:val="00164BFE"/>
    <w:rsid w:val="00166D27"/>
    <w:rsid w:val="0018289B"/>
    <w:rsid w:val="0018472D"/>
    <w:rsid w:val="001923F0"/>
    <w:rsid w:val="00192A6D"/>
    <w:rsid w:val="00193AA8"/>
    <w:rsid w:val="00197A72"/>
    <w:rsid w:val="001A145C"/>
    <w:rsid w:val="001A6BD9"/>
    <w:rsid w:val="001C1C64"/>
    <w:rsid w:val="001C2D5C"/>
    <w:rsid w:val="001C5BFE"/>
    <w:rsid w:val="001C6E0B"/>
    <w:rsid w:val="001D0B7E"/>
    <w:rsid w:val="001D1143"/>
    <w:rsid w:val="001E2FC8"/>
    <w:rsid w:val="001F5016"/>
    <w:rsid w:val="001F667B"/>
    <w:rsid w:val="001F6A82"/>
    <w:rsid w:val="00216BC4"/>
    <w:rsid w:val="0021743D"/>
    <w:rsid w:val="00223F64"/>
    <w:rsid w:val="00231B68"/>
    <w:rsid w:val="00242C75"/>
    <w:rsid w:val="00243617"/>
    <w:rsid w:val="00243A13"/>
    <w:rsid w:val="00245ACA"/>
    <w:rsid w:val="00246FAF"/>
    <w:rsid w:val="00250CBE"/>
    <w:rsid w:val="0028037C"/>
    <w:rsid w:val="00280A9C"/>
    <w:rsid w:val="00280D2F"/>
    <w:rsid w:val="002816CB"/>
    <w:rsid w:val="0028479D"/>
    <w:rsid w:val="00284D7A"/>
    <w:rsid w:val="00286D20"/>
    <w:rsid w:val="00286F1F"/>
    <w:rsid w:val="00293A91"/>
    <w:rsid w:val="00295BA5"/>
    <w:rsid w:val="002A0A48"/>
    <w:rsid w:val="002A138B"/>
    <w:rsid w:val="002A16CE"/>
    <w:rsid w:val="002A1727"/>
    <w:rsid w:val="002A2EE7"/>
    <w:rsid w:val="002B3447"/>
    <w:rsid w:val="002C2405"/>
    <w:rsid w:val="002D51BC"/>
    <w:rsid w:val="002E2EA3"/>
    <w:rsid w:val="002E5A1A"/>
    <w:rsid w:val="002F2A8E"/>
    <w:rsid w:val="002F356C"/>
    <w:rsid w:val="002F4E95"/>
    <w:rsid w:val="002F7FA0"/>
    <w:rsid w:val="00307747"/>
    <w:rsid w:val="00320769"/>
    <w:rsid w:val="00322675"/>
    <w:rsid w:val="00326D16"/>
    <w:rsid w:val="00333B7A"/>
    <w:rsid w:val="0033623E"/>
    <w:rsid w:val="003512C9"/>
    <w:rsid w:val="00352645"/>
    <w:rsid w:val="0036006F"/>
    <w:rsid w:val="0037159A"/>
    <w:rsid w:val="00374017"/>
    <w:rsid w:val="00381EAE"/>
    <w:rsid w:val="00384924"/>
    <w:rsid w:val="003A35F7"/>
    <w:rsid w:val="003A6218"/>
    <w:rsid w:val="003B1F42"/>
    <w:rsid w:val="003B6547"/>
    <w:rsid w:val="003B7A5E"/>
    <w:rsid w:val="003C0474"/>
    <w:rsid w:val="003C15F3"/>
    <w:rsid w:val="003D23E5"/>
    <w:rsid w:val="003F2426"/>
    <w:rsid w:val="003F48C2"/>
    <w:rsid w:val="0040139C"/>
    <w:rsid w:val="00401601"/>
    <w:rsid w:val="004127DC"/>
    <w:rsid w:val="00412CB2"/>
    <w:rsid w:val="004176BE"/>
    <w:rsid w:val="004211BB"/>
    <w:rsid w:val="00421252"/>
    <w:rsid w:val="00433746"/>
    <w:rsid w:val="00434C88"/>
    <w:rsid w:val="00435E69"/>
    <w:rsid w:val="00436361"/>
    <w:rsid w:val="00436DD9"/>
    <w:rsid w:val="0043730D"/>
    <w:rsid w:val="004438F6"/>
    <w:rsid w:val="00444DD6"/>
    <w:rsid w:val="00445BDF"/>
    <w:rsid w:val="00447F6F"/>
    <w:rsid w:val="0045183E"/>
    <w:rsid w:val="004536B0"/>
    <w:rsid w:val="00460A2D"/>
    <w:rsid w:val="0047538D"/>
    <w:rsid w:val="0048424A"/>
    <w:rsid w:val="00490F50"/>
    <w:rsid w:val="004970E4"/>
    <w:rsid w:val="004A4555"/>
    <w:rsid w:val="004A555E"/>
    <w:rsid w:val="004A5C04"/>
    <w:rsid w:val="004B08C4"/>
    <w:rsid w:val="004B532B"/>
    <w:rsid w:val="004B541F"/>
    <w:rsid w:val="004C4912"/>
    <w:rsid w:val="004C5A6B"/>
    <w:rsid w:val="004C6E57"/>
    <w:rsid w:val="004E1B2F"/>
    <w:rsid w:val="004E3AA1"/>
    <w:rsid w:val="004E5CA5"/>
    <w:rsid w:val="004E7007"/>
    <w:rsid w:val="004F08C6"/>
    <w:rsid w:val="004F0F09"/>
    <w:rsid w:val="00500949"/>
    <w:rsid w:val="005143BC"/>
    <w:rsid w:val="0051770C"/>
    <w:rsid w:val="005228CE"/>
    <w:rsid w:val="00524DA5"/>
    <w:rsid w:val="00526DBD"/>
    <w:rsid w:val="00543DF4"/>
    <w:rsid w:val="00544812"/>
    <w:rsid w:val="005520D2"/>
    <w:rsid w:val="00553ADE"/>
    <w:rsid w:val="00554D03"/>
    <w:rsid w:val="005560E7"/>
    <w:rsid w:val="00557A27"/>
    <w:rsid w:val="00560A41"/>
    <w:rsid w:val="0056120D"/>
    <w:rsid w:val="0056308F"/>
    <w:rsid w:val="0056593F"/>
    <w:rsid w:val="005714AE"/>
    <w:rsid w:val="00572FBB"/>
    <w:rsid w:val="00576423"/>
    <w:rsid w:val="00582CCB"/>
    <w:rsid w:val="00584D73"/>
    <w:rsid w:val="005870A6"/>
    <w:rsid w:val="0059301F"/>
    <w:rsid w:val="0059329D"/>
    <w:rsid w:val="00595C26"/>
    <w:rsid w:val="005A2510"/>
    <w:rsid w:val="005A2E49"/>
    <w:rsid w:val="005B09A4"/>
    <w:rsid w:val="005B1BC6"/>
    <w:rsid w:val="005B6967"/>
    <w:rsid w:val="005C094E"/>
    <w:rsid w:val="005C6DCD"/>
    <w:rsid w:val="005C73EE"/>
    <w:rsid w:val="005D11C8"/>
    <w:rsid w:val="005D26CE"/>
    <w:rsid w:val="005D7E89"/>
    <w:rsid w:val="005E2798"/>
    <w:rsid w:val="005E661B"/>
    <w:rsid w:val="00600164"/>
    <w:rsid w:val="00605683"/>
    <w:rsid w:val="0061370E"/>
    <w:rsid w:val="00614CC4"/>
    <w:rsid w:val="006248F2"/>
    <w:rsid w:val="00624DE5"/>
    <w:rsid w:val="00625135"/>
    <w:rsid w:val="006358BD"/>
    <w:rsid w:val="00637E94"/>
    <w:rsid w:val="00645087"/>
    <w:rsid w:val="00645497"/>
    <w:rsid w:val="006504FD"/>
    <w:rsid w:val="00652B0E"/>
    <w:rsid w:val="00654ACD"/>
    <w:rsid w:val="006567CA"/>
    <w:rsid w:val="00657396"/>
    <w:rsid w:val="00664D9C"/>
    <w:rsid w:val="006705F3"/>
    <w:rsid w:val="00672FC0"/>
    <w:rsid w:val="00681338"/>
    <w:rsid w:val="00682003"/>
    <w:rsid w:val="00684B16"/>
    <w:rsid w:val="00691E2A"/>
    <w:rsid w:val="006971B1"/>
    <w:rsid w:val="006A3E2E"/>
    <w:rsid w:val="006C5FD2"/>
    <w:rsid w:val="006C76CB"/>
    <w:rsid w:val="006E1E37"/>
    <w:rsid w:val="006E7483"/>
    <w:rsid w:val="006F3F40"/>
    <w:rsid w:val="006F45AE"/>
    <w:rsid w:val="006F5316"/>
    <w:rsid w:val="006F754E"/>
    <w:rsid w:val="007073B4"/>
    <w:rsid w:val="00724F08"/>
    <w:rsid w:val="00730CD7"/>
    <w:rsid w:val="007378E2"/>
    <w:rsid w:val="00742A15"/>
    <w:rsid w:val="00744068"/>
    <w:rsid w:val="007468D5"/>
    <w:rsid w:val="007632F3"/>
    <w:rsid w:val="00767DA9"/>
    <w:rsid w:val="0077694E"/>
    <w:rsid w:val="0078072F"/>
    <w:rsid w:val="00780F20"/>
    <w:rsid w:val="00782502"/>
    <w:rsid w:val="00793961"/>
    <w:rsid w:val="00793E42"/>
    <w:rsid w:val="00796A29"/>
    <w:rsid w:val="007A2D13"/>
    <w:rsid w:val="007A440E"/>
    <w:rsid w:val="007D3257"/>
    <w:rsid w:val="007D5347"/>
    <w:rsid w:val="007D68AF"/>
    <w:rsid w:val="007F0B75"/>
    <w:rsid w:val="007F16D4"/>
    <w:rsid w:val="007F18F1"/>
    <w:rsid w:val="007F1C1D"/>
    <w:rsid w:val="007F7D80"/>
    <w:rsid w:val="00801E58"/>
    <w:rsid w:val="00804696"/>
    <w:rsid w:val="00807185"/>
    <w:rsid w:val="00810663"/>
    <w:rsid w:val="00822F7D"/>
    <w:rsid w:val="00826381"/>
    <w:rsid w:val="00826FAD"/>
    <w:rsid w:val="0083166F"/>
    <w:rsid w:val="00836BC2"/>
    <w:rsid w:val="00845D0A"/>
    <w:rsid w:val="00852676"/>
    <w:rsid w:val="00856E29"/>
    <w:rsid w:val="00861757"/>
    <w:rsid w:val="008727EF"/>
    <w:rsid w:val="00881454"/>
    <w:rsid w:val="00891412"/>
    <w:rsid w:val="008A0447"/>
    <w:rsid w:val="008A1DE1"/>
    <w:rsid w:val="008A3DA9"/>
    <w:rsid w:val="008A56FC"/>
    <w:rsid w:val="008B08C9"/>
    <w:rsid w:val="008D12B5"/>
    <w:rsid w:val="008D3E1B"/>
    <w:rsid w:val="008E3C3E"/>
    <w:rsid w:val="008E54E2"/>
    <w:rsid w:val="008F0C2D"/>
    <w:rsid w:val="008F3B5A"/>
    <w:rsid w:val="009039FE"/>
    <w:rsid w:val="00913252"/>
    <w:rsid w:val="0091435C"/>
    <w:rsid w:val="00922B2E"/>
    <w:rsid w:val="009247AA"/>
    <w:rsid w:val="00925B57"/>
    <w:rsid w:val="00927BD1"/>
    <w:rsid w:val="009324E3"/>
    <w:rsid w:val="0093480E"/>
    <w:rsid w:val="00940F42"/>
    <w:rsid w:val="00950355"/>
    <w:rsid w:val="00950F56"/>
    <w:rsid w:val="00952B06"/>
    <w:rsid w:val="00954115"/>
    <w:rsid w:val="00954BF1"/>
    <w:rsid w:val="00961C44"/>
    <w:rsid w:val="00962B86"/>
    <w:rsid w:val="00964A2B"/>
    <w:rsid w:val="00974836"/>
    <w:rsid w:val="00977189"/>
    <w:rsid w:val="009859F3"/>
    <w:rsid w:val="009943E1"/>
    <w:rsid w:val="00997CC5"/>
    <w:rsid w:val="009B22ED"/>
    <w:rsid w:val="009B2C0B"/>
    <w:rsid w:val="009C0313"/>
    <w:rsid w:val="009D07E2"/>
    <w:rsid w:val="009D49BE"/>
    <w:rsid w:val="009E0861"/>
    <w:rsid w:val="009E30F4"/>
    <w:rsid w:val="009E3540"/>
    <w:rsid w:val="009E41F7"/>
    <w:rsid w:val="009E55B9"/>
    <w:rsid w:val="009E704F"/>
    <w:rsid w:val="009F6E4A"/>
    <w:rsid w:val="00A02F7A"/>
    <w:rsid w:val="00A1524E"/>
    <w:rsid w:val="00A17333"/>
    <w:rsid w:val="00A277B1"/>
    <w:rsid w:val="00A364BA"/>
    <w:rsid w:val="00A368F1"/>
    <w:rsid w:val="00A41E5E"/>
    <w:rsid w:val="00A42B23"/>
    <w:rsid w:val="00A4669C"/>
    <w:rsid w:val="00A5061A"/>
    <w:rsid w:val="00A5658F"/>
    <w:rsid w:val="00A56747"/>
    <w:rsid w:val="00A67498"/>
    <w:rsid w:val="00A67BCC"/>
    <w:rsid w:val="00A742D1"/>
    <w:rsid w:val="00A74475"/>
    <w:rsid w:val="00A77118"/>
    <w:rsid w:val="00A77B01"/>
    <w:rsid w:val="00A821FE"/>
    <w:rsid w:val="00A82BD5"/>
    <w:rsid w:val="00A87924"/>
    <w:rsid w:val="00A96539"/>
    <w:rsid w:val="00A96933"/>
    <w:rsid w:val="00AA090B"/>
    <w:rsid w:val="00AA3A4D"/>
    <w:rsid w:val="00AB3E26"/>
    <w:rsid w:val="00AC333A"/>
    <w:rsid w:val="00AD25D5"/>
    <w:rsid w:val="00AD3C54"/>
    <w:rsid w:val="00AD65AE"/>
    <w:rsid w:val="00AE0B64"/>
    <w:rsid w:val="00AF3B6B"/>
    <w:rsid w:val="00B068A1"/>
    <w:rsid w:val="00B16BBC"/>
    <w:rsid w:val="00B2616C"/>
    <w:rsid w:val="00B263C5"/>
    <w:rsid w:val="00B433B0"/>
    <w:rsid w:val="00B52BF4"/>
    <w:rsid w:val="00B52DF3"/>
    <w:rsid w:val="00B67355"/>
    <w:rsid w:val="00B7041D"/>
    <w:rsid w:val="00B7393F"/>
    <w:rsid w:val="00B761B1"/>
    <w:rsid w:val="00B77A0C"/>
    <w:rsid w:val="00B87612"/>
    <w:rsid w:val="00B9588B"/>
    <w:rsid w:val="00B9745A"/>
    <w:rsid w:val="00BB3551"/>
    <w:rsid w:val="00BB3D5D"/>
    <w:rsid w:val="00BB6EE3"/>
    <w:rsid w:val="00BC4882"/>
    <w:rsid w:val="00BC55D2"/>
    <w:rsid w:val="00BD06FC"/>
    <w:rsid w:val="00BD4705"/>
    <w:rsid w:val="00BD5DBE"/>
    <w:rsid w:val="00BF1384"/>
    <w:rsid w:val="00C0131C"/>
    <w:rsid w:val="00C0425F"/>
    <w:rsid w:val="00C056BD"/>
    <w:rsid w:val="00C1209F"/>
    <w:rsid w:val="00C15A60"/>
    <w:rsid w:val="00C23A77"/>
    <w:rsid w:val="00C30FD6"/>
    <w:rsid w:val="00C31FEE"/>
    <w:rsid w:val="00C42FC3"/>
    <w:rsid w:val="00C55FFC"/>
    <w:rsid w:val="00C67608"/>
    <w:rsid w:val="00C75CE0"/>
    <w:rsid w:val="00C76331"/>
    <w:rsid w:val="00C800C1"/>
    <w:rsid w:val="00C866D8"/>
    <w:rsid w:val="00CA7627"/>
    <w:rsid w:val="00CC66DA"/>
    <w:rsid w:val="00CC68E1"/>
    <w:rsid w:val="00CD4339"/>
    <w:rsid w:val="00CE343C"/>
    <w:rsid w:val="00CE4462"/>
    <w:rsid w:val="00CE4F2A"/>
    <w:rsid w:val="00CE50F9"/>
    <w:rsid w:val="00CF11EE"/>
    <w:rsid w:val="00CF5734"/>
    <w:rsid w:val="00D02D93"/>
    <w:rsid w:val="00D05740"/>
    <w:rsid w:val="00D1200E"/>
    <w:rsid w:val="00D13875"/>
    <w:rsid w:val="00D15D07"/>
    <w:rsid w:val="00D160F2"/>
    <w:rsid w:val="00D170A7"/>
    <w:rsid w:val="00D17DA1"/>
    <w:rsid w:val="00D32C2C"/>
    <w:rsid w:val="00D357E1"/>
    <w:rsid w:val="00D368A8"/>
    <w:rsid w:val="00D37CDC"/>
    <w:rsid w:val="00D419F3"/>
    <w:rsid w:val="00D45BDF"/>
    <w:rsid w:val="00D50ACD"/>
    <w:rsid w:val="00D50D8F"/>
    <w:rsid w:val="00D51426"/>
    <w:rsid w:val="00D524F5"/>
    <w:rsid w:val="00D55429"/>
    <w:rsid w:val="00D65D0C"/>
    <w:rsid w:val="00D666D4"/>
    <w:rsid w:val="00D7239D"/>
    <w:rsid w:val="00D75FAE"/>
    <w:rsid w:val="00D77F63"/>
    <w:rsid w:val="00D87D7F"/>
    <w:rsid w:val="00D9114A"/>
    <w:rsid w:val="00D96166"/>
    <w:rsid w:val="00D96C42"/>
    <w:rsid w:val="00DA11C0"/>
    <w:rsid w:val="00DB1EF4"/>
    <w:rsid w:val="00DC4A9C"/>
    <w:rsid w:val="00DD69B0"/>
    <w:rsid w:val="00DE56D1"/>
    <w:rsid w:val="00DF3893"/>
    <w:rsid w:val="00DF47E7"/>
    <w:rsid w:val="00DF6CA0"/>
    <w:rsid w:val="00E06B90"/>
    <w:rsid w:val="00E11DB1"/>
    <w:rsid w:val="00E145E1"/>
    <w:rsid w:val="00E26123"/>
    <w:rsid w:val="00E26DFC"/>
    <w:rsid w:val="00E34559"/>
    <w:rsid w:val="00E345D1"/>
    <w:rsid w:val="00E3505B"/>
    <w:rsid w:val="00E41481"/>
    <w:rsid w:val="00E416F8"/>
    <w:rsid w:val="00E45036"/>
    <w:rsid w:val="00E472AD"/>
    <w:rsid w:val="00E54506"/>
    <w:rsid w:val="00E656C1"/>
    <w:rsid w:val="00E738F3"/>
    <w:rsid w:val="00E7538D"/>
    <w:rsid w:val="00E80551"/>
    <w:rsid w:val="00E81338"/>
    <w:rsid w:val="00E82F77"/>
    <w:rsid w:val="00E83683"/>
    <w:rsid w:val="00E8492D"/>
    <w:rsid w:val="00E92722"/>
    <w:rsid w:val="00E93F81"/>
    <w:rsid w:val="00EA208C"/>
    <w:rsid w:val="00EA7E26"/>
    <w:rsid w:val="00EB6F97"/>
    <w:rsid w:val="00EB7128"/>
    <w:rsid w:val="00EC3160"/>
    <w:rsid w:val="00EC6DDF"/>
    <w:rsid w:val="00EE29F6"/>
    <w:rsid w:val="00EE32D0"/>
    <w:rsid w:val="00EE3C1F"/>
    <w:rsid w:val="00EF482C"/>
    <w:rsid w:val="00F011F6"/>
    <w:rsid w:val="00F14384"/>
    <w:rsid w:val="00F16606"/>
    <w:rsid w:val="00F23C14"/>
    <w:rsid w:val="00F2485B"/>
    <w:rsid w:val="00F3116F"/>
    <w:rsid w:val="00F3298A"/>
    <w:rsid w:val="00F32B83"/>
    <w:rsid w:val="00F35B7B"/>
    <w:rsid w:val="00F35F7B"/>
    <w:rsid w:val="00F4155E"/>
    <w:rsid w:val="00F43ECC"/>
    <w:rsid w:val="00F44AC3"/>
    <w:rsid w:val="00F508D9"/>
    <w:rsid w:val="00F54275"/>
    <w:rsid w:val="00F60843"/>
    <w:rsid w:val="00F8452E"/>
    <w:rsid w:val="00F955B8"/>
    <w:rsid w:val="00F97621"/>
    <w:rsid w:val="00FA177C"/>
    <w:rsid w:val="00FA44F8"/>
    <w:rsid w:val="00FB3044"/>
    <w:rsid w:val="00FB59D6"/>
    <w:rsid w:val="00FB5C13"/>
    <w:rsid w:val="00FB7793"/>
    <w:rsid w:val="00FB789E"/>
    <w:rsid w:val="00FC105C"/>
    <w:rsid w:val="00FC1D9D"/>
    <w:rsid w:val="00FC1F32"/>
    <w:rsid w:val="00FD1849"/>
    <w:rsid w:val="00FD3150"/>
    <w:rsid w:val="00FD3EB2"/>
    <w:rsid w:val="00FD530D"/>
    <w:rsid w:val="00FE4726"/>
    <w:rsid w:val="00FF1DA6"/>
    <w:rsid w:val="00FF22F6"/>
    <w:rsid w:val="00FF59CC"/>
    <w:rsid w:val="00FF6013"/>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1343C"/>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6082"/>
  </w:style>
  <w:style w:type="character" w:customStyle="1" w:styleId="normaltextrun">
    <w:name w:val="normaltextrun"/>
    <w:basedOn w:val="Fuentedeprrafopredeter"/>
    <w:rsid w:val="007073B4"/>
  </w:style>
  <w:style w:type="paragraph" w:customStyle="1" w:styleId="Default">
    <w:name w:val="Default"/>
    <w:rsid w:val="00C7633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acep">
    <w:name w:val="n_acep"/>
    <w:basedOn w:val="Fuentedeprrafopredeter"/>
    <w:rsid w:val="00F24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09451">
      <w:bodyDiv w:val="1"/>
      <w:marLeft w:val="0"/>
      <w:marRight w:val="0"/>
      <w:marTop w:val="0"/>
      <w:marBottom w:val="0"/>
      <w:divBdr>
        <w:top w:val="none" w:sz="0" w:space="0" w:color="auto"/>
        <w:left w:val="none" w:sz="0" w:space="0" w:color="auto"/>
        <w:bottom w:val="none" w:sz="0" w:space="0" w:color="auto"/>
        <w:right w:val="none" w:sz="0" w:space="0" w:color="auto"/>
      </w:divBdr>
      <w:divsChild>
        <w:div w:id="1304114564">
          <w:marLeft w:val="0"/>
          <w:marRight w:val="0"/>
          <w:marTop w:val="0"/>
          <w:marBottom w:val="82"/>
          <w:divBdr>
            <w:top w:val="none" w:sz="0" w:space="0" w:color="auto"/>
            <w:left w:val="none" w:sz="0" w:space="0" w:color="auto"/>
            <w:bottom w:val="none" w:sz="0" w:space="0" w:color="auto"/>
            <w:right w:val="none" w:sz="0" w:space="0" w:color="auto"/>
          </w:divBdr>
        </w:div>
        <w:div w:id="470489444">
          <w:marLeft w:val="0"/>
          <w:marRight w:val="0"/>
          <w:marTop w:val="0"/>
          <w:marBottom w:val="82"/>
          <w:divBdr>
            <w:top w:val="none" w:sz="0" w:space="0" w:color="auto"/>
            <w:left w:val="none" w:sz="0" w:space="0" w:color="auto"/>
            <w:bottom w:val="none" w:sz="0" w:space="0" w:color="auto"/>
            <w:right w:val="none" w:sz="0" w:space="0" w:color="auto"/>
          </w:divBdr>
        </w:div>
        <w:div w:id="629483353">
          <w:marLeft w:val="0"/>
          <w:marRight w:val="0"/>
          <w:marTop w:val="0"/>
          <w:marBottom w:val="82"/>
          <w:divBdr>
            <w:top w:val="none" w:sz="0" w:space="0" w:color="auto"/>
            <w:left w:val="none" w:sz="0" w:space="0" w:color="auto"/>
            <w:bottom w:val="none" w:sz="0" w:space="0" w:color="auto"/>
            <w:right w:val="none" w:sz="0" w:space="0" w:color="auto"/>
          </w:divBdr>
        </w:div>
        <w:div w:id="355157182">
          <w:marLeft w:val="0"/>
          <w:marRight w:val="0"/>
          <w:marTop w:val="0"/>
          <w:marBottom w:val="82"/>
          <w:divBdr>
            <w:top w:val="none" w:sz="0" w:space="0" w:color="auto"/>
            <w:left w:val="none" w:sz="0" w:space="0" w:color="auto"/>
            <w:bottom w:val="none" w:sz="0" w:space="0" w:color="auto"/>
            <w:right w:val="none" w:sz="0" w:space="0" w:color="auto"/>
          </w:divBdr>
        </w:div>
        <w:div w:id="960303866">
          <w:marLeft w:val="0"/>
          <w:marRight w:val="0"/>
          <w:marTop w:val="0"/>
          <w:marBottom w:val="101"/>
          <w:divBdr>
            <w:top w:val="none" w:sz="0" w:space="0" w:color="auto"/>
            <w:left w:val="none" w:sz="0" w:space="0" w:color="auto"/>
            <w:bottom w:val="none" w:sz="0" w:space="0" w:color="auto"/>
            <w:right w:val="none" w:sz="0" w:space="0" w:color="auto"/>
          </w:divBdr>
        </w:div>
      </w:divsChild>
    </w:div>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553934548">
      <w:bodyDiv w:val="1"/>
      <w:marLeft w:val="0"/>
      <w:marRight w:val="0"/>
      <w:marTop w:val="0"/>
      <w:marBottom w:val="0"/>
      <w:divBdr>
        <w:top w:val="none" w:sz="0" w:space="0" w:color="auto"/>
        <w:left w:val="none" w:sz="0" w:space="0" w:color="auto"/>
        <w:bottom w:val="none" w:sz="0" w:space="0" w:color="auto"/>
        <w:right w:val="none" w:sz="0" w:space="0" w:color="auto"/>
      </w:divBdr>
    </w:div>
    <w:div w:id="933167971">
      <w:bodyDiv w:val="1"/>
      <w:marLeft w:val="0"/>
      <w:marRight w:val="0"/>
      <w:marTop w:val="0"/>
      <w:marBottom w:val="0"/>
      <w:divBdr>
        <w:top w:val="none" w:sz="0" w:space="0" w:color="auto"/>
        <w:left w:val="none" w:sz="0" w:space="0" w:color="auto"/>
        <w:bottom w:val="none" w:sz="0" w:space="0" w:color="auto"/>
        <w:right w:val="none" w:sz="0" w:space="0" w:color="auto"/>
      </w:divBdr>
    </w:div>
    <w:div w:id="1192113980">
      <w:bodyDiv w:val="1"/>
      <w:marLeft w:val="0"/>
      <w:marRight w:val="0"/>
      <w:marTop w:val="0"/>
      <w:marBottom w:val="0"/>
      <w:divBdr>
        <w:top w:val="none" w:sz="0" w:space="0" w:color="auto"/>
        <w:left w:val="none" w:sz="0" w:space="0" w:color="auto"/>
        <w:bottom w:val="none" w:sz="0" w:space="0" w:color="auto"/>
        <w:right w:val="none" w:sz="0" w:space="0" w:color="auto"/>
      </w:divBdr>
    </w:div>
    <w:div w:id="137993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4A3BB-DFF1-4D94-9FBD-BD215D41B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1466</Words>
  <Characters>8064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Sandra Ivette Razo De La Paz</cp:lastModifiedBy>
  <cp:revision>22</cp:revision>
  <cp:lastPrinted>2021-03-08T23:21:00Z</cp:lastPrinted>
  <dcterms:created xsi:type="dcterms:W3CDTF">2021-03-04T16:02:00Z</dcterms:created>
  <dcterms:modified xsi:type="dcterms:W3CDTF">2022-06-24T00:13:00Z</dcterms:modified>
</cp:coreProperties>
</file>