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B80B58" w:rsidRDefault="00907451" w:rsidP="001E28B6">
      <w:pPr>
        <w:spacing w:before="240" w:after="240" w:line="360" w:lineRule="auto"/>
        <w:jc w:val="both"/>
        <w:rPr>
          <w:rFonts w:ascii="Palatino Linotype" w:hAnsi="Palatino Linotype"/>
          <w:b/>
          <w:sz w:val="24"/>
          <w:szCs w:val="24"/>
        </w:rPr>
      </w:pPr>
      <w:r w:rsidRPr="00B80B58">
        <w:rPr>
          <w:rFonts w:ascii="Palatino Linotype" w:hAnsi="Palatino Linotype"/>
          <w:b/>
          <w:sz w:val="24"/>
          <w:szCs w:val="24"/>
        </w:rPr>
        <w:t>VOTO</w:t>
      </w:r>
      <w:r w:rsidR="000607BA" w:rsidRPr="00B80B58">
        <w:rPr>
          <w:rFonts w:ascii="Palatino Linotype" w:hAnsi="Palatino Linotype"/>
          <w:b/>
          <w:sz w:val="24"/>
          <w:szCs w:val="24"/>
        </w:rPr>
        <w:t xml:space="preserve"> PARTICULAR QUE FORMULA </w:t>
      </w:r>
      <w:r w:rsidR="0019367D" w:rsidRPr="00B80B58">
        <w:rPr>
          <w:rFonts w:ascii="Palatino Linotype" w:hAnsi="Palatino Linotype"/>
          <w:b/>
          <w:sz w:val="24"/>
          <w:szCs w:val="24"/>
        </w:rPr>
        <w:t>LA COMISIONADA</w:t>
      </w:r>
      <w:r w:rsidR="00335939" w:rsidRPr="00B80B58">
        <w:rPr>
          <w:rFonts w:ascii="Palatino Linotype" w:hAnsi="Palatino Linotype"/>
          <w:b/>
          <w:sz w:val="24"/>
          <w:szCs w:val="24"/>
        </w:rPr>
        <w:t xml:space="preserve"> </w:t>
      </w:r>
      <w:r w:rsidR="0019367D" w:rsidRPr="00B80B58">
        <w:rPr>
          <w:rFonts w:ascii="Palatino Linotype" w:hAnsi="Palatino Linotype" w:cs="Arial"/>
          <w:b/>
          <w:sz w:val="24"/>
          <w:szCs w:val="24"/>
        </w:rPr>
        <w:t>GUADALUPE RAMÍREZ PEÑA</w:t>
      </w:r>
      <w:r w:rsidR="00BA3598" w:rsidRPr="00B80B58">
        <w:rPr>
          <w:rFonts w:ascii="Palatino Linotype" w:hAnsi="Palatino Linotype" w:cs="Arial"/>
          <w:b/>
          <w:sz w:val="24"/>
          <w:szCs w:val="24"/>
        </w:rPr>
        <w:t xml:space="preserve"> </w:t>
      </w:r>
      <w:r w:rsidR="000607BA" w:rsidRPr="00B80B58">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291185" w:rsidRPr="00B80B58">
        <w:rPr>
          <w:rFonts w:ascii="Palatino Linotype" w:hAnsi="Palatino Linotype"/>
          <w:b/>
          <w:sz w:val="24"/>
          <w:szCs w:val="24"/>
        </w:rPr>
        <w:t xml:space="preserve">VIGÉSIMA </w:t>
      </w:r>
      <w:r w:rsidR="00B204BA" w:rsidRPr="00B80B58">
        <w:rPr>
          <w:rFonts w:ascii="Palatino Linotype" w:hAnsi="Palatino Linotype"/>
          <w:b/>
          <w:sz w:val="24"/>
          <w:szCs w:val="24"/>
        </w:rPr>
        <w:t xml:space="preserve"> </w:t>
      </w:r>
      <w:r w:rsidR="0019367D" w:rsidRPr="00B80B58">
        <w:rPr>
          <w:rFonts w:ascii="Palatino Linotype" w:hAnsi="Palatino Linotype"/>
          <w:b/>
          <w:sz w:val="24"/>
          <w:szCs w:val="24"/>
        </w:rPr>
        <w:t xml:space="preserve">PRIMERA </w:t>
      </w:r>
      <w:r w:rsidR="000607BA" w:rsidRPr="00B80B58">
        <w:rPr>
          <w:rFonts w:ascii="Palatino Linotype" w:hAnsi="Palatino Linotype"/>
          <w:b/>
          <w:sz w:val="24"/>
          <w:szCs w:val="24"/>
        </w:rPr>
        <w:t xml:space="preserve">SESIÓN ORDINARIA </w:t>
      </w:r>
      <w:r w:rsidR="0019367D" w:rsidRPr="00B80B58">
        <w:rPr>
          <w:rFonts w:ascii="Palatino Linotype" w:hAnsi="Palatino Linotype"/>
          <w:b/>
          <w:sz w:val="24"/>
          <w:szCs w:val="24"/>
        </w:rPr>
        <w:t>DEL OCHO</w:t>
      </w:r>
      <w:r w:rsidR="00B204BA" w:rsidRPr="00B80B58">
        <w:rPr>
          <w:rFonts w:ascii="Palatino Linotype" w:hAnsi="Palatino Linotype"/>
          <w:b/>
          <w:sz w:val="24"/>
          <w:szCs w:val="24"/>
        </w:rPr>
        <w:t xml:space="preserve"> </w:t>
      </w:r>
      <w:r w:rsidR="00FC0F94" w:rsidRPr="00B80B58">
        <w:rPr>
          <w:rFonts w:ascii="Palatino Linotype" w:hAnsi="Palatino Linotype"/>
          <w:b/>
          <w:sz w:val="24"/>
          <w:szCs w:val="24"/>
        </w:rPr>
        <w:t xml:space="preserve">DE </w:t>
      </w:r>
      <w:r w:rsidR="00291185" w:rsidRPr="00B80B58">
        <w:rPr>
          <w:rFonts w:ascii="Palatino Linotype" w:hAnsi="Palatino Linotype"/>
          <w:b/>
          <w:sz w:val="24"/>
          <w:szCs w:val="24"/>
        </w:rPr>
        <w:t>JUNIO</w:t>
      </w:r>
      <w:r w:rsidR="005F4D33" w:rsidRPr="00B80B58">
        <w:rPr>
          <w:rFonts w:ascii="Palatino Linotype" w:hAnsi="Palatino Linotype"/>
          <w:b/>
          <w:sz w:val="24"/>
          <w:szCs w:val="24"/>
        </w:rPr>
        <w:t xml:space="preserve"> </w:t>
      </w:r>
      <w:r w:rsidR="00004FA2" w:rsidRPr="00B80B58">
        <w:rPr>
          <w:rFonts w:ascii="Palatino Linotype" w:hAnsi="Palatino Linotype"/>
          <w:b/>
          <w:sz w:val="24"/>
          <w:szCs w:val="24"/>
        </w:rPr>
        <w:t>DE DO</w:t>
      </w:r>
      <w:r w:rsidR="00EC7988" w:rsidRPr="00B80B58">
        <w:rPr>
          <w:rFonts w:ascii="Palatino Linotype" w:hAnsi="Palatino Linotype"/>
          <w:b/>
          <w:sz w:val="24"/>
          <w:szCs w:val="24"/>
        </w:rPr>
        <w:t xml:space="preserve">S MIL </w:t>
      </w:r>
      <w:r w:rsidR="00FC0F94" w:rsidRPr="00B80B58">
        <w:rPr>
          <w:rFonts w:ascii="Palatino Linotype" w:hAnsi="Palatino Linotype"/>
          <w:b/>
          <w:sz w:val="24"/>
          <w:szCs w:val="24"/>
        </w:rPr>
        <w:t>VE</w:t>
      </w:r>
      <w:r w:rsidR="0019367D" w:rsidRPr="00B80B58">
        <w:rPr>
          <w:rFonts w:ascii="Palatino Linotype" w:hAnsi="Palatino Linotype"/>
          <w:b/>
          <w:sz w:val="24"/>
          <w:szCs w:val="24"/>
        </w:rPr>
        <w:t>INTIDÓS</w:t>
      </w:r>
      <w:r w:rsidR="00004FA2" w:rsidRPr="00B80B58">
        <w:rPr>
          <w:rFonts w:ascii="Palatino Linotype" w:hAnsi="Palatino Linotype"/>
          <w:b/>
          <w:sz w:val="24"/>
          <w:szCs w:val="24"/>
        </w:rPr>
        <w:t>,</w:t>
      </w:r>
      <w:r w:rsidR="000607BA" w:rsidRPr="00B80B58">
        <w:rPr>
          <w:rFonts w:ascii="Palatino Linotype" w:hAnsi="Palatino Linotype"/>
          <w:b/>
          <w:sz w:val="24"/>
          <w:szCs w:val="24"/>
        </w:rPr>
        <w:t xml:space="preserve"> </w:t>
      </w:r>
      <w:r w:rsidR="00F41D72" w:rsidRPr="00B80B58">
        <w:rPr>
          <w:rFonts w:ascii="Palatino Linotype" w:hAnsi="Palatino Linotype"/>
          <w:b/>
          <w:sz w:val="24"/>
          <w:szCs w:val="24"/>
        </w:rPr>
        <w:t>EN LO RELATIVO AL</w:t>
      </w:r>
      <w:r w:rsidR="00B204BA" w:rsidRPr="00B80B58">
        <w:rPr>
          <w:rFonts w:ascii="Palatino Linotype" w:hAnsi="Palatino Linotype"/>
          <w:b/>
          <w:sz w:val="24"/>
          <w:szCs w:val="24"/>
        </w:rPr>
        <w:t xml:space="preserve"> </w:t>
      </w:r>
      <w:r w:rsidR="000607BA" w:rsidRPr="00B80B58">
        <w:rPr>
          <w:rFonts w:ascii="Palatino Linotype" w:hAnsi="Palatino Linotype"/>
          <w:b/>
          <w:sz w:val="24"/>
          <w:szCs w:val="24"/>
        </w:rPr>
        <w:t xml:space="preserve">RECURSO DE REVISIÓN </w:t>
      </w:r>
      <w:r w:rsidR="0019367D" w:rsidRPr="00B80B58">
        <w:rPr>
          <w:rFonts w:ascii="Palatino Linotype" w:hAnsi="Palatino Linotype"/>
          <w:b/>
          <w:sz w:val="24"/>
          <w:szCs w:val="24"/>
        </w:rPr>
        <w:t>03451/INFOEM/IP/RR/2022 Y ACUMULADOS</w:t>
      </w:r>
      <w:r w:rsidR="000607BA" w:rsidRPr="00B80B58">
        <w:rPr>
          <w:rFonts w:ascii="Palatino Linotype" w:hAnsi="Palatino Linotype"/>
          <w:b/>
          <w:sz w:val="24"/>
          <w:szCs w:val="24"/>
        </w:rPr>
        <w:t>.</w:t>
      </w:r>
    </w:p>
    <w:p w:rsidR="00EC7988" w:rsidRPr="00B80B58" w:rsidRDefault="00EC7988" w:rsidP="001E28B6">
      <w:pPr>
        <w:spacing w:before="240" w:after="240" w:line="360" w:lineRule="auto"/>
        <w:jc w:val="both"/>
        <w:rPr>
          <w:rFonts w:ascii="Palatino Linotype" w:hAnsi="Palatino Linotype"/>
          <w:sz w:val="24"/>
          <w:szCs w:val="24"/>
        </w:rPr>
      </w:pPr>
      <w:r w:rsidRPr="00B80B58">
        <w:rPr>
          <w:rFonts w:ascii="Palatino Linotype" w:hAnsi="Palatino Linotype"/>
          <w:sz w:val="24"/>
          <w:szCs w:val="24"/>
        </w:rPr>
        <w:t xml:space="preserve">El Pleno del Instituto de Transparencia, Acceso a la Información Pública y Protección de Datos Personales del Estado de México y Municipios, aprobó por unanimidad de votos, la resolución relativa al recurso de revisión </w:t>
      </w:r>
      <w:r w:rsidR="00B51BCB" w:rsidRPr="00B80B58">
        <w:rPr>
          <w:rFonts w:ascii="Palatino Linotype" w:hAnsi="Palatino Linotype"/>
          <w:b/>
          <w:sz w:val="24"/>
          <w:szCs w:val="24"/>
        </w:rPr>
        <w:t>03451/INFOEM/IP/RR/2022 Y ACUMULADOS</w:t>
      </w:r>
      <w:r w:rsidR="00461388" w:rsidRPr="00B80B58">
        <w:rPr>
          <w:rFonts w:ascii="Palatino Linotype" w:hAnsi="Palatino Linotype"/>
          <w:sz w:val="24"/>
          <w:szCs w:val="24"/>
        </w:rPr>
        <w:t>, presentada por el</w:t>
      </w:r>
      <w:r w:rsidRPr="00B80B58">
        <w:rPr>
          <w:rFonts w:ascii="Palatino Linotype" w:hAnsi="Palatino Linotype"/>
          <w:sz w:val="24"/>
          <w:szCs w:val="24"/>
        </w:rPr>
        <w:t xml:space="preserve"> </w:t>
      </w:r>
      <w:r w:rsidR="00461388" w:rsidRPr="00B80B58">
        <w:rPr>
          <w:rFonts w:ascii="Palatino Linotype" w:hAnsi="Palatino Linotype"/>
          <w:b/>
          <w:sz w:val="24"/>
          <w:szCs w:val="24"/>
        </w:rPr>
        <w:t>Comisionado Luis Gustavo Parra Noriega</w:t>
      </w:r>
      <w:r w:rsidR="00461388" w:rsidRPr="00B80B58">
        <w:rPr>
          <w:rFonts w:ascii="Palatino Linotype" w:hAnsi="Palatino Linotype"/>
          <w:sz w:val="24"/>
          <w:szCs w:val="24"/>
        </w:rPr>
        <w:t>, respecto de la cual, la suscrita</w:t>
      </w:r>
      <w:r w:rsidRPr="00B80B58">
        <w:rPr>
          <w:rFonts w:ascii="Palatino Linotype" w:hAnsi="Palatino Linotype"/>
          <w:sz w:val="24"/>
          <w:szCs w:val="24"/>
        </w:rPr>
        <w:t xml:space="preserve"> formula </w:t>
      </w:r>
      <w:r w:rsidRPr="00B80B58">
        <w:rPr>
          <w:rFonts w:ascii="Palatino Linotype" w:hAnsi="Palatino Linotype"/>
          <w:b/>
          <w:sz w:val="24"/>
          <w:szCs w:val="24"/>
        </w:rPr>
        <w:t xml:space="preserve">VOTO PARTICULAR, </w:t>
      </w:r>
      <w:r w:rsidRPr="00B80B58">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EC7988" w:rsidRPr="00B80B58" w:rsidRDefault="00461388" w:rsidP="00EC7988">
      <w:pPr>
        <w:spacing w:before="240" w:after="240" w:line="360" w:lineRule="auto"/>
        <w:jc w:val="both"/>
        <w:rPr>
          <w:rFonts w:ascii="Palatino Linotype" w:hAnsi="Palatino Linotype"/>
          <w:sz w:val="24"/>
          <w:szCs w:val="24"/>
        </w:rPr>
      </w:pPr>
      <w:r w:rsidRPr="00B80B58">
        <w:rPr>
          <w:rFonts w:ascii="Palatino Linotype" w:hAnsi="Palatino Linotype"/>
          <w:sz w:val="24"/>
          <w:szCs w:val="24"/>
        </w:rPr>
        <w:t xml:space="preserve">Es preciso señalar </w:t>
      </w:r>
      <w:r w:rsidR="00EC7988" w:rsidRPr="00B80B58">
        <w:rPr>
          <w:rFonts w:ascii="Palatino Linotype" w:hAnsi="Palatino Linotype"/>
          <w:sz w:val="24"/>
          <w:szCs w:val="24"/>
        </w:rPr>
        <w:t xml:space="preserve">que </w:t>
      </w:r>
      <w:r w:rsidRPr="00B80B58">
        <w:rPr>
          <w:rFonts w:ascii="Palatino Linotype" w:hAnsi="Palatino Linotype"/>
          <w:sz w:val="24"/>
          <w:szCs w:val="24"/>
        </w:rPr>
        <w:t>la suscrita</w:t>
      </w:r>
      <w:r w:rsidR="00EC7988" w:rsidRPr="00B80B58">
        <w:rPr>
          <w:rFonts w:ascii="Palatino Linotype" w:hAnsi="Palatino Linotype"/>
          <w:sz w:val="24"/>
          <w:szCs w:val="24"/>
        </w:rPr>
        <w:t>, comparte en esencia el sentido del estudio realizado</w:t>
      </w:r>
      <w:r w:rsidRPr="00B80B58">
        <w:rPr>
          <w:rFonts w:ascii="Palatino Linotype" w:hAnsi="Palatino Linotype"/>
          <w:sz w:val="24"/>
          <w:szCs w:val="24"/>
        </w:rPr>
        <w:t xml:space="preserve"> en la resolución emitida por el Comisionado</w:t>
      </w:r>
      <w:r w:rsidR="004032D8" w:rsidRPr="00B80B58">
        <w:rPr>
          <w:rFonts w:ascii="Palatino Linotype" w:hAnsi="Palatino Linotype"/>
          <w:sz w:val="24"/>
          <w:szCs w:val="24"/>
        </w:rPr>
        <w:t xml:space="preserve"> </w:t>
      </w:r>
      <w:r w:rsidR="00EC7988" w:rsidRPr="00B80B58">
        <w:rPr>
          <w:rFonts w:ascii="Palatino Linotype" w:hAnsi="Palatino Linotype"/>
          <w:sz w:val="24"/>
          <w:szCs w:val="24"/>
        </w:rPr>
        <w:t xml:space="preserve">Ponente; sin embargo, resulta necesario destacar ciertas consideraciones de hecho y derecho que debieron ser valoradas en el análisis de la resolución. </w:t>
      </w:r>
    </w:p>
    <w:p w:rsidR="00461388" w:rsidRPr="00B80B58" w:rsidRDefault="00461388" w:rsidP="00EC7988">
      <w:pPr>
        <w:spacing w:before="240" w:after="240" w:line="360" w:lineRule="auto"/>
        <w:jc w:val="both"/>
        <w:rPr>
          <w:rFonts w:ascii="Palatino Linotype" w:hAnsi="Palatino Linotype"/>
          <w:sz w:val="24"/>
          <w:szCs w:val="24"/>
        </w:rPr>
      </w:pPr>
    </w:p>
    <w:p w:rsidR="00BB5CD8" w:rsidRPr="00230F73" w:rsidRDefault="00BB5CD8" w:rsidP="00BB5CD8">
      <w:pPr>
        <w:pStyle w:val="Prrafodelista"/>
        <w:numPr>
          <w:ilvl w:val="0"/>
          <w:numId w:val="2"/>
        </w:numPr>
        <w:spacing w:before="240" w:after="240" w:line="360" w:lineRule="auto"/>
        <w:ind w:left="284" w:hanging="284"/>
        <w:jc w:val="both"/>
        <w:rPr>
          <w:rFonts w:ascii="Palatino Linotype" w:hAnsi="Palatino Linotype"/>
          <w:b/>
        </w:rPr>
      </w:pPr>
      <w:r w:rsidRPr="00230F73">
        <w:rPr>
          <w:rFonts w:ascii="Palatino Linotype" w:hAnsi="Palatino Linotype"/>
          <w:b/>
        </w:rPr>
        <w:t>Antecedentes</w:t>
      </w:r>
    </w:p>
    <w:p w:rsidR="00EC7988" w:rsidRDefault="00EC7988" w:rsidP="00EC7988">
      <w:pPr>
        <w:spacing w:before="240" w:after="240" w:line="360" w:lineRule="auto"/>
        <w:jc w:val="both"/>
        <w:rPr>
          <w:rFonts w:ascii="Palatino Linotype" w:hAnsi="Palatino Linotype"/>
          <w:sz w:val="24"/>
          <w:szCs w:val="24"/>
        </w:rPr>
      </w:pPr>
      <w:r w:rsidRPr="00230F73">
        <w:rPr>
          <w:rFonts w:ascii="Palatino Linotype" w:hAnsi="Palatino Linotype"/>
          <w:sz w:val="24"/>
          <w:szCs w:val="24"/>
        </w:rPr>
        <w:t>En primera instancia, debe pre</w:t>
      </w:r>
      <w:r w:rsidR="00461388">
        <w:rPr>
          <w:rFonts w:ascii="Palatino Linotype" w:hAnsi="Palatino Linotype"/>
          <w:sz w:val="24"/>
          <w:szCs w:val="24"/>
        </w:rPr>
        <w:t>cisarse que el</w:t>
      </w:r>
      <w:r w:rsidRPr="00230F73">
        <w:rPr>
          <w:rFonts w:ascii="Palatino Linotype" w:hAnsi="Palatino Linotype"/>
          <w:sz w:val="24"/>
          <w:szCs w:val="24"/>
        </w:rPr>
        <w:t xml:space="preserve"> Recurrente requirió al Sujeto Obligado, </w:t>
      </w:r>
      <w:r w:rsidR="00461388">
        <w:rPr>
          <w:rFonts w:ascii="Palatino Linotype" w:hAnsi="Palatino Linotype"/>
          <w:sz w:val="24"/>
          <w:szCs w:val="24"/>
        </w:rPr>
        <w:t xml:space="preserve">medularmente </w:t>
      </w:r>
      <w:r w:rsidRPr="00230F73">
        <w:rPr>
          <w:rFonts w:ascii="Palatino Linotype" w:hAnsi="Palatino Linotype"/>
          <w:sz w:val="24"/>
          <w:szCs w:val="24"/>
        </w:rPr>
        <w:t>lo siguiente:</w:t>
      </w:r>
    </w:p>
    <w:p w:rsidR="00461388" w:rsidRPr="00461388" w:rsidRDefault="00461388" w:rsidP="00461388">
      <w:p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 xml:space="preserve">Del Órgano Consultivo de Apoyo del Sistema Municipal de Protección Integral de Niñas, Niños, y Adolescentes, lo siguiente: </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Nombre del servidor público Titular y datos de contacto.</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Reglamento, reglas de organización y funcionamiento.</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 xml:space="preserve">Última convocatoria emitida para su integración. </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El o los documentos que den cuenta de los resultados en el proceso de selección de integrantes.</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Lista de integrantes actuales con nombre y organización/institución/territorio que representa.</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Acta de instalación.</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Orden del día de las sesiones y reuniones realizadas en los últimos tres años.</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t>Listas de asistencia de las sesiones y reuniones realizadas en los últimos tres años.</w:t>
      </w:r>
    </w:p>
    <w:p w:rsidR="00461388" w:rsidRPr="00461388" w:rsidRDefault="00461388" w:rsidP="00461388">
      <w:pPr>
        <w:numPr>
          <w:ilvl w:val="0"/>
          <w:numId w:val="3"/>
        </w:numPr>
        <w:spacing w:before="240" w:after="240" w:line="360" w:lineRule="auto"/>
        <w:ind w:left="567" w:right="990"/>
        <w:jc w:val="both"/>
        <w:rPr>
          <w:rFonts w:ascii="Palatino Linotype" w:hAnsi="Palatino Linotype"/>
          <w:szCs w:val="24"/>
          <w:lang w:val="es-ES_tradnl"/>
        </w:rPr>
      </w:pPr>
      <w:r w:rsidRPr="00461388">
        <w:rPr>
          <w:rFonts w:ascii="Palatino Linotype" w:hAnsi="Palatino Linotype"/>
          <w:szCs w:val="24"/>
          <w:lang w:val="es-ES_tradnl"/>
        </w:rPr>
        <w:lastRenderedPageBreak/>
        <w:t>Actas o minutas de las sesiones y reuniones realizadas en los últimos tres años.</w:t>
      </w:r>
    </w:p>
    <w:p w:rsidR="00461388" w:rsidRPr="00461388" w:rsidRDefault="00461388" w:rsidP="00461388">
      <w:pPr>
        <w:numPr>
          <w:ilvl w:val="0"/>
          <w:numId w:val="3"/>
        </w:numPr>
        <w:spacing w:before="240" w:after="240" w:line="360" w:lineRule="auto"/>
        <w:ind w:left="567" w:right="990" w:hanging="283"/>
        <w:jc w:val="both"/>
        <w:rPr>
          <w:rFonts w:ascii="Palatino Linotype" w:hAnsi="Palatino Linotype"/>
          <w:szCs w:val="24"/>
          <w:lang w:val="es-ES_tradnl"/>
        </w:rPr>
      </w:pPr>
      <w:r w:rsidRPr="00461388">
        <w:rPr>
          <w:rFonts w:ascii="Palatino Linotype" w:hAnsi="Palatino Linotype"/>
          <w:szCs w:val="24"/>
          <w:lang w:val="es-ES_tradnl"/>
        </w:rPr>
        <w:t>Documentos de planeación operativa (programas, planes, metodologías, cronogramas o similares) en los últimos tres años.</w:t>
      </w:r>
    </w:p>
    <w:p w:rsidR="00461388" w:rsidRPr="00461388" w:rsidRDefault="00461388" w:rsidP="00461388">
      <w:pPr>
        <w:numPr>
          <w:ilvl w:val="0"/>
          <w:numId w:val="3"/>
        </w:numPr>
        <w:spacing w:before="240" w:after="240" w:line="360" w:lineRule="auto"/>
        <w:ind w:left="567" w:right="990" w:hanging="283"/>
        <w:jc w:val="both"/>
        <w:rPr>
          <w:rFonts w:ascii="Palatino Linotype" w:hAnsi="Palatino Linotype"/>
          <w:szCs w:val="24"/>
          <w:lang w:val="es-ES_tradnl"/>
        </w:rPr>
      </w:pPr>
      <w:r w:rsidRPr="00461388">
        <w:rPr>
          <w:rFonts w:ascii="Palatino Linotype" w:hAnsi="Palatino Linotype"/>
          <w:szCs w:val="24"/>
          <w:lang w:val="es-ES_tradnl"/>
        </w:rPr>
        <w:t>Propuestas, recomendaciones, opiniones, posicionamientos, observaciones y/o denuncias.</w:t>
      </w:r>
    </w:p>
    <w:p w:rsidR="00461388" w:rsidRPr="00461388" w:rsidRDefault="00461388" w:rsidP="00461388">
      <w:pPr>
        <w:numPr>
          <w:ilvl w:val="0"/>
          <w:numId w:val="3"/>
        </w:numPr>
        <w:spacing w:before="240" w:after="240" w:line="360" w:lineRule="auto"/>
        <w:ind w:left="567" w:right="990" w:hanging="283"/>
        <w:jc w:val="both"/>
        <w:rPr>
          <w:rFonts w:ascii="Palatino Linotype" w:hAnsi="Palatino Linotype"/>
          <w:szCs w:val="24"/>
          <w:lang w:val="es-ES_tradnl"/>
        </w:rPr>
      </w:pPr>
      <w:r w:rsidRPr="00461388">
        <w:rPr>
          <w:rFonts w:ascii="Palatino Linotype" w:hAnsi="Palatino Linotype"/>
          <w:szCs w:val="24"/>
          <w:lang w:val="es-ES_tradnl"/>
        </w:rPr>
        <w:t>Informes de actividades y/o resultados.</w:t>
      </w:r>
    </w:p>
    <w:p w:rsidR="00461388" w:rsidRPr="00461388" w:rsidRDefault="00461388" w:rsidP="00461388">
      <w:pPr>
        <w:spacing w:before="240" w:after="240" w:line="360" w:lineRule="auto"/>
        <w:jc w:val="both"/>
        <w:rPr>
          <w:rFonts w:ascii="Palatino Linotype" w:hAnsi="Palatino Linotype"/>
          <w:sz w:val="24"/>
          <w:szCs w:val="24"/>
          <w:lang w:val="es-ES_tradnl"/>
        </w:rPr>
      </w:pPr>
      <w:r>
        <w:rPr>
          <w:rFonts w:ascii="Palatino Linotype" w:hAnsi="Palatino Linotype"/>
          <w:sz w:val="24"/>
          <w:szCs w:val="24"/>
        </w:rPr>
        <w:t xml:space="preserve">En respuesta a estos requerimientos, el </w:t>
      </w:r>
      <w:r w:rsidRPr="00461388">
        <w:rPr>
          <w:rFonts w:ascii="Palatino Linotype" w:hAnsi="Palatino Linotype"/>
          <w:sz w:val="24"/>
          <w:szCs w:val="24"/>
          <w:lang w:val="es-ES_tradnl"/>
        </w:rPr>
        <w:t>Sujeto Obligado a través de la Unidad de Transparencia advirtió incompetencia para atender las solicitudes de acceso</w:t>
      </w:r>
      <w:r>
        <w:rPr>
          <w:rFonts w:ascii="Palatino Linotype" w:hAnsi="Palatino Linotype"/>
          <w:sz w:val="24"/>
          <w:szCs w:val="24"/>
          <w:lang w:val="es-ES_tradnl"/>
        </w:rPr>
        <w:t xml:space="preserve">, toda vez que a su consideración la unidad </w:t>
      </w:r>
      <w:r w:rsidRPr="00461388">
        <w:rPr>
          <w:rFonts w:ascii="Palatino Linotype" w:hAnsi="Palatino Linotype"/>
          <w:sz w:val="24"/>
          <w:szCs w:val="24"/>
          <w:lang w:val="es-ES_tradnl"/>
        </w:rPr>
        <w:t>competente para atender su pretensión es el Sistema Municipal DIF Ecatepec</w:t>
      </w:r>
      <w:r>
        <w:rPr>
          <w:rFonts w:ascii="Palatino Linotype" w:hAnsi="Palatino Linotype"/>
          <w:sz w:val="24"/>
          <w:szCs w:val="24"/>
          <w:lang w:val="es-ES_tradnl"/>
        </w:rPr>
        <w:t>; posterior a la admisión</w:t>
      </w:r>
      <w:r w:rsidRPr="00461388">
        <w:rPr>
          <w:rFonts w:ascii="Palatino Linotype" w:hAnsi="Palatino Linotype"/>
          <w:sz w:val="24"/>
          <w:szCs w:val="24"/>
          <w:lang w:val="es-ES_tradnl"/>
        </w:rPr>
        <w:t xml:space="preserve"> </w:t>
      </w:r>
      <w:r>
        <w:rPr>
          <w:rFonts w:ascii="Palatino Linotype" w:hAnsi="Palatino Linotype"/>
          <w:sz w:val="24"/>
          <w:szCs w:val="24"/>
          <w:lang w:val="es-ES_tradnl"/>
        </w:rPr>
        <w:t>d</w:t>
      </w:r>
      <w:r w:rsidRPr="00461388">
        <w:rPr>
          <w:rFonts w:ascii="Palatino Linotype" w:hAnsi="Palatino Linotype"/>
          <w:sz w:val="24"/>
          <w:szCs w:val="24"/>
          <w:lang w:val="es-ES_tradnl"/>
        </w:rPr>
        <w:t xml:space="preserve">el Recurso de Revisión que nos ocupa, en informe justificado el Ayuntamiento de Ecatepec de Morelos, por medio de la Defensoría Municipal de Derechos Humanos, Dirección de Seguridad Pública y Tránsito Municipal e Instituto Municipal de las Mujeres e Igualdad de Género, ratificaron la incompetencia para atender el requerimiento del ahora Recurrente. </w:t>
      </w:r>
    </w:p>
    <w:p w:rsidR="00461388" w:rsidRPr="00461388" w:rsidRDefault="00461388" w:rsidP="00461388">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Asi</w:t>
      </w:r>
      <w:r w:rsidRPr="00461388">
        <w:rPr>
          <w:rFonts w:ascii="Palatino Linotype" w:hAnsi="Palatino Linotype"/>
          <w:sz w:val="24"/>
          <w:szCs w:val="24"/>
          <w:lang w:val="es-ES_tradnl"/>
        </w:rPr>
        <w:t>mismo, por medio de la etapa procesal en comento, el Secretario del Ayuntamiento manifestó que la atención al Derecho de Acceso a la Información del Particular representa una gran cantidad de documentos, por lo tanto, la misma se pone a disposición de este último a través de la modalidad de consulta directa en el lugar que ocupan las oficinas del área a su cargo.</w:t>
      </w:r>
    </w:p>
    <w:p w:rsidR="00291185" w:rsidRPr="00230F73" w:rsidRDefault="00291185" w:rsidP="00EC7988">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En ese sentido, al </w:t>
      </w:r>
      <w:r w:rsidR="00BB5CD8" w:rsidRPr="00230F73">
        <w:rPr>
          <w:rFonts w:ascii="Palatino Linotype" w:hAnsi="Palatino Linotype"/>
          <w:sz w:val="24"/>
          <w:szCs w:val="24"/>
        </w:rPr>
        <w:t>considerar que la respuesta otorgada no colmó a cabalid</w:t>
      </w:r>
      <w:r w:rsidR="005C3473">
        <w:rPr>
          <w:rFonts w:ascii="Palatino Linotype" w:hAnsi="Palatino Linotype"/>
          <w:sz w:val="24"/>
          <w:szCs w:val="24"/>
        </w:rPr>
        <w:t xml:space="preserve">ad su requerimiento inicial, el </w:t>
      </w:r>
      <w:r w:rsidR="00BB5CD8" w:rsidRPr="00230F73">
        <w:rPr>
          <w:rFonts w:ascii="Palatino Linotype" w:hAnsi="Palatino Linotype"/>
          <w:sz w:val="24"/>
          <w:szCs w:val="24"/>
        </w:rPr>
        <w:t xml:space="preserve">particular interpuso el medio de impugnación citado al rubro, expresando </w:t>
      </w:r>
      <w:r w:rsidR="005C3473">
        <w:rPr>
          <w:rFonts w:ascii="Palatino Linotype" w:hAnsi="Palatino Linotype"/>
          <w:sz w:val="24"/>
          <w:szCs w:val="24"/>
        </w:rPr>
        <w:t xml:space="preserve">en la totalidad de los expedientes, </w:t>
      </w:r>
      <w:r w:rsidR="00BB5CD8" w:rsidRPr="00230F73">
        <w:rPr>
          <w:rFonts w:ascii="Palatino Linotype" w:hAnsi="Palatino Linotype"/>
          <w:sz w:val="24"/>
          <w:szCs w:val="24"/>
        </w:rPr>
        <w:t xml:space="preserve">sus agravios de la siguiente manera: </w:t>
      </w:r>
    </w:p>
    <w:p w:rsidR="00BB5CD8" w:rsidRPr="00BB5CD8" w:rsidRDefault="00BB5CD8" w:rsidP="00BB5CD8">
      <w:pPr>
        <w:spacing w:before="240" w:line="360" w:lineRule="auto"/>
        <w:jc w:val="both"/>
        <w:rPr>
          <w:rFonts w:ascii="Palatino Linotype" w:hAnsi="Palatino Linotype" w:cs="Arial"/>
          <w:b/>
          <w:sz w:val="24"/>
        </w:rPr>
      </w:pPr>
      <w:r w:rsidRPr="00BB5CD8">
        <w:rPr>
          <w:rFonts w:ascii="Palatino Linotype" w:hAnsi="Palatino Linotype" w:cs="Arial"/>
          <w:b/>
          <w:sz w:val="24"/>
        </w:rPr>
        <w:t>Acto Impugnado:</w:t>
      </w:r>
    </w:p>
    <w:p w:rsidR="00291185" w:rsidRPr="00291185" w:rsidRDefault="00291185" w:rsidP="00291185">
      <w:pPr>
        <w:tabs>
          <w:tab w:val="left" w:pos="1405"/>
        </w:tabs>
        <w:spacing w:after="0" w:line="240" w:lineRule="auto"/>
        <w:ind w:left="851" w:right="850"/>
        <w:jc w:val="both"/>
        <w:rPr>
          <w:rFonts w:ascii="Palatino Linotype" w:hAnsi="Palatino Linotype"/>
          <w:i/>
          <w:color w:val="000000"/>
        </w:rPr>
      </w:pPr>
      <w:r w:rsidRPr="00291185">
        <w:rPr>
          <w:rFonts w:ascii="Palatino Linotype" w:hAnsi="Palatino Linotype"/>
          <w:i/>
          <w:color w:val="000000"/>
        </w:rPr>
        <w:t>“</w:t>
      </w:r>
      <w:r w:rsidR="005C3473" w:rsidRPr="005C3473">
        <w:rPr>
          <w:rFonts w:ascii="Palatino Linotype" w:hAnsi="Palatino Linotype"/>
          <w:i/>
          <w:color w:val="000000"/>
        </w:rPr>
        <w:t>Se impugna la respuesta a la solitud de información con Folio 00130/ECATEPEC/IP/2022, 00131/ECATEPEC/IP/2022, 00132/ECATEPEC/IP/2022 y 00133/ECATEPEC/IP/2022.</w:t>
      </w:r>
      <w:r w:rsidRPr="00291185">
        <w:rPr>
          <w:rFonts w:ascii="Palatino Linotype" w:hAnsi="Palatino Linotype"/>
          <w:i/>
          <w:color w:val="000000"/>
        </w:rPr>
        <w:t>”(Sic).</w:t>
      </w:r>
    </w:p>
    <w:p w:rsidR="00BB5CD8" w:rsidRPr="00BB5CD8" w:rsidRDefault="00BB5CD8" w:rsidP="00BB5CD8">
      <w:pPr>
        <w:spacing w:before="240" w:line="360" w:lineRule="auto"/>
        <w:jc w:val="both"/>
        <w:rPr>
          <w:rFonts w:ascii="Palatino Linotype" w:hAnsi="Palatino Linotype" w:cs="Arial"/>
          <w:sz w:val="24"/>
        </w:rPr>
      </w:pPr>
      <w:r w:rsidRPr="00BB5CD8">
        <w:rPr>
          <w:rFonts w:ascii="Palatino Linotype" w:hAnsi="Palatino Linotype" w:cs="Arial"/>
          <w:b/>
          <w:sz w:val="24"/>
        </w:rPr>
        <w:t>Razones o Motivos de Inconformidad</w:t>
      </w:r>
      <w:r w:rsidRPr="00BB5CD8">
        <w:rPr>
          <w:rFonts w:ascii="Palatino Linotype" w:hAnsi="Palatino Linotype" w:cs="Arial"/>
          <w:sz w:val="24"/>
        </w:rPr>
        <w:t xml:space="preserve">: </w:t>
      </w:r>
    </w:p>
    <w:p w:rsidR="00291185" w:rsidRDefault="00291185" w:rsidP="00291185">
      <w:pPr>
        <w:spacing w:line="240" w:lineRule="auto"/>
        <w:ind w:left="851" w:right="850"/>
        <w:jc w:val="both"/>
        <w:rPr>
          <w:rFonts w:ascii="Palatino Linotype" w:hAnsi="Palatino Linotype"/>
          <w:i/>
          <w:color w:val="000000"/>
        </w:rPr>
      </w:pPr>
      <w:r w:rsidRPr="00291185">
        <w:rPr>
          <w:rFonts w:ascii="Palatino Linotype" w:hAnsi="Palatino Linotype"/>
          <w:i/>
          <w:color w:val="000000"/>
        </w:rPr>
        <w:t>“</w:t>
      </w:r>
      <w:r w:rsidR="005C3473" w:rsidRPr="005C3473">
        <w:rPr>
          <w:rFonts w:ascii="Palatino Linotype" w:hAnsi="Palatino Linotype"/>
          <w:i/>
          <w:color w:val="000000"/>
        </w:rPr>
        <w:t>La respuesta no es coherente de acuerdo con lo previsto en los Artículos 119 y 145 de la Ley General de los Derechos de Niñas, Niños y Adolescentes, debido a que Ayuntamiento si es Sujeto Obligado para hacer entrega de la información solicitada.</w:t>
      </w:r>
      <w:r w:rsidRPr="00291185">
        <w:rPr>
          <w:rFonts w:ascii="Palatino Linotype" w:hAnsi="Palatino Linotype"/>
          <w:i/>
          <w:color w:val="000000"/>
        </w:rPr>
        <w:t>”(Sic).</w:t>
      </w:r>
    </w:p>
    <w:p w:rsidR="00BB5CD8" w:rsidRPr="005C3473" w:rsidRDefault="005C3473" w:rsidP="00EC7988">
      <w:pPr>
        <w:spacing w:before="240" w:after="240" w:line="360" w:lineRule="auto"/>
        <w:jc w:val="both"/>
        <w:rPr>
          <w:rFonts w:ascii="Palatino Linotype" w:eastAsia="Times New Roman" w:hAnsi="Palatino Linotype" w:cs="Tahoma"/>
          <w:b/>
          <w:bCs/>
          <w:sz w:val="24"/>
          <w:szCs w:val="24"/>
          <w:u w:val="single"/>
          <w:lang w:val="es-ES" w:eastAsia="es-ES"/>
        </w:rPr>
      </w:pPr>
      <w:r>
        <w:rPr>
          <w:rFonts w:ascii="Palatino Linotype" w:hAnsi="Palatino Linotype"/>
          <w:sz w:val="24"/>
          <w:szCs w:val="23"/>
        </w:rPr>
        <w:t xml:space="preserve">En el estudio del asunto, el Comisionado Ponente </w:t>
      </w:r>
      <w:r w:rsidR="00BB5CD8">
        <w:rPr>
          <w:rFonts w:ascii="Palatino Linotype" w:hAnsi="Palatino Linotype"/>
          <w:sz w:val="24"/>
          <w:szCs w:val="23"/>
        </w:rPr>
        <w:t xml:space="preserve">determinó </w:t>
      </w:r>
      <w:r w:rsidR="00BB5CD8" w:rsidRPr="005C3473">
        <w:rPr>
          <w:rFonts w:ascii="Palatino Linotype" w:hAnsi="Palatino Linotype"/>
          <w:sz w:val="24"/>
          <w:szCs w:val="24"/>
        </w:rPr>
        <w:t>que</w:t>
      </w:r>
      <w:r w:rsidR="00291185" w:rsidRPr="005C3473">
        <w:rPr>
          <w:rFonts w:ascii="Palatino Linotype" w:hAnsi="Palatino Linotype"/>
          <w:sz w:val="24"/>
          <w:szCs w:val="24"/>
        </w:rPr>
        <w:t xml:space="preserve"> </w:t>
      </w:r>
      <w:r w:rsidRPr="005C3473">
        <w:rPr>
          <w:rFonts w:ascii="Palatino Linotype" w:eastAsia="Times New Roman" w:hAnsi="Palatino Linotype" w:cs="Tahoma"/>
          <w:b/>
          <w:sz w:val="24"/>
          <w:szCs w:val="24"/>
          <w:u w:val="single"/>
          <w:lang w:val="es-ES_tradnl" w:eastAsia="es-ES"/>
        </w:rPr>
        <w:t xml:space="preserve">el Ayuntamiento de Ecatepec de Morelos no señaló de manera fundada y motivada </w:t>
      </w:r>
      <w:r w:rsidRPr="005C3473">
        <w:rPr>
          <w:rFonts w:ascii="Palatino Linotype" w:eastAsia="Times New Roman" w:hAnsi="Palatino Linotype" w:cs="Tahoma"/>
          <w:b/>
          <w:sz w:val="24"/>
          <w:szCs w:val="24"/>
          <w:u w:val="single"/>
          <w:lang w:val="es-ES" w:eastAsia="es-ES"/>
        </w:rPr>
        <w:t>un impedimento para dar atención a los requerimientos de información por medio de la modalidad elegida por el Particular, por ello,</w:t>
      </w:r>
      <w:r w:rsidRPr="005C3473">
        <w:rPr>
          <w:rFonts w:ascii="Palatino Linotype" w:eastAsia="Times New Roman" w:hAnsi="Palatino Linotype" w:cs="Tahoma"/>
          <w:sz w:val="24"/>
          <w:szCs w:val="24"/>
          <w:lang w:val="es-ES" w:eastAsia="es-ES"/>
        </w:rPr>
        <w:t xml:space="preserve"> </w:t>
      </w:r>
      <w:r w:rsidRPr="005C3473">
        <w:rPr>
          <w:rFonts w:ascii="Palatino Linotype" w:eastAsia="Times New Roman" w:hAnsi="Palatino Linotype" w:cs="Tahoma"/>
          <w:b/>
          <w:bCs/>
          <w:sz w:val="24"/>
          <w:szCs w:val="24"/>
          <w:u w:val="single"/>
          <w:lang w:val="es-ES" w:eastAsia="es-ES"/>
        </w:rPr>
        <w:t>no se tiene por válido el cambio de modalidad en la entrega de la información</w:t>
      </w:r>
      <w:r>
        <w:rPr>
          <w:rFonts w:ascii="Palatino Linotype" w:eastAsia="Times New Roman" w:hAnsi="Palatino Linotype" w:cs="Tahoma"/>
          <w:b/>
          <w:bCs/>
          <w:sz w:val="24"/>
          <w:szCs w:val="24"/>
          <w:u w:val="single"/>
          <w:lang w:val="es-ES" w:eastAsia="es-ES"/>
        </w:rPr>
        <w:t xml:space="preserve">, </w:t>
      </w:r>
      <w:r w:rsidR="00BB5CD8">
        <w:rPr>
          <w:rFonts w:ascii="Palatino Linotype" w:hAnsi="Palatino Linotype"/>
          <w:sz w:val="24"/>
          <w:szCs w:val="23"/>
        </w:rPr>
        <w:t>en con</w:t>
      </w:r>
      <w:r>
        <w:rPr>
          <w:rFonts w:ascii="Palatino Linotype" w:hAnsi="Palatino Linotype"/>
          <w:sz w:val="24"/>
          <w:szCs w:val="23"/>
        </w:rPr>
        <w:t>secuencia, se</w:t>
      </w:r>
      <w:r w:rsidR="00BB5CD8">
        <w:rPr>
          <w:rFonts w:ascii="Palatino Linotype" w:hAnsi="Palatino Linotype"/>
          <w:sz w:val="24"/>
          <w:szCs w:val="23"/>
        </w:rPr>
        <w:t xml:space="preserve"> </w:t>
      </w:r>
      <w:r>
        <w:rPr>
          <w:rFonts w:ascii="Palatino Linotype" w:hAnsi="Palatino Linotype"/>
          <w:sz w:val="24"/>
          <w:szCs w:val="23"/>
        </w:rPr>
        <w:t xml:space="preserve">concluyó que en el presente asunto, lo pertinente es </w:t>
      </w:r>
      <w:r w:rsidR="00291185">
        <w:rPr>
          <w:rFonts w:ascii="Palatino Linotype" w:hAnsi="Palatino Linotype"/>
          <w:b/>
          <w:sz w:val="24"/>
          <w:szCs w:val="23"/>
        </w:rPr>
        <w:t>REVO</w:t>
      </w:r>
      <w:r w:rsidR="00BB5CD8" w:rsidRPr="00BB5CD8">
        <w:rPr>
          <w:rFonts w:ascii="Palatino Linotype" w:hAnsi="Palatino Linotype"/>
          <w:b/>
          <w:sz w:val="24"/>
          <w:szCs w:val="23"/>
        </w:rPr>
        <w:t>CA</w:t>
      </w:r>
      <w:r>
        <w:rPr>
          <w:rFonts w:ascii="Palatino Linotype" w:hAnsi="Palatino Linotype"/>
          <w:b/>
          <w:sz w:val="24"/>
          <w:szCs w:val="23"/>
        </w:rPr>
        <w:t>R</w:t>
      </w:r>
      <w:r w:rsidR="00BB5CD8" w:rsidRPr="00BB5CD8">
        <w:rPr>
          <w:rFonts w:ascii="Palatino Linotype" w:hAnsi="Palatino Linotype"/>
          <w:b/>
          <w:sz w:val="24"/>
          <w:szCs w:val="23"/>
        </w:rPr>
        <w:t xml:space="preserve"> </w:t>
      </w:r>
      <w:r w:rsidR="00BB5CD8">
        <w:rPr>
          <w:rFonts w:ascii="Palatino Linotype" w:hAnsi="Palatino Linotype"/>
          <w:sz w:val="24"/>
          <w:szCs w:val="23"/>
        </w:rPr>
        <w:t>la</w:t>
      </w:r>
      <w:r>
        <w:rPr>
          <w:rFonts w:ascii="Palatino Linotype" w:hAnsi="Palatino Linotype"/>
          <w:sz w:val="24"/>
          <w:szCs w:val="23"/>
        </w:rPr>
        <w:t>s</w:t>
      </w:r>
      <w:r w:rsidR="00BB5CD8">
        <w:rPr>
          <w:rFonts w:ascii="Palatino Linotype" w:hAnsi="Palatino Linotype"/>
          <w:sz w:val="24"/>
          <w:szCs w:val="23"/>
        </w:rPr>
        <w:t xml:space="preserve"> respuesta</w:t>
      </w:r>
      <w:r>
        <w:rPr>
          <w:rFonts w:ascii="Palatino Linotype" w:hAnsi="Palatino Linotype"/>
          <w:sz w:val="24"/>
          <w:szCs w:val="23"/>
        </w:rPr>
        <w:t>s</w:t>
      </w:r>
      <w:r w:rsidR="00BB5CD8">
        <w:rPr>
          <w:rFonts w:ascii="Palatino Linotype" w:hAnsi="Palatino Linotype"/>
          <w:sz w:val="24"/>
          <w:szCs w:val="23"/>
        </w:rPr>
        <w:t xml:space="preserve"> del Sujeto Obligado y </w:t>
      </w:r>
      <w:r w:rsidR="00BB5CD8" w:rsidRPr="00924EA6">
        <w:rPr>
          <w:rFonts w:ascii="Palatino Linotype" w:hAnsi="Palatino Linotype"/>
          <w:b/>
          <w:sz w:val="24"/>
          <w:szCs w:val="23"/>
        </w:rPr>
        <w:t>ORDENA</w:t>
      </w:r>
      <w:r>
        <w:rPr>
          <w:rFonts w:ascii="Palatino Linotype" w:hAnsi="Palatino Linotype"/>
          <w:b/>
          <w:sz w:val="24"/>
          <w:szCs w:val="23"/>
        </w:rPr>
        <w:t>R</w:t>
      </w:r>
      <w:r>
        <w:rPr>
          <w:rFonts w:ascii="Palatino Linotype" w:hAnsi="Palatino Linotype"/>
          <w:sz w:val="24"/>
          <w:szCs w:val="23"/>
        </w:rPr>
        <w:t xml:space="preserve"> la entrega de la</w:t>
      </w:r>
      <w:r w:rsidR="00BB5CD8">
        <w:rPr>
          <w:rFonts w:ascii="Palatino Linotype" w:hAnsi="Palatino Linotype"/>
          <w:sz w:val="24"/>
          <w:szCs w:val="23"/>
        </w:rPr>
        <w:t xml:space="preserve"> siguiente</w:t>
      </w:r>
      <w:r>
        <w:rPr>
          <w:rFonts w:ascii="Palatino Linotype" w:hAnsi="Palatino Linotype"/>
          <w:sz w:val="24"/>
          <w:szCs w:val="23"/>
        </w:rPr>
        <w:t xml:space="preserve"> información</w:t>
      </w:r>
      <w:r w:rsidR="00BB5CD8">
        <w:rPr>
          <w:rFonts w:ascii="Palatino Linotype" w:hAnsi="Palatino Linotype"/>
          <w:sz w:val="24"/>
          <w:szCs w:val="23"/>
        </w:rPr>
        <w:t xml:space="preserve">: </w:t>
      </w:r>
    </w:p>
    <w:p w:rsidR="000E473E" w:rsidRPr="000E473E" w:rsidRDefault="00924EA6" w:rsidP="000E473E">
      <w:pPr>
        <w:pStyle w:val="Sinespaciado"/>
        <w:ind w:left="426" w:right="990"/>
        <w:jc w:val="both"/>
        <w:rPr>
          <w:rFonts w:ascii="Palatino Linotype" w:hAnsi="Palatino Linotype" w:cs="Arial"/>
          <w:i/>
          <w:sz w:val="22"/>
          <w:lang w:val="es-ES"/>
        </w:rPr>
      </w:pPr>
      <w:r w:rsidRPr="00924EA6">
        <w:rPr>
          <w:rFonts w:ascii="Palatino Linotype" w:hAnsi="Palatino Linotype" w:cs="Arial"/>
          <w:i/>
          <w:sz w:val="22"/>
        </w:rPr>
        <w:t>“</w:t>
      </w:r>
      <w:r w:rsidR="000E473E" w:rsidRPr="000E473E">
        <w:rPr>
          <w:rFonts w:ascii="Palatino Linotype" w:hAnsi="Palatino Linotype" w:cs="Arial"/>
          <w:i/>
          <w:sz w:val="22"/>
          <w:lang w:val="es-ES"/>
        </w:rPr>
        <w:t xml:space="preserve">PRIMERO. Se REVOCAN las respuesta del Sujeto Obligado para atender la solicitud de acceso a la información 00130/ECATEPEC/IP/2022, 00131/ECATEPEC/IP/2022, 00132/ECATEPEC/IP/2022 y </w:t>
      </w:r>
      <w:r w:rsidR="000E473E" w:rsidRPr="000E473E">
        <w:rPr>
          <w:rFonts w:ascii="Palatino Linotype" w:hAnsi="Palatino Linotype" w:cs="Arial"/>
          <w:i/>
          <w:sz w:val="22"/>
          <w:lang w:val="es-ES"/>
        </w:rPr>
        <w:lastRenderedPageBreak/>
        <w:t>00133/ECATEPEC/IP/2022, por resultar fundadas las razones o motivos de inconformidad hechos valer por el Recurrente en los Recursos de Revisión 03451/INFOEM/IP/RR/2022, 03453/INFOEM/IP/RR/2022, 03454/INFOEM/IP/RR/2022 y 03455/INFOEM/IP/RR/2022 en términos del Considerando QUINTO y SÉPTIMO de esta Resolución.</w:t>
      </w:r>
    </w:p>
    <w:p w:rsidR="000E473E" w:rsidRPr="000E473E" w:rsidRDefault="000E473E" w:rsidP="000E473E">
      <w:pPr>
        <w:pStyle w:val="Sinespaciado"/>
        <w:ind w:left="426" w:right="990"/>
        <w:jc w:val="both"/>
        <w:rPr>
          <w:rFonts w:ascii="Palatino Linotype" w:hAnsi="Palatino Linotype" w:cs="Arial"/>
          <w:i/>
          <w:sz w:val="22"/>
          <w:lang w:val="es-ES"/>
        </w:rPr>
      </w:pP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SEGUNDO. Se ORDENA al Ayuntamiento de Ecatepec de Morelos, a efecto de que, entregue a través del Sistema de Acceso a la Información Mexiquense (SAIMEX), en su caso en versión pública, lo siguiente:</w:t>
      </w:r>
    </w:p>
    <w:p w:rsidR="000E473E" w:rsidRPr="000E473E" w:rsidRDefault="000E473E" w:rsidP="000E473E">
      <w:pPr>
        <w:pStyle w:val="Sinespaciado"/>
        <w:ind w:left="567" w:right="990"/>
        <w:jc w:val="both"/>
        <w:rPr>
          <w:rFonts w:ascii="Palatino Linotype" w:hAnsi="Palatino Linotype" w:cs="Arial"/>
          <w:i/>
          <w:sz w:val="22"/>
          <w:lang w:val="es-ES"/>
        </w:rPr>
      </w:pP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a)</w:t>
      </w:r>
      <w:r w:rsidRPr="000E473E">
        <w:rPr>
          <w:rFonts w:ascii="Palatino Linotype" w:hAnsi="Palatino Linotype" w:cs="Arial"/>
          <w:i/>
          <w:sz w:val="22"/>
          <w:lang w:val="es-ES"/>
        </w:rPr>
        <w:tab/>
        <w:t xml:space="preserve">Del Órgano Consultivo de Apoyo del Sistema Municipal de Protección Integral de Niñas, Niños, y Adolescentes: </w:t>
      </w:r>
    </w:p>
    <w:p w:rsidR="000E473E" w:rsidRPr="000E473E" w:rsidRDefault="000E473E" w:rsidP="000E473E">
      <w:pPr>
        <w:pStyle w:val="Sinespaciado"/>
        <w:ind w:left="426" w:right="990"/>
        <w:jc w:val="both"/>
        <w:rPr>
          <w:rFonts w:ascii="Palatino Linotype" w:hAnsi="Palatino Linotype" w:cs="Arial"/>
          <w:i/>
          <w:sz w:val="22"/>
          <w:lang w:val="es-ES"/>
        </w:rPr>
      </w:pP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1.</w:t>
      </w:r>
      <w:r w:rsidRPr="000E473E">
        <w:rPr>
          <w:rFonts w:ascii="Palatino Linotype" w:hAnsi="Palatino Linotype" w:cs="Arial"/>
          <w:i/>
          <w:sz w:val="22"/>
          <w:lang w:val="es-ES"/>
        </w:rPr>
        <w:tab/>
        <w:t>Nombre del servidor público Titular y datos de contacto.</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2.</w:t>
      </w:r>
      <w:r w:rsidRPr="000E473E">
        <w:rPr>
          <w:rFonts w:ascii="Palatino Linotype" w:hAnsi="Palatino Linotype" w:cs="Arial"/>
          <w:i/>
          <w:sz w:val="22"/>
          <w:lang w:val="es-ES"/>
        </w:rPr>
        <w:tab/>
        <w:t>Reglamento, reglas de organización y funcionamiento.</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3.</w:t>
      </w:r>
      <w:r w:rsidRPr="000E473E">
        <w:rPr>
          <w:rFonts w:ascii="Palatino Linotype" w:hAnsi="Palatino Linotype" w:cs="Arial"/>
          <w:i/>
          <w:sz w:val="22"/>
          <w:lang w:val="es-ES"/>
        </w:rPr>
        <w:tab/>
        <w:t xml:space="preserve">Última convocatoria emitida para su integración. </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4.</w:t>
      </w:r>
      <w:r w:rsidRPr="000E473E">
        <w:rPr>
          <w:rFonts w:ascii="Palatino Linotype" w:hAnsi="Palatino Linotype" w:cs="Arial"/>
          <w:i/>
          <w:sz w:val="22"/>
          <w:lang w:val="es-ES"/>
        </w:rPr>
        <w:tab/>
        <w:t>El o los documentos que den cuenta de los resultados en el proceso de selección de integrantes.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5.</w:t>
      </w:r>
      <w:r w:rsidRPr="000E473E">
        <w:rPr>
          <w:rFonts w:ascii="Palatino Linotype" w:hAnsi="Palatino Linotype" w:cs="Arial"/>
          <w:i/>
          <w:sz w:val="22"/>
          <w:lang w:val="es-ES"/>
        </w:rPr>
        <w:tab/>
        <w:t>Lista de integrantes actuales con nombre y organización/institución/territorio que representa.</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6.</w:t>
      </w:r>
      <w:r w:rsidRPr="000E473E">
        <w:rPr>
          <w:rFonts w:ascii="Palatino Linotype" w:hAnsi="Palatino Linotype" w:cs="Arial"/>
          <w:i/>
          <w:sz w:val="22"/>
          <w:lang w:val="es-ES"/>
        </w:rPr>
        <w:tab/>
        <w:t>Acta de instalación.</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7.</w:t>
      </w:r>
      <w:r w:rsidRPr="000E473E">
        <w:rPr>
          <w:rFonts w:ascii="Palatino Linotype" w:hAnsi="Palatino Linotype" w:cs="Arial"/>
          <w:i/>
          <w:sz w:val="22"/>
          <w:lang w:val="es-ES"/>
        </w:rPr>
        <w:tab/>
        <w:t>Orden del día de las sesiones y reuniones realizadas en los últimos tres años.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8.</w:t>
      </w:r>
      <w:r w:rsidRPr="000E473E">
        <w:rPr>
          <w:rFonts w:ascii="Palatino Linotype" w:hAnsi="Palatino Linotype" w:cs="Arial"/>
          <w:i/>
          <w:sz w:val="22"/>
          <w:lang w:val="es-ES"/>
        </w:rPr>
        <w:tab/>
        <w:t>Listas de asistencia de las sesiones y reuniones realizadas en los últimos tres años.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9.</w:t>
      </w:r>
      <w:r w:rsidRPr="000E473E">
        <w:rPr>
          <w:rFonts w:ascii="Palatino Linotype" w:hAnsi="Palatino Linotype" w:cs="Arial"/>
          <w:i/>
          <w:sz w:val="22"/>
          <w:lang w:val="es-ES"/>
        </w:rPr>
        <w:tab/>
        <w:t>Actas o minutas de las sesiones y reuniones realizadas en los últimos tres años.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10.</w:t>
      </w:r>
      <w:r w:rsidRPr="000E473E">
        <w:rPr>
          <w:rFonts w:ascii="Palatino Linotype" w:hAnsi="Palatino Linotype" w:cs="Arial"/>
          <w:i/>
          <w:sz w:val="22"/>
          <w:lang w:val="es-ES"/>
        </w:rPr>
        <w:tab/>
        <w:t>Documentos de planeación operativa (programas, planes, metodologías, cronogramas o similares) en los últimos tres años.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11.</w:t>
      </w:r>
      <w:r w:rsidRPr="000E473E">
        <w:rPr>
          <w:rFonts w:ascii="Palatino Linotype" w:hAnsi="Palatino Linotype" w:cs="Arial"/>
          <w:i/>
          <w:sz w:val="22"/>
          <w:lang w:val="es-ES"/>
        </w:rPr>
        <w:tab/>
        <w:t>Propuestas, recomendaciones, opiniones, posicionamientos, observaciones y/o denuncias.</w:t>
      </w: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12.</w:t>
      </w:r>
      <w:r w:rsidRPr="000E473E">
        <w:rPr>
          <w:rFonts w:ascii="Palatino Linotype" w:hAnsi="Palatino Linotype" w:cs="Arial"/>
          <w:i/>
          <w:sz w:val="22"/>
          <w:lang w:val="es-ES"/>
        </w:rPr>
        <w:tab/>
        <w:t>Informes de actividades y/o resultados.</w:t>
      </w:r>
    </w:p>
    <w:p w:rsidR="000E473E" w:rsidRPr="000E473E" w:rsidRDefault="000E473E" w:rsidP="000E473E">
      <w:pPr>
        <w:pStyle w:val="Sinespaciado"/>
        <w:ind w:left="567" w:right="990"/>
        <w:jc w:val="both"/>
        <w:rPr>
          <w:rFonts w:ascii="Palatino Linotype" w:hAnsi="Palatino Linotype" w:cs="Arial"/>
          <w:i/>
          <w:sz w:val="22"/>
          <w:lang w:val="es-ES"/>
        </w:rPr>
      </w:pPr>
    </w:p>
    <w:p w:rsidR="000E473E" w:rsidRPr="000E473E" w:rsidRDefault="000E473E" w:rsidP="000E473E">
      <w:pPr>
        <w:pStyle w:val="Sinespaciado"/>
        <w:ind w:left="426" w:right="990"/>
        <w:jc w:val="both"/>
        <w:rPr>
          <w:rFonts w:ascii="Palatino Linotype" w:hAnsi="Palatino Linotype" w:cs="Arial"/>
          <w:i/>
          <w:sz w:val="22"/>
          <w:lang w:val="es-ES"/>
        </w:rPr>
      </w:pPr>
      <w:r w:rsidRPr="000E473E">
        <w:rPr>
          <w:rFonts w:ascii="Palatino Linotype" w:hAnsi="Palatino Linotype" w:cs="Arial"/>
          <w:i/>
          <w:sz w:val="22"/>
          <w:lang w:val="es-ES"/>
        </w:rPr>
        <w:t>Junto con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000E473E" w:rsidRPr="000E473E" w:rsidRDefault="000E473E" w:rsidP="000E473E">
      <w:pPr>
        <w:pStyle w:val="Sinespaciado"/>
        <w:ind w:left="567" w:right="990"/>
        <w:jc w:val="both"/>
        <w:rPr>
          <w:rFonts w:ascii="Palatino Linotype" w:hAnsi="Palatino Linotype" w:cs="Arial"/>
          <w:i/>
          <w:sz w:val="22"/>
          <w:lang w:val="es-ES"/>
        </w:rPr>
      </w:pPr>
    </w:p>
    <w:p w:rsidR="00924EA6" w:rsidRDefault="000E473E" w:rsidP="000E473E">
      <w:pPr>
        <w:pStyle w:val="Sinespaciado"/>
        <w:ind w:left="567" w:right="990"/>
        <w:jc w:val="both"/>
        <w:rPr>
          <w:rFonts w:ascii="Palatino Linotype" w:hAnsi="Palatino Linotype" w:cs="Arial"/>
          <w:i/>
          <w:sz w:val="22"/>
        </w:rPr>
      </w:pPr>
      <w:r w:rsidRPr="000E473E">
        <w:rPr>
          <w:rFonts w:ascii="Palatino Linotype" w:hAnsi="Palatino Linotype" w:cs="Arial"/>
          <w:i/>
          <w:sz w:val="22"/>
          <w:lang w:val="es-ES"/>
        </w:rPr>
        <w:lastRenderedPageBreak/>
        <w:t>Para el caso que alguna de la información que se ordena entregar no obre en los archivos del Sujeto Obligado en virtud de no contar con atribuciones para generarla, bastará que se haga del conocimiento del Parti</w:t>
      </w:r>
      <w:r>
        <w:rPr>
          <w:rFonts w:ascii="Palatino Linotype" w:hAnsi="Palatino Linotype" w:cs="Arial"/>
          <w:i/>
          <w:sz w:val="22"/>
          <w:lang w:val="es-ES"/>
        </w:rPr>
        <w:t>cular de manera precisa y clara</w:t>
      </w:r>
      <w:r w:rsidR="00924EA6" w:rsidRPr="00924EA6">
        <w:rPr>
          <w:rFonts w:ascii="Palatino Linotype" w:hAnsi="Palatino Linotype" w:cs="Arial"/>
          <w:i/>
          <w:sz w:val="22"/>
        </w:rPr>
        <w:t>.”</w:t>
      </w:r>
    </w:p>
    <w:p w:rsidR="00B80B58" w:rsidRDefault="00B80B58" w:rsidP="000E473E">
      <w:pPr>
        <w:pStyle w:val="Sinespaciado"/>
        <w:ind w:left="567" w:right="990"/>
        <w:jc w:val="both"/>
        <w:rPr>
          <w:rFonts w:ascii="Palatino Linotype" w:hAnsi="Palatino Linotype" w:cs="Arial"/>
          <w:i/>
          <w:sz w:val="22"/>
        </w:rPr>
      </w:pPr>
    </w:p>
    <w:p w:rsidR="00B80B58" w:rsidRPr="00B80B58" w:rsidRDefault="00B80B58" w:rsidP="00B80B58">
      <w:pPr>
        <w:spacing w:line="276" w:lineRule="auto"/>
        <w:ind w:left="567" w:right="990"/>
        <w:jc w:val="both"/>
        <w:rPr>
          <w:rFonts w:ascii="Palatino Linotype" w:hAnsi="Palatino Linotype" w:cs="Tahoma"/>
          <w:i/>
        </w:rPr>
      </w:pPr>
      <w:r w:rsidRPr="00B80B58">
        <w:rPr>
          <w:rFonts w:ascii="Palatino Linotype" w:eastAsia="Calibri" w:hAnsi="Palatino Linotype" w:cs="Tahoma"/>
          <w:b/>
          <w:bCs/>
          <w:i/>
        </w:rPr>
        <w:t>TERCERO.</w:t>
      </w:r>
      <w:r w:rsidRPr="00B80B58">
        <w:rPr>
          <w:rFonts w:ascii="Palatino Linotype" w:hAnsi="Palatino Linotype" w:cs="Tahoma"/>
          <w:i/>
          <w:color w:val="000000" w:themeColor="text1"/>
        </w:rPr>
        <w:t xml:space="preserve"> </w:t>
      </w:r>
      <w:r w:rsidRPr="00B80B58">
        <w:rPr>
          <w:rFonts w:ascii="Palatino Linotype" w:hAnsi="Palatino Linotype" w:cs="Tahoma"/>
          <w:b/>
          <w:i/>
        </w:rPr>
        <w:t xml:space="preserve">NOTIFÍQUESE </w:t>
      </w:r>
      <w:r w:rsidRPr="00B80B58">
        <w:rPr>
          <w:rFonts w:ascii="Palatino Linotype" w:hAnsi="Palatino Linotype" w:cs="Tahoma"/>
          <w:i/>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w:t>
      </w:r>
      <w:r w:rsidRPr="00B80B58">
        <w:rPr>
          <w:rFonts w:ascii="Palatino Linotype" w:hAnsi="Palatino Linotype" w:cs="Tahoma"/>
          <w:b/>
          <w:i/>
          <w:u w:val="single"/>
        </w:rPr>
        <w:t>cumplimiento a lo ordenado dentro del plazo de veinte días hábiles</w:t>
      </w:r>
      <w:r w:rsidRPr="00B80B58">
        <w:rPr>
          <w:rFonts w:ascii="Palatino Linotype" w:hAnsi="Palatino Linotype" w:cs="Tahoma"/>
          <w:i/>
        </w:rPr>
        <w:t>, e informe a este Instituto en un plazo de tres días hábiles siguientes sobre el cumplimiento dado a la presente.</w:t>
      </w:r>
    </w:p>
    <w:p w:rsidR="00B80B58" w:rsidRPr="00B80B58" w:rsidRDefault="00B80B58" w:rsidP="00B80B58">
      <w:pPr>
        <w:spacing w:line="276" w:lineRule="auto"/>
        <w:ind w:left="567" w:right="990"/>
        <w:jc w:val="both"/>
        <w:rPr>
          <w:rFonts w:ascii="Palatino Linotype" w:hAnsi="Palatino Linotype" w:cs="Tahoma"/>
          <w:b/>
          <w:i/>
          <w:iCs/>
          <w:u w:val="single"/>
        </w:rPr>
      </w:pPr>
      <w:r w:rsidRPr="00B80B58">
        <w:rPr>
          <w:rFonts w:ascii="Palatino Linotype" w:hAnsi="Palatino Linotype" w:cs="Tahoma"/>
          <w:i/>
          <w:iCs/>
        </w:rPr>
        <w:t xml:space="preserve">De conformidad con el artículo 198 de la Ley de Transparencia y Acceso a la Información Pública del Estado de México y Municipios, </w:t>
      </w:r>
      <w:r w:rsidRPr="00B80B58">
        <w:rPr>
          <w:rFonts w:ascii="Palatino Linotype" w:hAnsi="Palatino Linotype" w:cs="Tahoma"/>
          <w:b/>
          <w:i/>
          <w:iCs/>
          <w:u w:val="single"/>
        </w:rPr>
        <w:t>de considerarlo procedente, el Sujeto Obligado de manera fundada y motivada, podrá solicitar una ampliación de plazo para el cumplimiento de la presente resolución</w:t>
      </w:r>
      <w:r>
        <w:rPr>
          <w:rFonts w:ascii="Palatino Linotype" w:hAnsi="Palatino Linotype" w:cs="Tahoma"/>
          <w:b/>
          <w:i/>
          <w:iCs/>
          <w:u w:val="single"/>
        </w:rPr>
        <w:t>”</w:t>
      </w:r>
    </w:p>
    <w:p w:rsidR="00924EA6" w:rsidRDefault="00924EA6" w:rsidP="00924EA6">
      <w:pPr>
        <w:pStyle w:val="Sinespaciado"/>
        <w:spacing w:line="360" w:lineRule="auto"/>
        <w:rPr>
          <w:rFonts w:ascii="Palatino Linotype" w:hAnsi="Palatino Linotype" w:cs="Arial"/>
          <w:i/>
        </w:rPr>
      </w:pPr>
    </w:p>
    <w:p w:rsidR="00761CA5" w:rsidRDefault="00924EA6" w:rsidP="00291185">
      <w:pPr>
        <w:pStyle w:val="Sinespaciado"/>
        <w:numPr>
          <w:ilvl w:val="0"/>
          <w:numId w:val="2"/>
        </w:numPr>
        <w:spacing w:line="360" w:lineRule="auto"/>
        <w:ind w:left="426" w:hanging="371"/>
        <w:rPr>
          <w:rFonts w:ascii="Palatino Linotype" w:hAnsi="Palatino Linotype" w:cs="Arial"/>
          <w:b/>
        </w:rPr>
      </w:pPr>
      <w:r w:rsidRPr="00924EA6">
        <w:rPr>
          <w:rFonts w:ascii="Palatino Linotype" w:hAnsi="Palatino Linotype" w:cs="Arial"/>
          <w:b/>
        </w:rPr>
        <w:t>Razones del Voto Particular</w:t>
      </w:r>
    </w:p>
    <w:p w:rsidR="000E473E" w:rsidRPr="00291185" w:rsidRDefault="000E473E" w:rsidP="000E473E">
      <w:pPr>
        <w:pStyle w:val="Sinespaciado"/>
        <w:spacing w:line="360" w:lineRule="auto"/>
        <w:ind w:left="426"/>
        <w:rPr>
          <w:rFonts w:ascii="Palatino Linotype" w:hAnsi="Palatino Linotype" w:cs="Arial"/>
          <w:b/>
        </w:rPr>
      </w:pPr>
    </w:p>
    <w:p w:rsidR="00C700E4" w:rsidRPr="006B7D16" w:rsidRDefault="000E473E" w:rsidP="00C700E4">
      <w:pPr>
        <w:pStyle w:val="Sinespaciado"/>
        <w:spacing w:line="360" w:lineRule="auto"/>
        <w:jc w:val="both"/>
        <w:rPr>
          <w:rFonts w:ascii="Palatino Linotype" w:hAnsi="Palatino Linotype" w:cs="Arial"/>
          <w:b/>
        </w:rPr>
      </w:pPr>
      <w:r>
        <w:rPr>
          <w:rFonts w:ascii="Palatino Linotype" w:hAnsi="Palatino Linotype" w:cs="Arial"/>
        </w:rPr>
        <w:t>En primera instancia, resulta importante señalar que se comparte</w:t>
      </w:r>
      <w:r w:rsidR="00761CA5" w:rsidRPr="00230F73">
        <w:rPr>
          <w:rFonts w:ascii="Palatino Linotype" w:hAnsi="Palatino Linotype" w:cs="Arial"/>
        </w:rPr>
        <w:t xml:space="preserve"> </w:t>
      </w:r>
      <w:r>
        <w:rPr>
          <w:rFonts w:ascii="Palatino Linotype" w:hAnsi="Palatino Linotype" w:cs="Arial"/>
        </w:rPr>
        <w:t xml:space="preserve">en esencia, </w:t>
      </w:r>
      <w:r w:rsidR="00761CA5" w:rsidRPr="00230F73">
        <w:rPr>
          <w:rFonts w:ascii="Palatino Linotype" w:hAnsi="Palatino Linotype" w:cs="Arial"/>
        </w:rPr>
        <w:t xml:space="preserve">el sentido de la resolución, </w:t>
      </w:r>
      <w:r>
        <w:rPr>
          <w:rFonts w:ascii="Palatino Linotype" w:hAnsi="Palatino Linotype" w:cs="Arial"/>
        </w:rPr>
        <w:t xml:space="preserve">sin embargo, el punto medular del presente voto radica en el plazo que </w:t>
      </w:r>
      <w:r w:rsidR="00B80B58">
        <w:rPr>
          <w:rFonts w:ascii="Palatino Linotype" w:hAnsi="Palatino Linotype" w:cs="Arial"/>
        </w:rPr>
        <w:t>se</w:t>
      </w:r>
      <w:r>
        <w:rPr>
          <w:rFonts w:ascii="Palatino Linotype" w:hAnsi="Palatino Linotype" w:cs="Arial"/>
        </w:rPr>
        <w:t xml:space="preserve"> otorgó al Sujeto Obligado para dar cumplimiento a la resolución, el cual consiste en </w:t>
      </w:r>
      <w:r w:rsidRPr="000E473E">
        <w:rPr>
          <w:rFonts w:ascii="Palatino Linotype" w:hAnsi="Palatino Linotype" w:cs="Arial"/>
          <w:b/>
        </w:rPr>
        <w:t>veinte días hábiles</w:t>
      </w:r>
      <w:r>
        <w:rPr>
          <w:rFonts w:ascii="Palatino Linotype" w:hAnsi="Palatino Linotype" w:cs="Arial"/>
          <w:b/>
        </w:rPr>
        <w:t>,</w:t>
      </w:r>
      <w:r w:rsidR="006B7D16">
        <w:rPr>
          <w:rFonts w:ascii="Palatino Linotype" w:hAnsi="Palatino Linotype" w:cs="Arial"/>
          <w:b/>
        </w:rPr>
        <w:t xml:space="preserve"> </w:t>
      </w:r>
      <w:r w:rsidRPr="000E473E">
        <w:rPr>
          <w:rFonts w:ascii="Palatino Linotype" w:hAnsi="Palatino Linotype" w:cs="Arial"/>
        </w:rPr>
        <w:t>ello bajo</w:t>
      </w:r>
      <w:r w:rsidR="006B7D16">
        <w:rPr>
          <w:rFonts w:ascii="Palatino Linotype" w:hAnsi="Palatino Linotype" w:cs="Arial"/>
        </w:rPr>
        <w:t xml:space="preserve"> el </w:t>
      </w:r>
      <w:r w:rsidRPr="000E473E">
        <w:rPr>
          <w:rFonts w:ascii="Palatino Linotype" w:hAnsi="Palatino Linotype" w:cs="Arial"/>
        </w:rPr>
        <w:t xml:space="preserve"> </w:t>
      </w:r>
      <w:r w:rsidR="00C700E4">
        <w:rPr>
          <w:rFonts w:ascii="Palatino Linotype" w:hAnsi="Palatino Linotype" w:cs="Arial"/>
        </w:rPr>
        <w:t>siguiente</w:t>
      </w:r>
      <w:r w:rsidR="006B7D16">
        <w:rPr>
          <w:rFonts w:ascii="Palatino Linotype" w:hAnsi="Palatino Linotype" w:cs="Arial"/>
        </w:rPr>
        <w:t xml:space="preserve"> argumento</w:t>
      </w:r>
      <w:r w:rsidR="00C700E4">
        <w:rPr>
          <w:rFonts w:ascii="Palatino Linotype" w:hAnsi="Palatino Linotype" w:cs="Arial"/>
        </w:rPr>
        <w:t xml:space="preserve"> </w:t>
      </w:r>
      <w:r w:rsidR="00C700E4" w:rsidRPr="00C700E4">
        <w:rPr>
          <w:rFonts w:ascii="Palatino Linotype" w:hAnsi="Palatino Linotype" w:cs="Arial"/>
          <w:i/>
        </w:rPr>
        <w:t xml:space="preserve">“…en términos del último párrafo, del artículo 186 de la Ley de Transparencia y Acceso a la Información Pública del Estado de México y Municipios, este Organismo Garante considera necesario que para la atención de la Presente, no  se otorgue el plazo de Ley de diez hábiles sino que, a fin de que el Sujeto Obligado se encuentre en condiciones óptimas para dar atención a lo requerido sin que esto signifique que se rebasen sus capacidades técnicas, administrativas y humanas, es necesario que se amplié el término legal para su cumplimiento; por lo que, para el caso que nos ocupa, </w:t>
      </w:r>
      <w:r w:rsidR="00C700E4" w:rsidRPr="006B7D16">
        <w:rPr>
          <w:rFonts w:ascii="Palatino Linotype" w:hAnsi="Palatino Linotype" w:cs="Arial"/>
          <w:b/>
          <w:i/>
          <w:u w:val="single"/>
        </w:rPr>
        <w:t>en virtud de que el Ayuntamiento deberá realizar una búsqueda de información de tres años de antigüedad, así como, del número total de documentos que deberá digitalizar y subir al Sistema de Acceso a la Información Mexiquense (SAIMEX),</w:t>
      </w:r>
      <w:r w:rsidR="00C700E4" w:rsidRPr="00C700E4">
        <w:rPr>
          <w:rFonts w:ascii="Palatino Linotype" w:hAnsi="Palatino Linotype" w:cs="Arial"/>
          <w:i/>
        </w:rPr>
        <w:t xml:space="preserve"> se considera procedente otorgar un término de veinte días hábiles para el cumplimiento de la Presente.”(Sic)</w:t>
      </w:r>
    </w:p>
    <w:p w:rsidR="00C700E4" w:rsidRDefault="00C700E4" w:rsidP="000E473E">
      <w:pPr>
        <w:pStyle w:val="Sinespaciado"/>
        <w:spacing w:line="360" w:lineRule="auto"/>
        <w:jc w:val="both"/>
        <w:rPr>
          <w:rFonts w:ascii="Palatino Linotype" w:hAnsi="Palatino Linotype" w:cs="Arial"/>
        </w:rPr>
      </w:pPr>
    </w:p>
    <w:p w:rsidR="00073BCB" w:rsidRDefault="00073BCB" w:rsidP="000E473E">
      <w:pPr>
        <w:pStyle w:val="Sinespaciado"/>
        <w:spacing w:line="360" w:lineRule="auto"/>
        <w:jc w:val="both"/>
        <w:rPr>
          <w:rFonts w:ascii="Palatino Linotype" w:hAnsi="Palatino Linotype" w:cs="Arial"/>
        </w:rPr>
      </w:pPr>
      <w:r>
        <w:rPr>
          <w:rFonts w:ascii="Palatino Linotype" w:hAnsi="Palatino Linotype" w:cs="Arial"/>
        </w:rPr>
        <w:t xml:space="preserve">Bajo esta línea de pensamiento, el artículo 186 </w:t>
      </w:r>
      <w:r w:rsidR="00A32493">
        <w:rPr>
          <w:rFonts w:ascii="Palatino Linotype" w:hAnsi="Palatino Linotype" w:cs="Arial"/>
        </w:rPr>
        <w:t xml:space="preserve">de la Ley de Transparencia y Acceso a la Información Pública del Estado de México y Municipios, </w:t>
      </w:r>
      <w:r>
        <w:rPr>
          <w:rFonts w:ascii="Palatino Linotype" w:hAnsi="Palatino Linotype" w:cs="Arial"/>
        </w:rPr>
        <w:t xml:space="preserve">en su último párrafo establece lo siguiente: </w:t>
      </w:r>
    </w:p>
    <w:p w:rsidR="006B7D16" w:rsidRDefault="006B7D16" w:rsidP="000E473E">
      <w:pPr>
        <w:pStyle w:val="Sinespaciado"/>
        <w:spacing w:line="360" w:lineRule="auto"/>
        <w:jc w:val="both"/>
        <w:rPr>
          <w:rFonts w:ascii="Palatino Linotype" w:hAnsi="Palatino Linotype" w:cs="Arial"/>
        </w:rPr>
      </w:pPr>
    </w:p>
    <w:p w:rsidR="00073BCB" w:rsidRDefault="00073BCB" w:rsidP="00073BCB">
      <w:pPr>
        <w:pStyle w:val="Sinespaciado"/>
        <w:spacing w:line="276" w:lineRule="auto"/>
        <w:ind w:left="567" w:right="990"/>
        <w:jc w:val="both"/>
        <w:rPr>
          <w:rFonts w:ascii="Palatino Linotype" w:hAnsi="Palatino Linotype" w:cs="Arial"/>
          <w:i/>
          <w:sz w:val="22"/>
        </w:rPr>
      </w:pPr>
      <w:r w:rsidRPr="00073BCB">
        <w:rPr>
          <w:rFonts w:ascii="Palatino Linotype" w:hAnsi="Palatino Linotype" w:cs="Arial"/>
          <w:i/>
          <w:sz w:val="22"/>
        </w:rPr>
        <w:t>“Artículo 186</w:t>
      </w:r>
    </w:p>
    <w:p w:rsidR="00073BCB" w:rsidRPr="00073BCB" w:rsidRDefault="00073BCB" w:rsidP="00073BCB">
      <w:pPr>
        <w:pStyle w:val="Sinespaciado"/>
        <w:spacing w:line="276" w:lineRule="auto"/>
        <w:ind w:left="567" w:right="990"/>
        <w:jc w:val="both"/>
        <w:rPr>
          <w:rFonts w:ascii="Palatino Linotype" w:hAnsi="Palatino Linotype" w:cs="Arial"/>
          <w:i/>
          <w:sz w:val="22"/>
        </w:rPr>
      </w:pPr>
      <w:r>
        <w:rPr>
          <w:rFonts w:ascii="Palatino Linotype" w:hAnsi="Palatino Linotype" w:cs="Arial"/>
          <w:i/>
          <w:sz w:val="22"/>
        </w:rPr>
        <w:t>…</w:t>
      </w:r>
    </w:p>
    <w:p w:rsidR="00073BCB" w:rsidRDefault="00073BCB" w:rsidP="00073BCB">
      <w:pPr>
        <w:pStyle w:val="Sinespaciado"/>
        <w:spacing w:line="276" w:lineRule="auto"/>
        <w:ind w:left="567" w:right="990"/>
        <w:jc w:val="both"/>
        <w:rPr>
          <w:rFonts w:ascii="Palatino Linotype" w:hAnsi="Palatino Linotype" w:cs="Arial"/>
          <w:i/>
          <w:sz w:val="22"/>
        </w:rPr>
      </w:pPr>
      <w:r w:rsidRPr="006B7D16">
        <w:rPr>
          <w:rFonts w:ascii="Palatino Linotype" w:hAnsi="Palatino Linotype" w:cs="Arial"/>
          <w:i/>
          <w:sz w:val="22"/>
        </w:rPr>
        <w:t xml:space="preserve">Las resoluciones establecerán, en su caso, los plazos y términos para su cumplimiento y los procedimientos para asegurar su ejecución, </w:t>
      </w:r>
      <w:r w:rsidRPr="006B7D16">
        <w:rPr>
          <w:rFonts w:ascii="Palatino Linotype" w:hAnsi="Palatino Linotype" w:cs="Arial"/>
          <w:b/>
          <w:i/>
          <w:sz w:val="22"/>
          <w:u w:val="single"/>
        </w:rPr>
        <w:t>los cuales no podrán exceder de diez días hábiles para la entrega de información</w:t>
      </w:r>
      <w:r w:rsidRPr="006B7D16">
        <w:rPr>
          <w:rFonts w:ascii="Palatino Linotype" w:hAnsi="Palatino Linotype" w:cs="Arial"/>
          <w:i/>
          <w:sz w:val="22"/>
        </w:rPr>
        <w:t>. Excepcionalmente el Instituto, previa fundamentación y motivación, podrán ampliar estos plazos cuando el asunto así lo requiera</w:t>
      </w:r>
      <w:r>
        <w:rPr>
          <w:rFonts w:ascii="Palatino Linotype" w:hAnsi="Palatino Linotype" w:cs="Arial"/>
          <w:b/>
          <w:i/>
          <w:sz w:val="22"/>
          <w:u w:val="single"/>
        </w:rPr>
        <w:t xml:space="preserve">” </w:t>
      </w:r>
      <w:r>
        <w:rPr>
          <w:rFonts w:ascii="Palatino Linotype" w:hAnsi="Palatino Linotype" w:cs="Arial"/>
          <w:i/>
          <w:sz w:val="22"/>
        </w:rPr>
        <w:t>(Sic) (Énfasis añadido)</w:t>
      </w:r>
    </w:p>
    <w:p w:rsidR="00073BCB" w:rsidRDefault="00073BCB" w:rsidP="00073BCB">
      <w:pPr>
        <w:pStyle w:val="Sinespaciado"/>
        <w:spacing w:line="276" w:lineRule="auto"/>
        <w:ind w:right="990"/>
        <w:jc w:val="both"/>
        <w:rPr>
          <w:rFonts w:ascii="Palatino Linotype" w:hAnsi="Palatino Linotype" w:cs="Arial"/>
          <w:sz w:val="22"/>
        </w:rPr>
      </w:pPr>
    </w:p>
    <w:p w:rsidR="006B7D16" w:rsidRDefault="00073BCB" w:rsidP="00073BCB">
      <w:pPr>
        <w:pStyle w:val="Sinespaciado"/>
        <w:spacing w:line="360" w:lineRule="auto"/>
        <w:ind w:right="-6"/>
        <w:jc w:val="both"/>
        <w:rPr>
          <w:rFonts w:ascii="Palatino Linotype" w:hAnsi="Palatino Linotype" w:cs="Arial"/>
        </w:rPr>
      </w:pPr>
      <w:r w:rsidRPr="00073BCB">
        <w:rPr>
          <w:rFonts w:ascii="Palatino Linotype" w:hAnsi="Palatino Linotype" w:cs="Arial"/>
        </w:rPr>
        <w:t xml:space="preserve">Resulta </w:t>
      </w:r>
      <w:r>
        <w:rPr>
          <w:rFonts w:ascii="Palatino Linotype" w:hAnsi="Palatino Linotype" w:cs="Arial"/>
        </w:rPr>
        <w:t>importante traer a colación el contenido de este precepto legal, en razón de que el plazo concedido para el cumplimiento de las resoluciones es de diez días hábiles, sin embargo, la legislación establece una excepción para la ampliación de dicho plazo previa fundamentación y motivación cuando el asunto as</w:t>
      </w:r>
      <w:r w:rsidR="00A32493">
        <w:rPr>
          <w:rFonts w:ascii="Palatino Linotype" w:hAnsi="Palatino Linotype" w:cs="Arial"/>
        </w:rPr>
        <w:t>í lo requiera.</w:t>
      </w:r>
    </w:p>
    <w:p w:rsidR="006B7D16" w:rsidRDefault="006B7D16" w:rsidP="00073BCB">
      <w:pPr>
        <w:pStyle w:val="Sinespaciado"/>
        <w:spacing w:line="360" w:lineRule="auto"/>
        <w:ind w:right="-6"/>
        <w:jc w:val="both"/>
        <w:rPr>
          <w:rFonts w:ascii="Palatino Linotype" w:hAnsi="Palatino Linotype" w:cs="Arial"/>
        </w:rPr>
      </w:pPr>
    </w:p>
    <w:p w:rsidR="00A32493" w:rsidRDefault="006B7D16" w:rsidP="00073BCB">
      <w:pPr>
        <w:pStyle w:val="Sinespaciado"/>
        <w:spacing w:line="360" w:lineRule="auto"/>
        <w:ind w:right="-6"/>
        <w:jc w:val="both"/>
        <w:rPr>
          <w:rFonts w:ascii="Palatino Linotype" w:hAnsi="Palatino Linotype" w:cs="Arial"/>
        </w:rPr>
      </w:pPr>
      <w:r>
        <w:rPr>
          <w:rFonts w:ascii="Palatino Linotype" w:hAnsi="Palatino Linotype" w:cs="Arial"/>
        </w:rPr>
        <w:t xml:space="preserve">En este sentido, como ya se mencionó, si bien la Ponencia </w:t>
      </w:r>
      <w:proofErr w:type="spellStart"/>
      <w:r>
        <w:rPr>
          <w:rFonts w:ascii="Palatino Linotype" w:hAnsi="Palatino Linotype" w:cs="Arial"/>
        </w:rPr>
        <w:t>resolutora</w:t>
      </w:r>
      <w:proofErr w:type="spellEnd"/>
      <w:r>
        <w:rPr>
          <w:rFonts w:ascii="Palatino Linotype" w:hAnsi="Palatino Linotype" w:cs="Arial"/>
        </w:rPr>
        <w:t xml:space="preserve"> señaló como motivos para justificar la ampliación de plazo para el cumplimiento de la resolución que </w:t>
      </w:r>
      <w:r w:rsidR="00A32493">
        <w:rPr>
          <w:rFonts w:ascii="Palatino Linotype" w:hAnsi="Palatino Linotype" w:cs="Arial"/>
        </w:rPr>
        <w:t xml:space="preserve"> </w:t>
      </w:r>
      <w:r w:rsidRPr="006B7D16">
        <w:rPr>
          <w:rFonts w:ascii="Palatino Linotype" w:hAnsi="Palatino Linotype" w:cs="Arial"/>
          <w:b/>
          <w:i/>
          <w:u w:val="single"/>
        </w:rPr>
        <w:t>el Ayuntamiento deberá realizar una búsqueda de información de tres años de antigüedad, así como, del número total de documentos que deberá digitalizar y subir al Sistema de Acceso a la Información Mexiquense (SAIMEX</w:t>
      </w:r>
      <w:r w:rsidR="00B80B58">
        <w:rPr>
          <w:rFonts w:ascii="Palatino Linotype" w:hAnsi="Palatino Linotype" w:cs="Arial"/>
          <w:b/>
          <w:i/>
          <w:u w:val="single"/>
        </w:rPr>
        <w:t>).</w:t>
      </w:r>
    </w:p>
    <w:p w:rsidR="00A32493" w:rsidRDefault="00A32493" w:rsidP="00073BCB">
      <w:pPr>
        <w:pStyle w:val="Sinespaciado"/>
        <w:spacing w:line="360" w:lineRule="auto"/>
        <w:ind w:right="-6"/>
        <w:jc w:val="both"/>
        <w:rPr>
          <w:rFonts w:ascii="Palatino Linotype" w:hAnsi="Palatino Linotype" w:cs="Arial"/>
        </w:rPr>
      </w:pPr>
    </w:p>
    <w:p w:rsidR="006B7D16" w:rsidRDefault="006B7D16" w:rsidP="00073BCB">
      <w:pPr>
        <w:pStyle w:val="Sinespaciado"/>
        <w:spacing w:line="360" w:lineRule="auto"/>
        <w:ind w:right="-6"/>
        <w:jc w:val="both"/>
        <w:rPr>
          <w:rFonts w:ascii="Palatino Linotype" w:hAnsi="Palatino Linotype" w:cs="Arial"/>
        </w:rPr>
      </w:pPr>
      <w:r>
        <w:rPr>
          <w:rFonts w:ascii="Palatino Linotype" w:hAnsi="Palatino Linotype" w:cs="Arial"/>
        </w:rPr>
        <w:t xml:space="preserve">También lo es que dentro del análisis realizado en la propia resolución se señala que: </w:t>
      </w:r>
    </w:p>
    <w:p w:rsidR="00B80B58" w:rsidRDefault="00B80B58" w:rsidP="00B80B58">
      <w:pPr>
        <w:spacing w:line="276" w:lineRule="auto"/>
        <w:ind w:left="567" w:right="706"/>
        <w:jc w:val="both"/>
        <w:rPr>
          <w:rFonts w:ascii="Palatino Linotype" w:hAnsi="Palatino Linotype" w:cs="Tahoma"/>
          <w:bCs/>
          <w:i/>
          <w:sz w:val="20"/>
          <w:szCs w:val="20"/>
        </w:rPr>
      </w:pPr>
    </w:p>
    <w:p w:rsidR="006B7D16" w:rsidRPr="00B80B58" w:rsidRDefault="006B7D16" w:rsidP="00B80B58">
      <w:pPr>
        <w:spacing w:line="276" w:lineRule="auto"/>
        <w:ind w:left="567" w:right="706"/>
        <w:jc w:val="both"/>
        <w:rPr>
          <w:rFonts w:ascii="Palatino Linotype" w:hAnsi="Palatino Linotype" w:cs="Tahoma"/>
          <w:bCs/>
          <w:i/>
        </w:rPr>
      </w:pPr>
      <w:r>
        <w:rPr>
          <w:rFonts w:ascii="Palatino Linotype" w:hAnsi="Palatino Linotype" w:cs="Tahoma"/>
          <w:bCs/>
          <w:i/>
          <w:sz w:val="20"/>
          <w:szCs w:val="20"/>
        </w:rPr>
        <w:t>“</w:t>
      </w:r>
      <w:r w:rsidRPr="00B80B58">
        <w:rPr>
          <w:rFonts w:ascii="Palatino Linotype" w:hAnsi="Palatino Linotype" w:cs="Tahoma"/>
          <w:bCs/>
          <w:i/>
        </w:rPr>
        <w:t xml:space="preserve">Conforme a lo hasta aquí expuesto, es necesario precisar que el Sujeto Obligado únicamente señaló como razones y/o motivos para hacer valer el cambio de modalidad en la entrega de la información a consulta directa, </w:t>
      </w:r>
      <w:r w:rsidRPr="00B80B58">
        <w:rPr>
          <w:rFonts w:ascii="Palatino Linotype" w:hAnsi="Palatino Linotype" w:cs="Tahoma"/>
          <w:b/>
          <w:i/>
        </w:rPr>
        <w:t>la cantidad de documentales que conlleva atender la pretensión del Particular</w:t>
      </w:r>
      <w:r w:rsidRPr="00B80B58">
        <w:rPr>
          <w:rFonts w:ascii="Palatino Linotype" w:hAnsi="Palatino Linotype" w:cs="Tahoma"/>
          <w:bCs/>
          <w:i/>
        </w:rPr>
        <w:t xml:space="preserve">, sin embargo, </w:t>
      </w:r>
      <w:r w:rsidRPr="00B80B58">
        <w:rPr>
          <w:rFonts w:ascii="Palatino Linotype" w:hAnsi="Palatino Linotype" w:cs="Tahoma"/>
          <w:b/>
          <w:bCs/>
          <w:i/>
          <w:u w:val="single"/>
        </w:rPr>
        <w:t>es importante advertir que el Oficio signado por el Secretario del Ayuntamiento, refiere un total de once solicitudes de acceso</w:t>
      </w:r>
      <w:r w:rsidRPr="00B80B58">
        <w:rPr>
          <w:rFonts w:ascii="Palatino Linotype" w:hAnsi="Palatino Linotype" w:cs="Tahoma"/>
          <w:bCs/>
          <w:i/>
        </w:rPr>
        <w:t>; tal y como se ilustra a continuación con el siguiente extracto:</w:t>
      </w:r>
    </w:p>
    <w:p w:rsidR="006B7D16" w:rsidRPr="00B80B58" w:rsidRDefault="006B7D16" w:rsidP="00B80B58">
      <w:pPr>
        <w:spacing w:line="276" w:lineRule="auto"/>
        <w:ind w:left="567" w:right="706"/>
        <w:jc w:val="both"/>
        <w:rPr>
          <w:rFonts w:ascii="Palatino Linotype" w:hAnsi="Palatino Linotype" w:cs="Tahoma"/>
          <w:bCs/>
          <w:i/>
        </w:rPr>
      </w:pPr>
      <w:r w:rsidRPr="00B80B58">
        <w:rPr>
          <w:i/>
          <w:noProof/>
          <w:lang w:eastAsia="es-MX"/>
        </w:rPr>
        <w:drawing>
          <wp:inline distT="0" distB="0" distL="0" distR="0" wp14:anchorId="36538474" wp14:editId="3D0D2172">
            <wp:extent cx="4953000" cy="3427778"/>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3499" cy="3435044"/>
                    </a:xfrm>
                    <a:prstGeom prst="rect">
                      <a:avLst/>
                    </a:prstGeom>
                  </pic:spPr>
                </pic:pic>
              </a:graphicData>
            </a:graphic>
          </wp:inline>
        </w:drawing>
      </w:r>
    </w:p>
    <w:p w:rsidR="006B7D16" w:rsidRPr="00B80B58" w:rsidRDefault="006B7D16" w:rsidP="00B80B58">
      <w:pPr>
        <w:tabs>
          <w:tab w:val="left" w:pos="567"/>
        </w:tabs>
        <w:spacing w:line="276" w:lineRule="auto"/>
        <w:ind w:left="567" w:right="706"/>
        <w:contextualSpacing/>
        <w:jc w:val="both"/>
        <w:rPr>
          <w:rFonts w:ascii="Palatino Linotype" w:eastAsia="Batang" w:hAnsi="Palatino Linotype" w:cs="Tahoma"/>
          <w:b/>
          <w:bCs/>
          <w:i/>
          <w:lang w:val="es-ES"/>
        </w:rPr>
      </w:pPr>
      <w:r w:rsidRPr="00B80B58">
        <w:rPr>
          <w:rFonts w:ascii="Palatino Linotype" w:hAnsi="Palatino Linotype" w:cs="Tahoma"/>
          <w:bCs/>
          <w:i/>
        </w:rPr>
        <w:t xml:space="preserve">En el tenor del oficio en estudio, este Instituto no tiene los elementos necesarios para tener por válido el cambio de modalidad pretendido por el Sujeto Obligado, esto, en razón que únicamente las solicitudes de acceso que nos ocupan son las siguientes: </w:t>
      </w:r>
      <w:r w:rsidRPr="00B80B58">
        <w:rPr>
          <w:rFonts w:ascii="Palatino Linotype" w:eastAsia="Batang" w:hAnsi="Palatino Linotype" w:cs="Tahoma"/>
          <w:b/>
          <w:i/>
          <w:lang w:val="es-ES"/>
        </w:rPr>
        <w:t xml:space="preserve">00130/ECATEPEC/IP/2022, 00131/ECATEPEC/IP/2022, 00132/ECATEPEC/IP/2022 y 00133/ECATEPEC/IP/2022; </w:t>
      </w:r>
      <w:r w:rsidRPr="00B80B58">
        <w:rPr>
          <w:rFonts w:ascii="Palatino Linotype" w:eastAsia="Batang" w:hAnsi="Palatino Linotype" w:cs="Tahoma"/>
          <w:bCs/>
          <w:i/>
          <w:lang w:val="es-ES"/>
        </w:rPr>
        <w:t xml:space="preserve"> así, en virtud que del oficio del Secretario del Ayuntamiento se desprende un pronunciamiento grupal, en el que se agregaron otros requerimientos de información ajenos a los Recursos de Revisión acumulados en el señalado al rubro, </w:t>
      </w:r>
      <w:r w:rsidRPr="00B80B58">
        <w:rPr>
          <w:rFonts w:ascii="Palatino Linotype" w:eastAsia="Batang" w:hAnsi="Palatino Linotype" w:cs="Tahoma"/>
          <w:b/>
          <w:bCs/>
          <w:i/>
          <w:u w:val="single"/>
          <w:lang w:val="es-ES"/>
        </w:rPr>
        <w:t>es por lo que este Instituto no tiene la certeza respecto a si el volumen de documentos correspondientes a los requerimientos con los folios antes citado</w:t>
      </w:r>
      <w:r w:rsidRPr="00B80B58">
        <w:rPr>
          <w:rFonts w:ascii="Palatino Linotype" w:eastAsia="Batang" w:hAnsi="Palatino Linotype" w:cs="Tahoma"/>
          <w:b/>
          <w:bCs/>
          <w:i/>
          <w:lang w:val="es-ES"/>
        </w:rPr>
        <w:t>s</w:t>
      </w:r>
      <w:r w:rsidRPr="00B80B58">
        <w:rPr>
          <w:rFonts w:ascii="Palatino Linotype" w:eastAsia="Batang" w:hAnsi="Palatino Linotype" w:cs="Tahoma"/>
          <w:bCs/>
          <w:i/>
          <w:lang w:val="es-ES"/>
        </w:rPr>
        <w:t>, pueden ser entregados conforme a la modalidad elegida por el Particular, a saber, el Sistema de Acceso a la Información Mexiquense (SAIMEX).</w:t>
      </w:r>
    </w:p>
    <w:p w:rsidR="00F74562" w:rsidRPr="00B80B58" w:rsidRDefault="00F74562" w:rsidP="00B80B58">
      <w:pPr>
        <w:tabs>
          <w:tab w:val="left" w:pos="567"/>
        </w:tabs>
        <w:spacing w:line="276" w:lineRule="auto"/>
        <w:ind w:left="567" w:right="706"/>
        <w:contextualSpacing/>
        <w:jc w:val="both"/>
        <w:rPr>
          <w:rFonts w:ascii="Palatino Linotype" w:eastAsia="Batang" w:hAnsi="Palatino Linotype" w:cs="Tahoma"/>
          <w:bCs/>
          <w:i/>
          <w:lang w:val="es-ES"/>
        </w:rPr>
      </w:pPr>
    </w:p>
    <w:p w:rsidR="00F74562" w:rsidRPr="00B80B58" w:rsidRDefault="00F74562" w:rsidP="00B80B58">
      <w:pPr>
        <w:tabs>
          <w:tab w:val="left" w:pos="567"/>
        </w:tabs>
        <w:spacing w:line="276" w:lineRule="auto"/>
        <w:ind w:left="567" w:right="706"/>
        <w:contextualSpacing/>
        <w:jc w:val="both"/>
        <w:rPr>
          <w:rFonts w:ascii="Palatino Linotype" w:eastAsia="Batang" w:hAnsi="Palatino Linotype" w:cs="Tahoma"/>
          <w:bCs/>
          <w:i/>
          <w:lang w:val="es-ES"/>
        </w:rPr>
      </w:pPr>
      <w:r w:rsidRPr="00B80B58">
        <w:rPr>
          <w:rFonts w:ascii="Palatino Linotype" w:eastAsia="Batang" w:hAnsi="Palatino Linotype" w:cs="Tahoma"/>
          <w:bCs/>
          <w:i/>
          <w:lang w:val="es-ES"/>
        </w:rPr>
        <w:t xml:space="preserve">En este orden de ideas, es claro que </w:t>
      </w:r>
      <w:r w:rsidRPr="00B80B58">
        <w:rPr>
          <w:rFonts w:ascii="Palatino Linotype" w:eastAsia="Batang" w:hAnsi="Palatino Linotype" w:cs="Tahoma"/>
          <w:b/>
          <w:bCs/>
          <w:i/>
          <w:u w:val="single"/>
          <w:lang w:val="es-ES"/>
        </w:rPr>
        <w:t>el Sujeto Obligado no advirtió que los recursos humanos y materiales con los que cuenta podrían ser insuficientes, así mismo, no precisó que la información solicitada implica un análisis, estudio o bien, procesamiento de datos a fin de generar las versiones públicas correspondientes,</w:t>
      </w:r>
      <w:r w:rsidRPr="00B80B58">
        <w:rPr>
          <w:rFonts w:ascii="Palatino Linotype" w:eastAsia="Batang" w:hAnsi="Palatino Linotype" w:cs="Tahoma"/>
          <w:bCs/>
          <w:i/>
          <w:lang w:val="es-ES"/>
        </w:rPr>
        <w:t xml:space="preserve"> además, este último no refirió puntualmente a cuantas fojas y/o peso electrónico (megabytes) asciende totalmente la información </w:t>
      </w:r>
      <w:proofErr w:type="gramStart"/>
      <w:r w:rsidRPr="00B80B58">
        <w:rPr>
          <w:rFonts w:ascii="Palatino Linotype" w:eastAsia="Batang" w:hAnsi="Palatino Linotype" w:cs="Tahoma"/>
          <w:bCs/>
          <w:i/>
          <w:lang w:val="es-ES"/>
        </w:rPr>
        <w:t>requerida …</w:t>
      </w:r>
      <w:proofErr w:type="gramEnd"/>
    </w:p>
    <w:p w:rsidR="00F74562" w:rsidRPr="00F74562" w:rsidRDefault="00F74562" w:rsidP="00F74562">
      <w:pPr>
        <w:tabs>
          <w:tab w:val="left" w:pos="567"/>
        </w:tabs>
        <w:spacing w:line="360" w:lineRule="auto"/>
        <w:ind w:left="567" w:right="706"/>
        <w:contextualSpacing/>
        <w:jc w:val="both"/>
        <w:rPr>
          <w:rFonts w:ascii="Palatino Linotype" w:eastAsia="Batang" w:hAnsi="Palatino Linotype" w:cs="Tahoma"/>
          <w:bCs/>
          <w:i/>
          <w:sz w:val="20"/>
          <w:szCs w:val="20"/>
          <w:lang w:val="es-ES"/>
        </w:rPr>
      </w:pPr>
      <w:r>
        <w:rPr>
          <w:rFonts w:ascii="Palatino Linotype" w:eastAsia="Batang" w:hAnsi="Palatino Linotype" w:cs="Tahoma"/>
          <w:bCs/>
          <w:i/>
          <w:sz w:val="20"/>
          <w:szCs w:val="20"/>
          <w:lang w:val="es-ES"/>
        </w:rPr>
        <w:t>…</w:t>
      </w:r>
      <w:r w:rsidR="006B7D16" w:rsidRPr="006B7D16">
        <w:rPr>
          <w:rFonts w:ascii="Palatino Linotype" w:hAnsi="Palatino Linotype" w:cs="Arial"/>
          <w:i/>
          <w:sz w:val="20"/>
          <w:szCs w:val="20"/>
        </w:rPr>
        <w:t xml:space="preserve"> </w:t>
      </w:r>
    </w:p>
    <w:p w:rsidR="00F74562" w:rsidRPr="00B80B58" w:rsidRDefault="00B80B58" w:rsidP="00B80B58">
      <w:pPr>
        <w:pStyle w:val="Sinespaciado"/>
        <w:spacing w:line="360" w:lineRule="auto"/>
        <w:ind w:right="-3"/>
        <w:jc w:val="both"/>
        <w:rPr>
          <w:rFonts w:ascii="Palatino Linotype" w:hAnsi="Palatino Linotype" w:cs="Arial"/>
        </w:rPr>
      </w:pPr>
      <w:r>
        <w:rPr>
          <w:rFonts w:ascii="Palatino Linotype" w:hAnsi="Palatino Linotype" w:cs="Arial"/>
        </w:rPr>
        <w:t xml:space="preserve">De los argumentos antes expuesto, se destaca que </w:t>
      </w:r>
      <w:r w:rsidR="00F74562" w:rsidRPr="00B80B58">
        <w:rPr>
          <w:rFonts w:ascii="Palatino Linotype" w:hAnsi="Palatino Linotype" w:cs="Arial"/>
        </w:rPr>
        <w:t xml:space="preserve">no tiene certeza de la cantidad o número total de documentos que deberán ser proporcionados por el Sujeto Obligado, asimismo tampoco se conoce si la información solicitada implicará un análisis, estudio o bien, procesamiento de datos a fin de generar las versiones públicas correspondientes, por ello es que la suscrita no encuentra justificado el plazo otorgado para el cumplimiento de la resolución. </w:t>
      </w:r>
    </w:p>
    <w:p w:rsidR="006B7D16" w:rsidRPr="00B80B58" w:rsidRDefault="006B7D16" w:rsidP="00B80B58">
      <w:pPr>
        <w:pStyle w:val="Sinespaciado"/>
        <w:spacing w:line="360" w:lineRule="auto"/>
        <w:ind w:right="-3"/>
        <w:jc w:val="both"/>
        <w:rPr>
          <w:rFonts w:ascii="Palatino Linotype" w:hAnsi="Palatino Linotype" w:cs="Arial"/>
        </w:rPr>
      </w:pPr>
    </w:p>
    <w:p w:rsidR="00A32493" w:rsidRPr="00B80B58" w:rsidRDefault="00F74562" w:rsidP="00B80B58">
      <w:pPr>
        <w:pStyle w:val="Sinespaciado"/>
        <w:spacing w:line="360" w:lineRule="auto"/>
        <w:ind w:right="-3"/>
        <w:jc w:val="both"/>
        <w:rPr>
          <w:rFonts w:ascii="Palatino Linotype" w:hAnsi="Palatino Linotype" w:cs="Arial"/>
        </w:rPr>
      </w:pPr>
      <w:r w:rsidRPr="00B80B58">
        <w:rPr>
          <w:rFonts w:ascii="Palatino Linotype" w:hAnsi="Palatino Linotype" w:cs="Arial"/>
        </w:rPr>
        <w:t>Aunado a lo anterior, también se otorga la posibilidad al Sujeto Obligado de solicitar una ampliación de plazo para el cumplimento de la resolución en términos d</w:t>
      </w:r>
      <w:r w:rsidR="00A32493" w:rsidRPr="00B80B58">
        <w:rPr>
          <w:rFonts w:ascii="Palatino Linotype" w:hAnsi="Palatino Linotype" w:cs="Arial"/>
        </w:rPr>
        <w:t>el</w:t>
      </w:r>
      <w:r w:rsidR="00B80B58" w:rsidRPr="00B80B58">
        <w:rPr>
          <w:rFonts w:ascii="Palatino Linotype" w:hAnsi="Palatino Linotype" w:cs="Arial"/>
        </w:rPr>
        <w:t xml:space="preserve"> segundo párrafo del</w:t>
      </w:r>
      <w:r w:rsidR="00A32493" w:rsidRPr="00B80B58">
        <w:rPr>
          <w:rFonts w:ascii="Palatino Linotype" w:hAnsi="Palatino Linotype" w:cs="Arial"/>
        </w:rPr>
        <w:t xml:space="preserve"> artículo 198 de la Ley de Transparencia y Acceso a la Información Pública del Estado de México y Municipios, </w:t>
      </w:r>
      <w:r w:rsidR="00B80B58" w:rsidRPr="00B80B58">
        <w:rPr>
          <w:rFonts w:ascii="Palatino Linotype" w:hAnsi="Palatino Linotype" w:cs="Arial"/>
        </w:rPr>
        <w:t>lo cual, de actualizarse</w:t>
      </w:r>
      <w:r w:rsidR="00B80B58">
        <w:rPr>
          <w:rFonts w:ascii="Palatino Linotype" w:hAnsi="Palatino Linotype" w:cs="Arial"/>
        </w:rPr>
        <w:t xml:space="preserve"> y aprobarse</w:t>
      </w:r>
      <w:r w:rsidR="00B80B58" w:rsidRPr="00B80B58">
        <w:rPr>
          <w:rFonts w:ascii="Palatino Linotype" w:hAnsi="Palatino Linotype" w:cs="Arial"/>
        </w:rPr>
        <w:t xml:space="preserve"> dilatará la contestación a las peticiones o solicitudes del particular. </w:t>
      </w:r>
    </w:p>
    <w:p w:rsidR="00517D02" w:rsidRPr="008B776D" w:rsidRDefault="008B776D" w:rsidP="00B80B58">
      <w:pPr>
        <w:spacing w:before="240" w:after="240" w:line="360" w:lineRule="auto"/>
        <w:ind w:right="-3"/>
        <w:jc w:val="both"/>
        <w:rPr>
          <w:rFonts w:ascii="Palatino Linotype" w:eastAsia="Times New Roman" w:hAnsi="Palatino Linotype" w:cs="Arial"/>
          <w:sz w:val="24"/>
          <w:szCs w:val="24"/>
          <w:lang w:val="es-ES" w:eastAsia="es-ES"/>
        </w:rPr>
      </w:pPr>
      <w:r w:rsidRPr="00B80B58">
        <w:rPr>
          <w:rFonts w:ascii="Palatino Linotype" w:hAnsi="Palatino Linotype" w:cs="Arial"/>
          <w:sz w:val="24"/>
          <w:szCs w:val="24"/>
        </w:rPr>
        <w:t>Por todo lo expuesto en líneas argumentativas anteriores es</w:t>
      </w:r>
      <w:r w:rsidR="00200CF6" w:rsidRPr="00B80B58">
        <w:rPr>
          <w:rFonts w:ascii="Palatino Linotype" w:hAnsi="Palatino Linotype" w:cs="Arial"/>
          <w:sz w:val="24"/>
          <w:szCs w:val="24"/>
        </w:rPr>
        <w:t xml:space="preserve"> que la suscrita</w:t>
      </w:r>
      <w:r w:rsidR="00517D02" w:rsidRPr="00B80B58">
        <w:rPr>
          <w:rFonts w:ascii="Palatino Linotype" w:hAnsi="Palatino Linotype" w:cs="Arial"/>
          <w:sz w:val="24"/>
          <w:szCs w:val="24"/>
        </w:rPr>
        <w:t xml:space="preserve"> </w:t>
      </w:r>
      <w:r w:rsidR="00436E2B" w:rsidRPr="00B80B58">
        <w:rPr>
          <w:rFonts w:ascii="Palatino Linotype" w:hAnsi="Palatino Linotype" w:cs="Arial"/>
          <w:sz w:val="24"/>
          <w:szCs w:val="24"/>
        </w:rPr>
        <w:t>no</w:t>
      </w:r>
      <w:r w:rsidR="00436E2B">
        <w:rPr>
          <w:rFonts w:ascii="Palatino Linotype" w:hAnsi="Palatino Linotype" w:cs="Arial"/>
          <w:sz w:val="24"/>
          <w:szCs w:val="24"/>
        </w:rPr>
        <w:t xml:space="preserve"> comparte</w:t>
      </w:r>
      <w:r w:rsidR="00230F73" w:rsidRPr="008B776D">
        <w:rPr>
          <w:rFonts w:ascii="Palatino Linotype" w:hAnsi="Palatino Linotype" w:cs="Arial"/>
          <w:sz w:val="24"/>
          <w:szCs w:val="24"/>
        </w:rPr>
        <w:t xml:space="preserve"> este aspecto de la resolución</w:t>
      </w:r>
      <w:r w:rsidR="00B35A91">
        <w:rPr>
          <w:rFonts w:ascii="Palatino Linotype" w:hAnsi="Palatino Linotype" w:cs="Arial"/>
          <w:sz w:val="24"/>
          <w:szCs w:val="24"/>
        </w:rPr>
        <w:t xml:space="preserve">. </w:t>
      </w:r>
    </w:p>
    <w:p w:rsidR="00F26BA7" w:rsidRDefault="00462F9C" w:rsidP="00462F9C">
      <w:pPr>
        <w:spacing w:before="240" w:after="240" w:line="360" w:lineRule="auto"/>
        <w:jc w:val="both"/>
        <w:rPr>
          <w:rFonts w:ascii="Palatino Linotype" w:hAnsi="Palatino Linotype"/>
          <w:sz w:val="24"/>
          <w:szCs w:val="24"/>
        </w:rPr>
      </w:pPr>
      <w:r w:rsidRPr="008B776D">
        <w:rPr>
          <w:rFonts w:ascii="Palatino Linotype" w:hAnsi="Palatino Linotype"/>
          <w:sz w:val="24"/>
          <w:szCs w:val="24"/>
        </w:rPr>
        <w:t xml:space="preserve">Por </w:t>
      </w:r>
      <w:r w:rsidR="00F26BA7" w:rsidRPr="008B776D">
        <w:rPr>
          <w:rFonts w:ascii="Palatino Linotype" w:hAnsi="Palatino Linotype"/>
          <w:sz w:val="24"/>
          <w:szCs w:val="24"/>
        </w:rPr>
        <w:t xml:space="preserve">las consideraciones expuestas, con </w:t>
      </w:r>
      <w:r w:rsidRPr="008B776D">
        <w:rPr>
          <w:rFonts w:ascii="Palatino Linotype" w:hAnsi="Palatino Linotype"/>
          <w:sz w:val="24"/>
          <w:szCs w:val="24"/>
        </w:rPr>
        <w:t xml:space="preserve">fundamento en lo dispuesto por el artículo 14 fracciones X y XI del Reglamento Interior del Instituto de Transparencia, Acceso a la Información Pública y Protección de Datos Personales del Estado de México y Municipios, </w:t>
      </w:r>
      <w:r w:rsidR="007424D2">
        <w:rPr>
          <w:rFonts w:ascii="Palatino Linotype" w:hAnsi="Palatino Linotype"/>
          <w:sz w:val="24"/>
          <w:szCs w:val="24"/>
        </w:rPr>
        <w:t>la suscrita Comisionada emite</w:t>
      </w:r>
      <w:r w:rsidRPr="008B776D">
        <w:rPr>
          <w:rFonts w:ascii="Palatino Linotype" w:hAnsi="Palatino Linotype"/>
          <w:sz w:val="24"/>
          <w:szCs w:val="24"/>
        </w:rPr>
        <w:t xml:space="preserve"> </w:t>
      </w:r>
      <w:r w:rsidR="00230F73" w:rsidRPr="008B776D">
        <w:rPr>
          <w:rFonts w:ascii="Palatino Linotype" w:hAnsi="Palatino Linotype"/>
          <w:sz w:val="24"/>
          <w:szCs w:val="24"/>
        </w:rPr>
        <w:t xml:space="preserve">el presente </w:t>
      </w:r>
      <w:r w:rsidRPr="008B776D">
        <w:rPr>
          <w:rFonts w:ascii="Palatino Linotype" w:hAnsi="Palatino Linotype"/>
          <w:b/>
          <w:sz w:val="24"/>
          <w:szCs w:val="24"/>
        </w:rPr>
        <w:t>VOTO PARTICULAR</w:t>
      </w:r>
      <w:r w:rsidRPr="008B776D">
        <w:rPr>
          <w:rFonts w:ascii="Palatino Linotype" w:hAnsi="Palatino Linotype"/>
          <w:sz w:val="24"/>
          <w:szCs w:val="24"/>
        </w:rPr>
        <w:t xml:space="preserve"> </w:t>
      </w:r>
      <w:r w:rsidR="00230F73" w:rsidRPr="008B776D">
        <w:rPr>
          <w:rFonts w:ascii="Palatino Linotype" w:hAnsi="Palatino Linotype"/>
          <w:sz w:val="24"/>
          <w:szCs w:val="24"/>
        </w:rPr>
        <w:t xml:space="preserve">en los </w:t>
      </w:r>
      <w:bookmarkStart w:id="0" w:name="_GoBack"/>
      <w:r w:rsidR="005D11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512444</wp:posOffset>
                </wp:positionV>
                <wp:extent cx="5429250" cy="72866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29250" cy="728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9BD85"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40.35pt" to="434.75pt,6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" strokecolor="black [3200]" strokeweight=".5pt">
                <v:stroke joinstyle="miter"/>
              </v:line>
            </w:pict>
          </mc:Fallback>
        </mc:AlternateContent>
      </w:r>
      <w:bookmarkEnd w:id="0"/>
      <w:r w:rsidR="00230F73" w:rsidRPr="008B776D">
        <w:rPr>
          <w:rFonts w:ascii="Palatino Linotype" w:hAnsi="Palatino Linotype"/>
          <w:sz w:val="24"/>
          <w:szCs w:val="24"/>
        </w:rPr>
        <w:t>términos precisados.</w:t>
      </w:r>
    </w:p>
    <w:p w:rsidR="002D1FFB" w:rsidRPr="008B776D" w:rsidRDefault="002D1FFB" w:rsidP="00462F9C">
      <w:pPr>
        <w:spacing w:before="240" w:after="240" w:line="360" w:lineRule="auto"/>
        <w:jc w:val="both"/>
        <w:rPr>
          <w:rFonts w:ascii="Palatino Linotype" w:hAnsi="Palatino Linotype"/>
          <w:sz w:val="24"/>
          <w:szCs w:val="24"/>
        </w:rPr>
      </w:pPr>
    </w:p>
    <w:p w:rsidR="002D1FFB" w:rsidRDefault="001342D6" w:rsidP="008B776D">
      <w:pPr>
        <w:spacing w:before="240" w:after="240" w:line="360" w:lineRule="auto"/>
        <w:rPr>
          <w:rFonts w:ascii="Palatino Linotype" w:hAnsi="Palatino Linotype"/>
          <w:b/>
          <w:sz w:val="24"/>
          <w:szCs w:val="24"/>
        </w:rPr>
        <w:sectPr w:rsidR="002D1FFB" w:rsidSect="005D2567">
          <w:headerReference w:type="even" r:id="rId9"/>
          <w:headerReference w:type="default" r:id="rId10"/>
          <w:footerReference w:type="default" r:id="rId11"/>
          <w:headerReference w:type="first" r:id="rId12"/>
          <w:pgSz w:w="12240" w:h="15840"/>
          <w:pgMar w:top="1871" w:right="1327" w:bottom="2836" w:left="1985" w:header="709" w:footer="586" w:gutter="0"/>
          <w:cols w:space="708"/>
          <w:docGrid w:linePitch="360"/>
        </w:sectPr>
      </w:pPr>
      <w:r w:rsidRPr="008B776D">
        <w:rPr>
          <w:rFonts w:ascii="Palatino Linotype" w:hAnsi="Palatino Linotype"/>
          <w:b/>
          <w:sz w:val="24"/>
          <w:szCs w:val="24"/>
        </w:rPr>
        <w:t xml:space="preserve"> </w:t>
      </w:r>
    </w:p>
    <w:p w:rsidR="005777C1" w:rsidRPr="008B776D" w:rsidRDefault="005777C1" w:rsidP="008B776D">
      <w:pPr>
        <w:spacing w:before="240" w:after="240" w:line="360" w:lineRule="auto"/>
        <w:rPr>
          <w:rFonts w:ascii="Palatino Linotype" w:hAnsi="Palatino Linotype"/>
          <w:b/>
          <w:sz w:val="24"/>
          <w:szCs w:val="24"/>
        </w:rPr>
      </w:pPr>
    </w:p>
    <w:sectPr w:rsidR="005777C1" w:rsidRPr="008B776D" w:rsidSect="005D2567">
      <w:head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CE7" w:rsidRDefault="00124CE7" w:rsidP="00907451">
      <w:pPr>
        <w:spacing w:after="0" w:line="240" w:lineRule="auto"/>
      </w:pPr>
      <w:r>
        <w:separator/>
      </w:r>
    </w:p>
  </w:endnote>
  <w:endnote w:type="continuationSeparator" w:id="0">
    <w:p w:rsidR="00124CE7" w:rsidRDefault="00124CE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F5DDC">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F5DDC">
      <w:rPr>
        <w:rFonts w:ascii="Arial" w:hAnsi="Arial" w:cs="Arial"/>
        <w:b/>
        <w:bCs/>
        <w:noProof/>
        <w:sz w:val="20"/>
        <w:szCs w:val="20"/>
      </w:rPr>
      <w:t>12</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CE7" w:rsidRDefault="00124CE7" w:rsidP="00907451">
      <w:pPr>
        <w:spacing w:after="0" w:line="240" w:lineRule="auto"/>
      </w:pPr>
      <w:r>
        <w:separator/>
      </w:r>
    </w:p>
  </w:footnote>
  <w:footnote w:type="continuationSeparator" w:id="0">
    <w:p w:rsidR="00124CE7" w:rsidRDefault="00124CE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DF5D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Default="005D2567" w:rsidP="005D2567">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9367D" w:rsidRPr="0019367D">
      <w:rPr>
        <w:rFonts w:ascii="Palatino Linotype" w:hAnsi="Palatino Linotype" w:cs="Arial"/>
        <w:b/>
        <w:sz w:val="20"/>
        <w:szCs w:val="20"/>
      </w:rPr>
      <w:t>0345</w:t>
    </w:r>
    <w:r w:rsidR="0019367D">
      <w:rPr>
        <w:rFonts w:ascii="Palatino Linotype" w:hAnsi="Palatino Linotype" w:cs="Arial"/>
        <w:b/>
        <w:sz w:val="20"/>
        <w:szCs w:val="20"/>
      </w:rPr>
      <w:t>1/INFOEM/IP/RR/2022 Y ACUMULADOS</w:t>
    </w:r>
  </w:p>
  <w:p w:rsidR="005D2567" w:rsidRDefault="00DF5DDC"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DF5D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FB" w:rsidRDefault="002D1FFB" w:rsidP="005D2567">
    <w:pPr>
      <w:pStyle w:val="Encabezado"/>
      <w:jc w:val="right"/>
      <w:rPr>
        <w:rFonts w:ascii="Arial" w:hAnsi="Arial" w:cs="Arial"/>
        <w:sz w:val="20"/>
        <w:szCs w:val="20"/>
      </w:rPr>
    </w:pPr>
  </w:p>
  <w:p w:rsidR="002D1FFB" w:rsidRDefault="002D1FFB" w:rsidP="005D2567">
    <w:pPr>
      <w:pStyle w:val="Encabezado"/>
      <w:jc w:val="right"/>
      <w:rPr>
        <w:rFonts w:ascii="Arial" w:hAnsi="Arial" w:cs="Arial"/>
        <w:sz w:val="20"/>
        <w:szCs w:val="20"/>
      </w:rPr>
    </w:pPr>
  </w:p>
  <w:p w:rsidR="002D1FFB" w:rsidRDefault="002D1FFB" w:rsidP="005D2567">
    <w:pPr>
      <w:pStyle w:val="Encabezado"/>
      <w:jc w:val="right"/>
      <w:rPr>
        <w:rFonts w:ascii="Arial" w:hAnsi="Arial" w:cs="Arial"/>
        <w:sz w:val="20"/>
        <w:szCs w:val="20"/>
      </w:rPr>
    </w:pPr>
  </w:p>
  <w:p w:rsidR="002D1FFB" w:rsidRDefault="002D1FFB" w:rsidP="005D256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6157"/>
    <w:multiLevelType w:val="hybridMultilevel"/>
    <w:tmpl w:val="EACC4EBE"/>
    <w:lvl w:ilvl="0" w:tplc="386615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E53069"/>
    <w:multiLevelType w:val="hybridMultilevel"/>
    <w:tmpl w:val="C89A62A6"/>
    <w:lvl w:ilvl="0" w:tplc="F3F0FD8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161DE"/>
    <w:rsid w:val="00031052"/>
    <w:rsid w:val="00034C51"/>
    <w:rsid w:val="00041D4E"/>
    <w:rsid w:val="0005061C"/>
    <w:rsid w:val="00051C17"/>
    <w:rsid w:val="00053AFC"/>
    <w:rsid w:val="00057319"/>
    <w:rsid w:val="000607BA"/>
    <w:rsid w:val="00070D26"/>
    <w:rsid w:val="00073BCB"/>
    <w:rsid w:val="00074CAA"/>
    <w:rsid w:val="000851D9"/>
    <w:rsid w:val="000A529E"/>
    <w:rsid w:val="000D5063"/>
    <w:rsid w:val="000E44AD"/>
    <w:rsid w:val="000E473E"/>
    <w:rsid w:val="000E7110"/>
    <w:rsid w:val="00102C0B"/>
    <w:rsid w:val="001102D4"/>
    <w:rsid w:val="00124CE7"/>
    <w:rsid w:val="00127955"/>
    <w:rsid w:val="00132EFB"/>
    <w:rsid w:val="001342D6"/>
    <w:rsid w:val="0013735C"/>
    <w:rsid w:val="00144A42"/>
    <w:rsid w:val="00155046"/>
    <w:rsid w:val="00164478"/>
    <w:rsid w:val="001822F4"/>
    <w:rsid w:val="00182911"/>
    <w:rsid w:val="0019367D"/>
    <w:rsid w:val="001A79E1"/>
    <w:rsid w:val="001A7A16"/>
    <w:rsid w:val="001A7C78"/>
    <w:rsid w:val="001B39E3"/>
    <w:rsid w:val="001B7628"/>
    <w:rsid w:val="001C4F6B"/>
    <w:rsid w:val="001E258D"/>
    <w:rsid w:val="001E28B6"/>
    <w:rsid w:val="001E7439"/>
    <w:rsid w:val="001F4B72"/>
    <w:rsid w:val="00200CF6"/>
    <w:rsid w:val="00215353"/>
    <w:rsid w:val="00230F73"/>
    <w:rsid w:val="00235D63"/>
    <w:rsid w:val="00236296"/>
    <w:rsid w:val="00237368"/>
    <w:rsid w:val="00255E47"/>
    <w:rsid w:val="0026594A"/>
    <w:rsid w:val="00266975"/>
    <w:rsid w:val="00291185"/>
    <w:rsid w:val="002926AD"/>
    <w:rsid w:val="00292D40"/>
    <w:rsid w:val="002A5ADD"/>
    <w:rsid w:val="002A6359"/>
    <w:rsid w:val="002B3FA8"/>
    <w:rsid w:val="002B4286"/>
    <w:rsid w:val="002C0247"/>
    <w:rsid w:val="002D0AB8"/>
    <w:rsid w:val="002D1FFB"/>
    <w:rsid w:val="002E161C"/>
    <w:rsid w:val="002F0125"/>
    <w:rsid w:val="00302EC8"/>
    <w:rsid w:val="0031123B"/>
    <w:rsid w:val="0032285F"/>
    <w:rsid w:val="00334F64"/>
    <w:rsid w:val="00335939"/>
    <w:rsid w:val="0033639B"/>
    <w:rsid w:val="00337C1A"/>
    <w:rsid w:val="00355F33"/>
    <w:rsid w:val="00356471"/>
    <w:rsid w:val="0036408D"/>
    <w:rsid w:val="003669E7"/>
    <w:rsid w:val="003721D5"/>
    <w:rsid w:val="003A0061"/>
    <w:rsid w:val="003C37BD"/>
    <w:rsid w:val="003E7A3F"/>
    <w:rsid w:val="003F4BD0"/>
    <w:rsid w:val="004032D8"/>
    <w:rsid w:val="00405C7B"/>
    <w:rsid w:val="00436BB3"/>
    <w:rsid w:val="00436E2B"/>
    <w:rsid w:val="00444F00"/>
    <w:rsid w:val="00456467"/>
    <w:rsid w:val="00461388"/>
    <w:rsid w:val="00462F9C"/>
    <w:rsid w:val="0047299A"/>
    <w:rsid w:val="00476506"/>
    <w:rsid w:val="004A10AC"/>
    <w:rsid w:val="004C1B9A"/>
    <w:rsid w:val="004C4939"/>
    <w:rsid w:val="004E4151"/>
    <w:rsid w:val="004F7D00"/>
    <w:rsid w:val="00505F5A"/>
    <w:rsid w:val="005169BD"/>
    <w:rsid w:val="00517D02"/>
    <w:rsid w:val="00527D0C"/>
    <w:rsid w:val="005426AF"/>
    <w:rsid w:val="005439FF"/>
    <w:rsid w:val="005507BF"/>
    <w:rsid w:val="00550D79"/>
    <w:rsid w:val="00553E6C"/>
    <w:rsid w:val="005549ED"/>
    <w:rsid w:val="005714BE"/>
    <w:rsid w:val="00574B9D"/>
    <w:rsid w:val="005777C1"/>
    <w:rsid w:val="0058452B"/>
    <w:rsid w:val="005C239D"/>
    <w:rsid w:val="005C3473"/>
    <w:rsid w:val="005D066B"/>
    <w:rsid w:val="005D1192"/>
    <w:rsid w:val="005D2567"/>
    <w:rsid w:val="005D5C76"/>
    <w:rsid w:val="005F4C0C"/>
    <w:rsid w:val="005F4D33"/>
    <w:rsid w:val="006214D7"/>
    <w:rsid w:val="00631FBA"/>
    <w:rsid w:val="006349B7"/>
    <w:rsid w:val="00642D91"/>
    <w:rsid w:val="0064308D"/>
    <w:rsid w:val="006551EF"/>
    <w:rsid w:val="00662E36"/>
    <w:rsid w:val="00680DD7"/>
    <w:rsid w:val="00681D5D"/>
    <w:rsid w:val="00682AEC"/>
    <w:rsid w:val="00687DFB"/>
    <w:rsid w:val="00692744"/>
    <w:rsid w:val="00692988"/>
    <w:rsid w:val="006941CE"/>
    <w:rsid w:val="006975A6"/>
    <w:rsid w:val="006A65FA"/>
    <w:rsid w:val="006A6AF4"/>
    <w:rsid w:val="006A7F06"/>
    <w:rsid w:val="006B17CD"/>
    <w:rsid w:val="006B7D16"/>
    <w:rsid w:val="006C0A68"/>
    <w:rsid w:val="006C0C1C"/>
    <w:rsid w:val="006C34A1"/>
    <w:rsid w:val="006D4616"/>
    <w:rsid w:val="006D6110"/>
    <w:rsid w:val="006E00CF"/>
    <w:rsid w:val="006E048C"/>
    <w:rsid w:val="006E2616"/>
    <w:rsid w:val="006F346D"/>
    <w:rsid w:val="00707C2D"/>
    <w:rsid w:val="007100DE"/>
    <w:rsid w:val="0072637B"/>
    <w:rsid w:val="00737416"/>
    <w:rsid w:val="007424D2"/>
    <w:rsid w:val="00761CA5"/>
    <w:rsid w:val="007801E6"/>
    <w:rsid w:val="007917A5"/>
    <w:rsid w:val="007A73A2"/>
    <w:rsid w:val="007B6EE5"/>
    <w:rsid w:val="007C6C71"/>
    <w:rsid w:val="007F0FEE"/>
    <w:rsid w:val="007F5BA3"/>
    <w:rsid w:val="00807B51"/>
    <w:rsid w:val="00814A42"/>
    <w:rsid w:val="00817AA2"/>
    <w:rsid w:val="00825DEC"/>
    <w:rsid w:val="00852138"/>
    <w:rsid w:val="00854B80"/>
    <w:rsid w:val="00856631"/>
    <w:rsid w:val="0085760C"/>
    <w:rsid w:val="00871E3F"/>
    <w:rsid w:val="0087565D"/>
    <w:rsid w:val="00875D2B"/>
    <w:rsid w:val="00883ABB"/>
    <w:rsid w:val="00892DF4"/>
    <w:rsid w:val="00893FDF"/>
    <w:rsid w:val="00894E26"/>
    <w:rsid w:val="00897E24"/>
    <w:rsid w:val="008A21F8"/>
    <w:rsid w:val="008A35EC"/>
    <w:rsid w:val="008A4206"/>
    <w:rsid w:val="008A678E"/>
    <w:rsid w:val="008B776D"/>
    <w:rsid w:val="008C7E2C"/>
    <w:rsid w:val="008D13D7"/>
    <w:rsid w:val="008D251B"/>
    <w:rsid w:val="008E2933"/>
    <w:rsid w:val="008E63B6"/>
    <w:rsid w:val="009017E1"/>
    <w:rsid w:val="00902BEC"/>
    <w:rsid w:val="00907451"/>
    <w:rsid w:val="00924EA6"/>
    <w:rsid w:val="009314CB"/>
    <w:rsid w:val="00933A19"/>
    <w:rsid w:val="00955066"/>
    <w:rsid w:val="00956FEF"/>
    <w:rsid w:val="009611D3"/>
    <w:rsid w:val="009861E6"/>
    <w:rsid w:val="0098633B"/>
    <w:rsid w:val="00991A58"/>
    <w:rsid w:val="009D4A3C"/>
    <w:rsid w:val="009E03DD"/>
    <w:rsid w:val="009E68FC"/>
    <w:rsid w:val="009F4B93"/>
    <w:rsid w:val="00A01E1E"/>
    <w:rsid w:val="00A10507"/>
    <w:rsid w:val="00A1161D"/>
    <w:rsid w:val="00A14205"/>
    <w:rsid w:val="00A14492"/>
    <w:rsid w:val="00A21005"/>
    <w:rsid w:val="00A2634D"/>
    <w:rsid w:val="00A3116B"/>
    <w:rsid w:val="00A32493"/>
    <w:rsid w:val="00A44ECA"/>
    <w:rsid w:val="00A60A49"/>
    <w:rsid w:val="00A64686"/>
    <w:rsid w:val="00A650F6"/>
    <w:rsid w:val="00A90414"/>
    <w:rsid w:val="00A95C5A"/>
    <w:rsid w:val="00AA2BAC"/>
    <w:rsid w:val="00AA4906"/>
    <w:rsid w:val="00AA53B5"/>
    <w:rsid w:val="00AA7F33"/>
    <w:rsid w:val="00AB0909"/>
    <w:rsid w:val="00AB7E25"/>
    <w:rsid w:val="00AC3ECC"/>
    <w:rsid w:val="00AC595D"/>
    <w:rsid w:val="00AD0389"/>
    <w:rsid w:val="00AD523D"/>
    <w:rsid w:val="00AD61E0"/>
    <w:rsid w:val="00AD6E0D"/>
    <w:rsid w:val="00AE374C"/>
    <w:rsid w:val="00AF3B1C"/>
    <w:rsid w:val="00B02DEB"/>
    <w:rsid w:val="00B06371"/>
    <w:rsid w:val="00B1635A"/>
    <w:rsid w:val="00B204BA"/>
    <w:rsid w:val="00B22A15"/>
    <w:rsid w:val="00B35A91"/>
    <w:rsid w:val="00B42E5B"/>
    <w:rsid w:val="00B51BCB"/>
    <w:rsid w:val="00B547F4"/>
    <w:rsid w:val="00B615F6"/>
    <w:rsid w:val="00B63E78"/>
    <w:rsid w:val="00B64C32"/>
    <w:rsid w:val="00B7062F"/>
    <w:rsid w:val="00B80B58"/>
    <w:rsid w:val="00B92CBA"/>
    <w:rsid w:val="00B9495F"/>
    <w:rsid w:val="00B95ED4"/>
    <w:rsid w:val="00BA3598"/>
    <w:rsid w:val="00BB4A0F"/>
    <w:rsid w:val="00BB5CD8"/>
    <w:rsid w:val="00BB72CD"/>
    <w:rsid w:val="00BC6E9D"/>
    <w:rsid w:val="00BE6B5D"/>
    <w:rsid w:val="00C15B87"/>
    <w:rsid w:val="00C31223"/>
    <w:rsid w:val="00C3452B"/>
    <w:rsid w:val="00C44E15"/>
    <w:rsid w:val="00C469D8"/>
    <w:rsid w:val="00C47969"/>
    <w:rsid w:val="00C56965"/>
    <w:rsid w:val="00C6145E"/>
    <w:rsid w:val="00C700E4"/>
    <w:rsid w:val="00C73967"/>
    <w:rsid w:val="00CB28AB"/>
    <w:rsid w:val="00CC5CDC"/>
    <w:rsid w:val="00CC5D5C"/>
    <w:rsid w:val="00CE09D5"/>
    <w:rsid w:val="00CF1906"/>
    <w:rsid w:val="00CF1DB0"/>
    <w:rsid w:val="00CF29D2"/>
    <w:rsid w:val="00D01C8F"/>
    <w:rsid w:val="00D169AA"/>
    <w:rsid w:val="00D17144"/>
    <w:rsid w:val="00D32E4F"/>
    <w:rsid w:val="00D45BDD"/>
    <w:rsid w:val="00D479B7"/>
    <w:rsid w:val="00D511E6"/>
    <w:rsid w:val="00D6539D"/>
    <w:rsid w:val="00D87D3A"/>
    <w:rsid w:val="00D94893"/>
    <w:rsid w:val="00D9754B"/>
    <w:rsid w:val="00DB70E3"/>
    <w:rsid w:val="00DC2F2E"/>
    <w:rsid w:val="00DC752B"/>
    <w:rsid w:val="00DD0E5F"/>
    <w:rsid w:val="00DD56FF"/>
    <w:rsid w:val="00DD6D0A"/>
    <w:rsid w:val="00DE3DC0"/>
    <w:rsid w:val="00DE66E2"/>
    <w:rsid w:val="00DF5DDC"/>
    <w:rsid w:val="00E14A90"/>
    <w:rsid w:val="00E14B35"/>
    <w:rsid w:val="00E20299"/>
    <w:rsid w:val="00E30FFD"/>
    <w:rsid w:val="00E337F5"/>
    <w:rsid w:val="00E358FB"/>
    <w:rsid w:val="00E35D2D"/>
    <w:rsid w:val="00E433E7"/>
    <w:rsid w:val="00E602F1"/>
    <w:rsid w:val="00E735D8"/>
    <w:rsid w:val="00E920D4"/>
    <w:rsid w:val="00EC695B"/>
    <w:rsid w:val="00EC7988"/>
    <w:rsid w:val="00EE45BB"/>
    <w:rsid w:val="00EF1F88"/>
    <w:rsid w:val="00EF4381"/>
    <w:rsid w:val="00EF58C6"/>
    <w:rsid w:val="00EF71F7"/>
    <w:rsid w:val="00F00619"/>
    <w:rsid w:val="00F0571C"/>
    <w:rsid w:val="00F11F36"/>
    <w:rsid w:val="00F11F98"/>
    <w:rsid w:val="00F206F1"/>
    <w:rsid w:val="00F26BA7"/>
    <w:rsid w:val="00F33C81"/>
    <w:rsid w:val="00F355CD"/>
    <w:rsid w:val="00F41D72"/>
    <w:rsid w:val="00F466F2"/>
    <w:rsid w:val="00F50FA1"/>
    <w:rsid w:val="00F71A88"/>
    <w:rsid w:val="00F74562"/>
    <w:rsid w:val="00F76B05"/>
    <w:rsid w:val="00F91B56"/>
    <w:rsid w:val="00F966B7"/>
    <w:rsid w:val="00F97255"/>
    <w:rsid w:val="00FC0F94"/>
    <w:rsid w:val="00FD0DFE"/>
    <w:rsid w:val="00FD168F"/>
    <w:rsid w:val="00FD2057"/>
    <w:rsid w:val="00FD32BD"/>
    <w:rsid w:val="00FD3336"/>
    <w:rsid w:val="00FD3F13"/>
    <w:rsid w:val="00FF0A65"/>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861E6"/>
    <w:rPr>
      <w:vertAlign w:val="superscript"/>
    </w:rPr>
  </w:style>
  <w:style w:type="paragraph" w:styleId="Sinespaciado">
    <w:name w:val="No Spacing"/>
    <w:aliases w:val="Francesa,INAI"/>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C9AC093-24CE-49C6-BF60-03ED6D3F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2084</Words>
  <Characters>11465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2022-06-13T19:22:00Z</cp:lastPrinted>
  <dcterms:created xsi:type="dcterms:W3CDTF">2022-06-13T19:21:00Z</dcterms:created>
  <dcterms:modified xsi:type="dcterms:W3CDTF">2022-06-13T19:23:00Z</dcterms:modified>
</cp:coreProperties>
</file>