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80dywuuflbvc" w:id="1"/>
      <w:bookmarkEnd w:id="1"/>
      <w:r w:rsidDel="00000000" w:rsidR="00000000" w:rsidRPr="00000000">
        <w:rPr>
          <w:rtl w:val="0"/>
        </w:rPr>
      </w:r>
    </w:p>
    <w:p w:rsidR="00000000" w:rsidDel="00000000" w:rsidP="00000000" w:rsidRDefault="00000000" w:rsidRPr="00000000" w14:paraId="00000003">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1p0qb6e4fw76" w:id="2"/>
      <w:bookmarkEnd w:id="2"/>
      <w:r w:rsidDel="00000000" w:rsidR="00000000" w:rsidRPr="00000000">
        <w:rPr>
          <w:rFonts w:ascii="Palatino Linotype" w:cs="Palatino Linotype" w:eastAsia="Palatino Linotype" w:hAnsi="Palatino Linotype"/>
          <w:b w:val="1"/>
          <w:sz w:val="24"/>
          <w:szCs w:val="24"/>
          <w:rtl w:val="0"/>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DÉCIMO SEXTA SESIÓN ORDINARIA CELEBRADA EL CUATRO DE MAYO DE DOS MIL VEINTIDÓS, EN EL RECURSO DE REVISIÓN 01124/INFOEM/IP/RR/2022, </w:t>
      </w:r>
    </w:p>
    <w:p w:rsidR="00000000" w:rsidDel="00000000" w:rsidP="00000000" w:rsidRDefault="00000000" w:rsidRPr="00000000" w14:paraId="0000000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y</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SHARON CRISTINA MORALES MARTÍNEZ </w:t>
      </w:r>
      <w:r w:rsidDel="00000000" w:rsidR="00000000" w:rsidRPr="00000000">
        <w:rPr>
          <w:rFonts w:ascii="Palatino Linotype" w:cs="Palatino Linotype" w:eastAsia="Palatino Linotype" w:hAnsi="Palatino Linotype"/>
          <w:sz w:val="24"/>
          <w:szCs w:val="24"/>
          <w:rtl w:val="0"/>
        </w:rPr>
        <w:t xml:space="preserve"> emiten </w:t>
      </w:r>
      <w:r w:rsidDel="00000000" w:rsidR="00000000" w:rsidRPr="00000000">
        <w:rPr>
          <w:rFonts w:ascii="Palatino Linotype" w:cs="Palatino Linotype" w:eastAsia="Palatino Linotype" w:hAnsi="Palatino Linotype"/>
          <w:b w:val="1"/>
          <w:sz w:val="24"/>
          <w:szCs w:val="24"/>
          <w:rtl w:val="0"/>
        </w:rPr>
        <w:t xml:space="preserve">VOTO PARTICULAR CONCURRENTE</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01124/INFOEM/IP/RR/2022,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la </w:t>
      </w:r>
      <w:r w:rsidDel="00000000" w:rsidR="00000000" w:rsidRPr="00000000">
        <w:rPr>
          <w:rFonts w:ascii="Palatino Linotype" w:cs="Palatino Linotype" w:eastAsia="Palatino Linotype" w:hAnsi="Palatino Linotype"/>
          <w:b w:val="1"/>
          <w:sz w:val="24"/>
          <w:szCs w:val="24"/>
          <w:rtl w:val="0"/>
        </w:rPr>
        <w:t xml:space="preserve">Comisionada</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Guadalupe Ramírez Peña</w:t>
      </w:r>
      <w:r w:rsidDel="00000000" w:rsidR="00000000" w:rsidRPr="00000000">
        <w:rPr>
          <w:rFonts w:ascii="Palatino Linotype" w:cs="Palatino Linotype" w:eastAsia="Palatino Linotype" w:hAnsi="Palatino Linotype"/>
          <w:sz w:val="24"/>
          <w:szCs w:val="24"/>
          <w:rtl w:val="0"/>
        </w:rPr>
        <w:t xml:space="preserve">, que es del tenor siguiente: </w:t>
      </w:r>
    </w:p>
    <w:p w:rsidR="00000000" w:rsidDel="00000000" w:rsidP="00000000" w:rsidRDefault="00000000" w:rsidRPr="00000000" w14:paraId="0000000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 destacar, que las suscritas comparten esencialmente el estudio realizado en la resolución del Recurso de Revisión; empero, estiman necesario precisar algunas consideraciones de hecho y de derecho, que debieron analizarse con mayor profundidad.</w:t>
      </w:r>
    </w:p>
    <w:p w:rsidR="00000000" w:rsidDel="00000000" w:rsidP="00000000" w:rsidRDefault="00000000" w:rsidRPr="00000000" w14:paraId="0000000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tal y como quedó debidamente asentado en la resolución, materia del presente voto concurrente, el particular requirió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entrega de lo siguiente: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w:t>
      </w:r>
      <w:r w:rsidDel="00000000" w:rsidR="00000000" w:rsidRPr="00000000">
        <w:rPr>
          <w:rFonts w:ascii="Palatino Linotype" w:cs="Palatino Linotype" w:eastAsia="Palatino Linotype" w:hAnsi="Palatino Linotype"/>
          <w:color w:val="000000"/>
          <w:sz w:val="24"/>
          <w:szCs w:val="24"/>
          <w:rtl w:val="0"/>
        </w:rPr>
        <w:t xml:space="preserve">Número de vehículos que están dentro de patrimonio del municipio, </w:t>
      </w:r>
      <w:r w:rsidDel="00000000" w:rsidR="00000000" w:rsidRPr="00000000">
        <w:rPr>
          <w:rFonts w:ascii="Palatino Linotype" w:cs="Palatino Linotype" w:eastAsia="Palatino Linotype" w:hAnsi="Palatino Linotype"/>
          <w:sz w:val="24"/>
          <w:szCs w:val="24"/>
          <w:rtl w:val="0"/>
        </w:rPr>
        <w:t xml:space="preserve">así</w:t>
      </w:r>
      <w:r w:rsidDel="00000000" w:rsidR="00000000" w:rsidRPr="00000000">
        <w:rPr>
          <w:rFonts w:ascii="Palatino Linotype" w:cs="Palatino Linotype" w:eastAsia="Palatino Linotype" w:hAnsi="Palatino Linotype"/>
          <w:color w:val="000000"/>
          <w:sz w:val="24"/>
          <w:szCs w:val="24"/>
          <w:rtl w:val="0"/>
        </w:rPr>
        <w:t xml:space="preserve"> como las tarjetas de circulación que acrediten lo solicitado.</w:t>
      </w:r>
    </w:p>
    <w:p w:rsidR="00000000" w:rsidDel="00000000" w:rsidP="00000000" w:rsidRDefault="00000000" w:rsidRPr="00000000" w14:paraId="00000008">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w:t>
      </w:r>
      <w:r w:rsidDel="00000000" w:rsidR="00000000" w:rsidRPr="00000000">
        <w:rPr>
          <w:rFonts w:ascii="Palatino Linotype" w:cs="Palatino Linotype" w:eastAsia="Palatino Linotype" w:hAnsi="Palatino Linotype"/>
          <w:color w:val="000000"/>
          <w:sz w:val="24"/>
          <w:szCs w:val="24"/>
          <w:rtl w:val="0"/>
        </w:rPr>
        <w:t xml:space="preserve"> Coordinación de Patrimonio del SUJETO OBLIGADO respondió, que se encuentran registrados 447 vehículos  de los cuales no se incluyen los automotores designados a la Comisaria General de Seguridad Ciudadana, toda vez que es información reservada, por lo cual menciona que las tarjetas de circulación no obran en los archivos de la coordinación que encabeza</w:t>
      </w:r>
      <w:r w:rsidDel="00000000" w:rsidR="00000000" w:rsidRPr="00000000">
        <w:rPr>
          <w:rFonts w:ascii="Palatino Linotype" w:cs="Palatino Linotype" w:eastAsia="Palatino Linotype" w:hAnsi="Palatino Linotype"/>
          <w:sz w:val="24"/>
          <w:szCs w:val="24"/>
          <w:rtl w:val="0"/>
        </w:rPr>
        <w:t xml:space="preserve">, motivando así la interposición del recurso de revisión, por lo que el </w:t>
      </w:r>
      <w:r w:rsidDel="00000000" w:rsidR="00000000" w:rsidRPr="00000000">
        <w:rPr>
          <w:rFonts w:ascii="Palatino Linotype" w:cs="Palatino Linotype" w:eastAsia="Palatino Linotype" w:hAnsi="Palatino Linotype"/>
          <w:color w:val="000000"/>
          <w:sz w:val="24"/>
          <w:szCs w:val="24"/>
          <w:rtl w:val="0"/>
        </w:rPr>
        <w:t xml:space="preserve">Director de Administración, remite en formato electrónico, la información brindada por el titular del Departamento de Mantenimiento y Control Vehicular , lo cual son las tarjetas de circulación, asimismo se remitió el Acuerdo 042/CUAUTIZC/CT/CGSPT/2021, mediante el cual se clasifica la información con carácter de reservada consistente en el número de vehículos adscritos a la Comisaria General de Seguridad Ciudadana.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 efecto de subsanar dicha circunstancia, en la etapa de instrucción del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01124/INFOEM/IP/RR/2022,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Coordinadora de Transparencia, menciona que el acta de la trigésima octava sesión extraordinaria del Comité de Transparencia del Ayuntamiento de Cuautitlán Izcalli, celebrada el cuatro de febrero de dos mil veintiuno, el presidente del Comité de Transparencia declaró la existencia del quorum legal, mediante el cual se aprobó el acuerdo de reserva y no un acuerdo de versión pública, asimismo resalta que el Lic. Hugo Salvador Viveros Alonso, Secretario Técnico del Comité de Transparencia y Titular de la Unidad de Archivo Municipal cuenta con las facultades y atribuciones para emitir su voto en las resoluciones del Comité de Transparencia.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tal sentido, la ponencia que resolvió consideró que los documentos remitidos y que se ordenan serán suficientes para tener por atendida la solicitud de información que dio origen al recurso de revisión señalado en el párrafo anterior modificando el mismo, derivado del criterio adoptado por los integrantes del Pleno.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30j0zll" w:id="3"/>
      <w:bookmarkEnd w:id="3"/>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obstante, si bien las suscritas coinciden en que los documentos remitidos por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ser aquellos de manera parcial, que fueron requeridos por el particular de manera específica, también consideran que se debió ponderar la reserva de datos de identificación del vehículo, concretamente respecto del número de placa, ya que este dato hace plenamente identificable a un vehículo, siendo altamente posible identificar también a sus tripulantes.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conforme a lo establecido en la Ley de Transparencia y Acceso a la Información Pública del Estado de México y Municipios, ya que prevé que la clasificación de la información es el proceso mediante el cual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determina que la información en su poder, actualiza alguno de los supuestos de reserva o confidencialidad.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tanto que se clasificará como información confidencial, entre otras y atendiendo al caso que nos ocupa, la información privada, datos personales concernientes a una persona física o jurídico colectiva identificada o identificable.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acuerdo a lo anterior y conforme a la resolución del recurso de revisión que motiva el presente voto particular concurrente, la información que proporcionó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contiene datos de identificación de vehículos que son utilizados por servidores públicos adscritos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el desarrollo de sus funciones; por lo que, originariamente, dicha información es pública; sin embargo, excepcionalmente esa información podrá ser reservada si se acredita alguna de las causales señaladas en el artículo 140 de la Ley de la materia.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respecto, es de precisar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proporcionar la información de identificación de un vehículo como el número de placas, aun perteneciendo al servicio público, atenta contra la seguridad de los servidores públicos que en ellos se trasladan, máxime de aquellos que a nivel Estatal representan a la autoridad; incluso, se pone en riesgo a su familia, al vulnerar su esfera privada.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Sirve de apoyo a lo anterior, el Criterio 9/2008 que sustenta por unanimidad de votos, el Comité de Acceso a la Información y de Protección de Datos Personales de la Suprema Corte de Justicia de la Nación, que cuenta con el siguiente rubro SERVIDORES PÚBLICOS DE LA SUPREMA CORTE DE JUSTICIA DE LA NACIÓN. LA INFORMACIÓN RELATIVA A LOS VEHÍCULOS QUE LES SON ASIGNADOS ES PÚBLICA SALVO POR LO QUE SE REFIERE A LOS DATOS QUE PERMITAN IDENTIFICAR CUÁL CORRESPONDE A CADA UNO DE ELLOS, la cual señala: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Del criterio en cita, se advierte que no debe proporcionarse el número de placa de los vehículos oficiales que utilizan los servidores públicos, por hacerlos identificables y trascender a su vida privada, garantizando con ello su protección.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Es por las razones expuestas se emite el presente VOTO PARTICULAR CONCURRENTE, pues se debió enfatizar la reserva del número de placa del vehículo asignado al servidor público referido por el particular, en los documentos proporcionados por el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en atención al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01124/INFOEM/IP/RR/2022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p>
    <w:tbl>
      <w:tblPr>
        <w:tblStyle w:val="Table1"/>
        <w:tblW w:w="883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9"/>
        <w:gridCol w:w="4419"/>
        <w:tblGridChange w:id="0">
          <w:tblGrid>
            <w:gridCol w:w="4419"/>
            <w:gridCol w:w="4419"/>
          </w:tblGrid>
        </w:tblGridChange>
      </w:tblGrid>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9" w:firstLine="0"/>
              <w:jc w:val="center"/>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18"/>
                <w:szCs w:val="18"/>
                <w:u w:val="none"/>
                <w:shd w:fill="auto" w:val="clear"/>
                <w:vertAlign w:val="baseline"/>
                <w:rtl w:val="0"/>
              </w:rPr>
              <w:t xml:space="preserve">GUADALUPE RAMÍREZ PEÑA COMISIONADA</w:t>
            </w: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9" w:firstLine="0"/>
              <w:jc w:val="center"/>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18"/>
                <w:szCs w:val="18"/>
                <w:u w:val="none"/>
                <w:shd w:fill="auto" w:val="clear"/>
                <w:vertAlign w:val="baseline"/>
                <w:rtl w:val="0"/>
              </w:rPr>
              <w:t xml:space="preserve">SHARON CRISTINA MORALES MARTÍNEZ COMISIONADA</w:t>
            </w: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tbl>
      <w:tblPr>
        <w:tblStyle w:val="Table2"/>
        <w:tblW w:w="8382.0" w:type="dxa"/>
        <w:jc w:val="left"/>
        <w:tblInd w:w="764.0" w:type="dxa"/>
        <w:tblLayout w:type="fixed"/>
        <w:tblLook w:val="0000"/>
      </w:tblPr>
      <w:tblGrid>
        <w:gridCol w:w="4837"/>
        <w:gridCol w:w="3545"/>
        <w:tblGridChange w:id="0">
          <w:tblGrid>
            <w:gridCol w:w="4837"/>
            <w:gridCol w:w="3545"/>
          </w:tblGrid>
        </w:tblGridChange>
      </w:tblGrid>
      <w:tr>
        <w:trPr>
          <w:cantSplit w:val="0"/>
          <w:trHeight w:val="5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hanging="1325"/>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hanging="68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7" w:type="default"/>
      <w:footerReference r:id="rId8" w:type="default"/>
      <w:pgSz w:h="15840" w:w="12240" w:orient="portrait"/>
      <w:pgMar w:bottom="2778" w:top="2438" w:left="1701" w:right="1701"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VOTO PARTICULAR CONCURRENTE</w:t>
    </w:r>
    <w:r w:rsidDel="00000000" w:rsidR="00000000" w:rsidRPr="00000000">
      <w:drawing>
        <wp:anchor allowOverlap="1" behindDoc="1" distB="0" distT="0" distL="0" distR="0" hidden="0" layoutInCell="1" locked="0" relativeHeight="0" simplePos="0">
          <wp:simplePos x="0" y="0"/>
          <wp:positionH relativeFrom="column">
            <wp:posOffset>-1476374</wp:posOffset>
          </wp:positionH>
          <wp:positionV relativeFrom="paragraph">
            <wp:posOffset>-19049</wp:posOffset>
          </wp:positionV>
          <wp:extent cx="7510628" cy="9883775"/>
          <wp:effectExtent b="0" l="0" r="0" t="0"/>
          <wp:wrapNone/>
          <wp:docPr id="23" name="image1.jpg"/>
          <a:graphic>
            <a:graphicData uri="http://schemas.openxmlformats.org/drawingml/2006/picture">
              <pic:pic>
                <pic:nvPicPr>
                  <pic:cNvPr id="0" name="image1.jpg"/>
                  <pic:cNvPicPr preferRelativeResize="0"/>
                </pic:nvPicPr>
                <pic:blipFill>
                  <a:blip r:embed="rId1"/>
                  <a:srcRect b="0" l="-1013" r="1013"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RECURSO</w:t>
    </w:r>
    <w:r w:rsidDel="00000000" w:rsidR="00000000" w:rsidRPr="00000000">
      <w:rPr>
        <w:rFonts w:ascii="Palatino Linotype" w:cs="Palatino Linotype" w:eastAsia="Palatino Linotype" w:hAnsi="Palatino Linotype"/>
        <w:b w:val="1"/>
        <w:sz w:val="20"/>
        <w:szCs w:val="20"/>
        <w:rtl w:val="0"/>
      </w:rPr>
      <w:t xml:space="preserve">S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 DE REVISIÓN 0</w:t>
    </w:r>
    <w:r w:rsidDel="00000000" w:rsidR="00000000" w:rsidRPr="00000000">
      <w:rPr>
        <w:rFonts w:ascii="Palatino Linotype" w:cs="Palatino Linotype" w:eastAsia="Palatino Linotype" w:hAnsi="Palatino Linotype"/>
        <w:b w:val="1"/>
        <w:sz w:val="20"/>
        <w:szCs w:val="20"/>
        <w:rtl w:val="0"/>
      </w:rPr>
      <w:t xml:space="preserve">1124</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/INFOEM/IP/RR/2022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2" name=""/>
              <a:graphic>
                <a:graphicData uri="http://schemas.microsoft.com/office/word/2010/wordprocessingShape">
                  <wps:wsp>
                    <wps:cNvSpPr/>
                    <wps:cNvPr id="2" name="Shape 2"/>
                    <wps:spPr>
                      <a:xfrm rot="-2761922">
                        <a:off x="1971017" y="3326833"/>
                        <a:ext cx="6749966" cy="906334"/>
                      </a:xfrm>
                      <a:prstGeom prst="rect">
                        <a:avLst/>
                      </a:prstGeom>
                      <a:noFill/>
                      <a:ln>
                        <a:noFill/>
                      </a:ln>
                    </wps:spPr>
                    <wps:txbx>
                      <w:txbxContent>
                        <w:p w:rsidR="00000000" w:rsidDel="00000000" w:rsidP="00000000" w:rsidRDefault="00000000" w:rsidRPr="00000000">
                          <w:pPr>
                            <w:spacing w:after="240" w:before="240" w:line="36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aeaaaa"/>
                              <w:sz w:val="56"/>
                              <w:vertAlign w:val="baseline"/>
                            </w:rPr>
                            <w:t xml:space="preserve">VOTO PARTICULAR CONCURRENTE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279778" cy="556819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07BA"/>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eastAsia="Calibri"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inespaciado">
    <w:name w:val="No Spacing"/>
    <w:aliases w:val="Francesa,INAI"/>
    <w:link w:val="SinespaciadoCar"/>
    <w:uiPriority w:val="1"/>
    <w:qFormat w:val="1"/>
    <w:rsid w:val="00F33522"/>
    <w:pPr>
      <w:spacing w:after="0" w:line="240" w:lineRule="auto"/>
    </w:pPr>
  </w:style>
  <w:style w:type="character" w:styleId="SinespaciadoCar" w:customStyle="1">
    <w:name w:val="Sin espaciado Car"/>
    <w:aliases w:val="Francesa Car,INAI Car"/>
    <w:link w:val="Sinespaciado"/>
    <w:uiPriority w:val="1"/>
    <w:locked w:val="1"/>
    <w:rsid w:val="00F33522"/>
  </w:style>
  <w:style w:type="table" w:styleId="TableNormal" w:customStyle="1">
    <w:name w:val="Table Normal"/>
    <w:uiPriority w:val="2"/>
    <w:semiHidden w:val="1"/>
    <w:unhideWhenUsed w:val="1"/>
    <w:qFormat w:val="1"/>
    <w:rsid w:val="00B21C09"/>
    <w:pPr>
      <w:widowControl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bfvpuXljQ0iRl2+XJyKF4yLJ6Q==">AMUW2mXCahRDMh8ITmUAB01e8GdtEx0DU6KSkajr/498GsdfBA20L/LZzjwPYvzcLDVejgEH7lCRyqgBBJ4wfgzI16WR+PfRBh022nO4dIuWHNcVcq3TQZKyHUTNwHRpmdrSvsZa7XU/B+0QeJI0h7CHz2SRqdLtJ9YcFZIodad1zsJYL5JaAKc=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2022-05-10T00:47:00Z</dcterms:created>
  <dc:creator>USUARIO</dc:creator>
</cp:coreProperties>
</file>