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E9B1D" w14:textId="5C95433F" w:rsidR="00445879" w:rsidRDefault="007B1CFA" w:rsidP="00CF3F65">
      <w:pPr>
        <w:spacing w:line="360" w:lineRule="auto"/>
        <w:jc w:val="both"/>
        <w:rPr>
          <w:rFonts w:ascii="Palatino Linotype" w:hAnsi="Palatino Linotype" w:cs="Arial"/>
          <w:b/>
        </w:rPr>
      </w:pPr>
      <w:r w:rsidRPr="00CF3F65">
        <w:rPr>
          <w:rFonts w:ascii="Palatino Linotype" w:hAnsi="Palatino Linotype" w:cs="Arial"/>
          <w:b/>
        </w:rPr>
        <w:t xml:space="preserve">VOTO </w:t>
      </w:r>
      <w:r w:rsidR="00445879" w:rsidRPr="00CF3F65">
        <w:rPr>
          <w:rFonts w:ascii="Palatino Linotype" w:hAnsi="Palatino Linotype" w:cs="Arial"/>
          <w:b/>
        </w:rPr>
        <w:t xml:space="preserve">PARTICULAR DE LA COMISIONADA MARÍA DEL ROSARIO MEJÍA AYALA EN EL RECURSO DE REVISIÓN </w:t>
      </w:r>
      <w:r w:rsidR="00B30B8F" w:rsidRPr="00B30B8F">
        <w:rPr>
          <w:rFonts w:ascii="Palatino Linotype" w:hAnsi="Palatino Linotype" w:cs="Arial"/>
          <w:b/>
        </w:rPr>
        <w:t>03847/INFOEM/IP/RR/2022</w:t>
      </w:r>
      <w:r w:rsidR="00B30B8F">
        <w:rPr>
          <w:rFonts w:ascii="Palatino Linotype" w:hAnsi="Palatino Linotype" w:cs="Arial"/>
          <w:b/>
        </w:rPr>
        <w:t>.</w:t>
      </w:r>
    </w:p>
    <w:p w14:paraId="3354F059" w14:textId="77777777" w:rsidR="00B30B8F" w:rsidRPr="00CF3F65" w:rsidRDefault="00B30B8F"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EC27884" w14:textId="25B8FE96" w:rsidR="008F67BC"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B30B8F">
        <w:rPr>
          <w:rFonts w:ascii="Palatino Linotype" w:hAnsi="Palatino Linotype" w:cs="Arial"/>
        </w:rPr>
        <w:t>0</w:t>
      </w:r>
      <w:r w:rsidR="00B30B8F">
        <w:rPr>
          <w:rFonts w:ascii="Palatino Linotype" w:hAnsi="Palatino Linotype" w:cs="Arial"/>
          <w:b/>
        </w:rPr>
        <w:t>3847</w:t>
      </w:r>
      <w:r w:rsidR="00B30B8F">
        <w:rPr>
          <w:rFonts w:ascii="Palatino Linotype" w:hAnsi="Palatino Linotype" w:cs="Arial"/>
          <w:b/>
          <w:bCs/>
        </w:rPr>
        <w:t>/INFOEM/IP/RR/2022</w:t>
      </w:r>
      <w:r w:rsidRPr="00BC1756">
        <w:rPr>
          <w:rFonts w:ascii="Palatino Linotype" w:hAnsi="Palatino Linotype" w:cs="Arial"/>
        </w:rPr>
        <w:t xml:space="preserve">, </w:t>
      </w:r>
      <w:r w:rsidR="008B0A68">
        <w:rPr>
          <w:rFonts w:ascii="Palatino Linotype" w:hAnsi="Palatino Linotype" w:cs="Arial"/>
        </w:rPr>
        <w:t xml:space="preserve">presentado por la </w:t>
      </w:r>
      <w:r w:rsidR="008B0A68" w:rsidRPr="008B0A68">
        <w:rPr>
          <w:rFonts w:ascii="Palatino Linotype" w:hAnsi="Palatino Linotype" w:cs="Arial"/>
        </w:rPr>
        <w:t>Comision</w:t>
      </w:r>
      <w:r w:rsidR="008B0A68">
        <w:rPr>
          <w:rFonts w:ascii="Palatino Linotype" w:hAnsi="Palatino Linotype" w:cs="Arial"/>
        </w:rPr>
        <w:t>ada</w:t>
      </w:r>
      <w:r w:rsidR="00B30B8F">
        <w:rPr>
          <w:rFonts w:ascii="Palatino Linotype" w:hAnsi="Palatino Linotype" w:cs="Arial"/>
        </w:rPr>
        <w:t xml:space="preserve"> </w:t>
      </w:r>
      <w:r w:rsidR="00B30B8F">
        <w:rPr>
          <w:rFonts w:ascii="Palatino Linotype" w:hAnsi="Palatino Linotype"/>
        </w:rPr>
        <w:t>Sharon Cristina Morales Martínez</w:t>
      </w:r>
      <w:r w:rsidR="00B30B8F">
        <w:rPr>
          <w:rFonts w:ascii="Palatino Linotype" w:hAnsi="Palatino Linotype" w:cs="Arial"/>
        </w:rPr>
        <w:t>,</w:t>
      </w:r>
      <w:r w:rsidR="008B0A68" w:rsidRPr="008B0A68">
        <w:rPr>
          <w:rFonts w:ascii="Palatino Linotype" w:hAnsi="Palatino Linotype" w:cs="Arial"/>
        </w:rPr>
        <w:t xml:space="preserve"> conforme al criterio mayoritario del Pleno,</w:t>
      </w:r>
      <w:r w:rsidR="008B0A68">
        <w:rPr>
          <w:rFonts w:ascii="Palatino Linotype" w:hAnsi="Palatino Linotype" w:cs="Arial"/>
        </w:rPr>
        <w:t xml:space="preserve"> </w:t>
      </w:r>
      <w:r w:rsidRPr="0024476F">
        <w:rPr>
          <w:rFonts w:ascii="Palatino Linotype" w:hAnsi="Palatino Linotype" w:cs="Arial"/>
        </w:rPr>
        <w:t xml:space="preserve">promovido en contra </w:t>
      </w:r>
      <w:r w:rsidR="00B30B8F">
        <w:rPr>
          <w:rFonts w:ascii="Palatino Linotype" w:hAnsi="Palatino Linotype" w:cs="Arial"/>
        </w:rPr>
        <w:t xml:space="preserve">del </w:t>
      </w:r>
      <w:r w:rsidR="00B30B8F">
        <w:rPr>
          <w:rFonts w:ascii="Palatino Linotype" w:hAnsi="Palatino Linotype" w:cs="Arial"/>
          <w:b/>
          <w:bCs/>
        </w:rPr>
        <w:t>Ayuntamiento de Tlalmanalco</w:t>
      </w:r>
      <w:r w:rsidR="00445879">
        <w:rPr>
          <w:rFonts w:ascii="Palatino Linotype" w:eastAsia="Palatino Linotype" w:hAnsi="Palatino Linotype" w:cs="Palatino Linotype"/>
          <w:b/>
        </w:rPr>
        <w:t>.</w:t>
      </w:r>
    </w:p>
    <w:p w14:paraId="77569234" w14:textId="77777777" w:rsidR="002E7D97" w:rsidRPr="00B30B8F" w:rsidRDefault="002E7D97" w:rsidP="008F67BC">
      <w:pPr>
        <w:spacing w:line="360" w:lineRule="auto"/>
        <w:jc w:val="both"/>
        <w:rPr>
          <w:rFonts w:ascii="Palatino Linotype" w:hAnsi="Palatino Linotype" w:cs="Arial"/>
        </w:rPr>
      </w:pPr>
    </w:p>
    <w:p w14:paraId="42E96A9A" w14:textId="7890651D" w:rsidR="00B30B8F" w:rsidRDefault="00CF3F65" w:rsidP="00B30B8F">
      <w:pPr>
        <w:spacing w:line="360" w:lineRule="auto"/>
        <w:jc w:val="both"/>
        <w:rPr>
          <w:rFonts w:ascii="Palatino Linotype" w:hAnsi="Palatino Linotype"/>
          <w:highlight w:val="yellow"/>
          <w:lang w:val="es-MX" w:eastAsia="es-MX"/>
        </w:rPr>
      </w:pPr>
      <w:r w:rsidRPr="004B2706">
        <w:rPr>
          <w:rFonts w:ascii="Palatino Linotype" w:hAnsi="Palatino Linotype" w:cs="Arial"/>
        </w:rPr>
        <w:t xml:space="preserve">Esto porque </w:t>
      </w:r>
      <w:r w:rsidR="002E7D97" w:rsidRPr="004B2706">
        <w:rPr>
          <w:rFonts w:ascii="Palatino Linotype" w:hAnsi="Palatino Linotype" w:cs="Arial"/>
        </w:rPr>
        <w:t xml:space="preserve">la resolución ordena la entrega de </w:t>
      </w:r>
      <w:r w:rsidR="00B30B8F">
        <w:rPr>
          <w:rFonts w:ascii="Palatino Linotype" w:hAnsi="Palatino Linotype" w:cs="Arial"/>
        </w:rPr>
        <w:t>l</w:t>
      </w:r>
      <w:r w:rsidR="00B30B8F" w:rsidRPr="00B30B8F">
        <w:rPr>
          <w:rFonts w:ascii="Palatino Linotype" w:hAnsi="Palatino Linotype" w:cs="Arial"/>
        </w:rPr>
        <w:t>os documentos donde conste el nombre de los servidores públicos de la administración 2019-2021, que por sus funciones vigilaban, resguardaban y realizaban el llenado de</w:t>
      </w:r>
      <w:r w:rsidR="00B30B8F">
        <w:rPr>
          <w:rFonts w:ascii="Palatino Linotype" w:hAnsi="Palatino Linotype" w:cs="Arial"/>
        </w:rPr>
        <w:t>l Sistema de Gestión Catastral y l</w:t>
      </w:r>
      <w:r w:rsidR="00B30B8F" w:rsidRPr="00B30B8F">
        <w:rPr>
          <w:rFonts w:ascii="Palatino Linotype" w:hAnsi="Palatino Linotype" w:cs="Arial"/>
        </w:rPr>
        <w:t>os documentos donde conste las acciones administrativas y penales tomadas ante los servidores públicos responsables de la vigilancia, resguardo y llenado d</w:t>
      </w:r>
      <w:r w:rsidR="00B30B8F">
        <w:rPr>
          <w:rFonts w:ascii="Palatino Linotype" w:hAnsi="Palatino Linotype" w:cs="Arial"/>
        </w:rPr>
        <w:t xml:space="preserve">el Sistema de Gestión Catastral, ordenando la </w:t>
      </w:r>
      <w:r w:rsidR="00B30B8F" w:rsidRPr="00B30B8F">
        <w:rPr>
          <w:rFonts w:ascii="Palatino Linotype" w:hAnsi="Palatino Linotype" w:cs="Arial"/>
        </w:rPr>
        <w:t>clasifica</w:t>
      </w:r>
      <w:r w:rsidR="00B30B8F" w:rsidRPr="00B30B8F">
        <w:rPr>
          <w:rFonts w:ascii="Palatino Linotype" w:hAnsi="Palatino Linotype" w:cs="Arial"/>
        </w:rPr>
        <w:t xml:space="preserve">ción </w:t>
      </w:r>
      <w:r w:rsidR="00B30B8F" w:rsidRPr="00B30B8F">
        <w:rPr>
          <w:rFonts w:ascii="Palatino Linotype" w:hAnsi="Palatino Linotype" w:cs="Arial"/>
        </w:rPr>
        <w:t xml:space="preserve"> como confidencial</w:t>
      </w:r>
      <w:r w:rsidR="00B30B8F" w:rsidRPr="00B30B8F">
        <w:rPr>
          <w:rFonts w:ascii="Palatino Linotype" w:hAnsi="Palatino Linotype" w:cs="Arial"/>
        </w:rPr>
        <w:t xml:space="preserve"> de</w:t>
      </w:r>
      <w:r w:rsidR="00B30B8F" w:rsidRPr="00B30B8F">
        <w:rPr>
          <w:rFonts w:ascii="Palatino Linotype" w:hAnsi="Palatino Linotype" w:cs="Arial"/>
        </w:rPr>
        <w:t xml:space="preserve">l nombre del servidor público </w:t>
      </w:r>
      <w:r w:rsidR="00B30B8F" w:rsidRPr="00B30B8F">
        <w:rPr>
          <w:rFonts w:ascii="Palatino Linotype" w:hAnsi="Palatino Linotype" w:cs="Arial"/>
        </w:rPr>
        <w:t xml:space="preserve">en los </w:t>
      </w:r>
      <w:r w:rsidR="00B30B8F" w:rsidRPr="00B30B8F">
        <w:rPr>
          <w:rFonts w:ascii="Palatino Linotype" w:hAnsi="Palatino Linotype" w:cs="Arial"/>
        </w:rPr>
        <w:t xml:space="preserve">procedimientos por faltas administrativas </w:t>
      </w:r>
      <w:r w:rsidR="00B30B8F" w:rsidRPr="00B30B8F">
        <w:rPr>
          <w:rFonts w:ascii="Palatino Linotype" w:hAnsi="Palatino Linotype" w:cs="Arial"/>
        </w:rPr>
        <w:t>que hayan sido absolutorias.</w:t>
      </w:r>
    </w:p>
    <w:p w14:paraId="05CE0344" w14:textId="35218BBD" w:rsidR="00445879" w:rsidRPr="004B2706" w:rsidRDefault="00445879" w:rsidP="002E7D97">
      <w:pPr>
        <w:spacing w:before="240" w:after="360" w:line="360" w:lineRule="auto"/>
        <w:jc w:val="both"/>
        <w:rPr>
          <w:rFonts w:ascii="Palatino Linotype" w:hAnsi="Palatino Linotype" w:cs="Arial"/>
        </w:rPr>
      </w:pPr>
      <w:r w:rsidRPr="004B2706">
        <w:rPr>
          <w:rFonts w:ascii="Palatino Linotype" w:hAnsi="Palatino Linotype" w:cs="Arial"/>
        </w:rPr>
        <w:lastRenderedPageBreak/>
        <w:t xml:space="preserve">En ese orden de ideas, dar a conocer la información relativa a las resoluciones absolutorias </w:t>
      </w:r>
      <w:r w:rsidR="00B30B8F">
        <w:rPr>
          <w:rFonts w:ascii="Palatino Linotype" w:hAnsi="Palatino Linotype" w:cs="Arial"/>
        </w:rPr>
        <w:t xml:space="preserve">y especialmente las derivadas de </w:t>
      </w:r>
      <w:r w:rsidRPr="004B2706">
        <w:rPr>
          <w:rFonts w:ascii="Palatino Linotype" w:hAnsi="Palatino Linotype" w:cs="Arial"/>
        </w:rPr>
        <w:t>faltas administrativas graves, transparenta la gestión pública y la rendición de cuentas, pues se observa, que los servidores públicos, han observado en el desempeño de su empleo, cargo o comisión, los principios de disciplina, legalidad, objetividad, profesionalismo, honradez, lealtad, imparcialidad, integridad, rendición de cuentas, eficacia y eficiencia que rigen el servicio público.</w:t>
      </w:r>
    </w:p>
    <w:p w14:paraId="3E9B09B5" w14:textId="77777777" w:rsidR="00445879" w:rsidRPr="004B2706" w:rsidRDefault="00445879" w:rsidP="004B2706">
      <w:pPr>
        <w:spacing w:before="240" w:after="360" w:line="360" w:lineRule="auto"/>
        <w:jc w:val="both"/>
        <w:rPr>
          <w:rFonts w:ascii="Palatino Linotype" w:hAnsi="Palatino Linotype" w:cs="Arial"/>
        </w:rPr>
      </w:pPr>
      <w:r w:rsidRPr="004B2706">
        <w:rPr>
          <w:rFonts w:ascii="Palatino Linotype" w:hAnsi="Palatino Linotype" w:cs="Arial"/>
        </w:rPr>
        <w:t xml:space="preserve">Esta Ponencia sostiene 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61DF9E12" w14:textId="5270BA30" w:rsidR="00135555" w:rsidRPr="004B2706" w:rsidRDefault="00D03369" w:rsidP="004B2706">
      <w:pPr>
        <w:spacing w:before="240" w:after="360" w:line="360" w:lineRule="auto"/>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 xml:space="preserve">el cohecho, peculado, desvío de recursos públicos, utilización indebida de información, abuso de </w:t>
      </w:r>
      <w:r w:rsidR="000D656A" w:rsidRPr="004B2706">
        <w:rPr>
          <w:rFonts w:ascii="Palatino Linotype" w:hAnsi="Palatino Linotype" w:cs="Arial"/>
        </w:rPr>
        <w:lastRenderedPageBreak/>
        <w:t>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49B07B45" w14:textId="706352F6" w:rsidR="00B703D7" w:rsidRPr="004B2706" w:rsidRDefault="00B703D7" w:rsidP="004B2706">
      <w:pPr>
        <w:spacing w:before="240" w:after="360" w:line="360" w:lineRule="auto"/>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bookmarkStart w:id="1" w:name="_GoBack"/>
      <w:bookmarkEnd w:id="1"/>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410172ED" w14:textId="2610455A"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2"/>
      <w:r w:rsidR="00B30B8F">
        <w:rPr>
          <w:rFonts w:ascii="Palatino Linotype" w:eastAsia="Calibri" w:hAnsi="Palatino Linotype" w:cs="Arial"/>
          <w:color w:val="000000" w:themeColor="text1"/>
          <w:sz w:val="24"/>
          <w:szCs w:val="24"/>
        </w:rPr>
        <w:t>.</w:t>
      </w:r>
    </w:p>
    <w:p w14:paraId="2F4285B5" w14:textId="77777777" w:rsidR="00B30B8F" w:rsidRPr="00B30B8F" w:rsidRDefault="00B30B8F" w:rsidP="00B30B8F">
      <w:pPr>
        <w:rPr>
          <w:rFonts w:eastAsia="Calibri"/>
        </w:rPr>
      </w:pPr>
    </w:p>
    <w:p w14:paraId="30FFD857" w14:textId="103DD5DF" w:rsidR="002E7D97" w:rsidRPr="004B2706" w:rsidRDefault="00B703D7" w:rsidP="00B30B8F">
      <w:pPr>
        <w:spacing w:line="360" w:lineRule="auto"/>
        <w:jc w:val="both"/>
        <w:rPr>
          <w:rFonts w:ascii="Palatino Linotype" w:eastAsia="Calibri" w:hAnsi="Palatino Linotype" w:cs="Arial"/>
        </w:rPr>
      </w:pPr>
      <w:r>
        <w:rPr>
          <w:rFonts w:ascii="Palatino Linotype" w:eastAsia="Calibri" w:hAnsi="Palatino Linotype" w:cs="Arial"/>
        </w:rPr>
        <w:t>L</w:t>
      </w:r>
      <w:r w:rsidRPr="00B703D7">
        <w:rPr>
          <w:rFonts w:ascii="Palatino Linotype" w:eastAsia="Calibri" w:hAnsi="Palatino Linotype" w:cs="Arial"/>
        </w:rPr>
        <w:t xml:space="preserve">a resolución ordena </w:t>
      </w:r>
      <w:r w:rsidR="002E7D97">
        <w:rPr>
          <w:rFonts w:ascii="Palatino Linotype" w:eastAsia="Calibri" w:hAnsi="Palatino Linotype" w:cs="Arial"/>
        </w:rPr>
        <w:t xml:space="preserve">la entrega de </w:t>
      </w:r>
      <w:r w:rsidR="00B30B8F">
        <w:rPr>
          <w:rFonts w:ascii="Palatino Linotype" w:hAnsi="Palatino Linotype" w:cs="Arial"/>
        </w:rPr>
        <w:t xml:space="preserve">los documentos donde conste el nombre de los servidores públicos de la administración 2019-2021, que por sus funciones vigilaban, resguardaban y realizaban el llenado del Sistema de Gestión Catastral y los documentos donde conste las acciones administrativas y penales tomadas ante los </w:t>
      </w:r>
      <w:r w:rsidR="00B30B8F">
        <w:rPr>
          <w:rFonts w:ascii="Palatino Linotype" w:hAnsi="Palatino Linotype" w:cs="Arial"/>
        </w:rPr>
        <w:lastRenderedPageBreak/>
        <w:t xml:space="preserve">servidores públicos responsables de la vigilancia, resguardo y llenado del Sistema de Gestión Catastral, ordenando la clasificación  como confidencial del nombre del servidor público en los </w:t>
      </w:r>
      <w:r w:rsidR="002E7D97" w:rsidRPr="004B2706">
        <w:rPr>
          <w:rFonts w:ascii="Palatino Linotype" w:eastAsia="Calibri" w:hAnsi="Palatino Linotype" w:cs="Arial"/>
        </w:rPr>
        <w:t>procedimientos en los que no se determinó responsabilidad administrativa.</w:t>
      </w:r>
    </w:p>
    <w:p w14:paraId="2BB842F2" w14:textId="14DB029C" w:rsidR="00685B0E" w:rsidRDefault="00445879" w:rsidP="002E7D97">
      <w:pPr>
        <w:spacing w:before="240" w:after="240" w:line="360" w:lineRule="auto"/>
        <w:ind w:right="49"/>
        <w:jc w:val="both"/>
        <w:rPr>
          <w:rFonts w:ascii="Palatino Linotype" w:eastAsia="Calibri" w:hAnsi="Palatino Linotype" w:cs="Arial"/>
        </w:rPr>
      </w:pPr>
      <w:r>
        <w:rPr>
          <w:rFonts w:ascii="Palatino Linotype" w:eastAsia="Calibri" w:hAnsi="Palatino Linotype" w:cs="Arial"/>
        </w:rPr>
        <w:t>Sin embargo; l</w:t>
      </w:r>
      <w:r w:rsidR="00524594" w:rsidRPr="00CF3F65">
        <w:rPr>
          <w:rFonts w:ascii="Palatino Linotype" w:eastAsia="Calibri" w:hAnsi="Palatino Linotype" w:cs="Arial"/>
        </w:rPr>
        <w:t xml:space="preserve">a publicidad </w:t>
      </w:r>
      <w:r w:rsidR="00135555">
        <w:rPr>
          <w:rFonts w:ascii="Palatino Linotype" w:eastAsia="Calibri" w:hAnsi="Palatino Linotype" w:cs="Arial"/>
        </w:rPr>
        <w:t>de las</w:t>
      </w:r>
      <w:r w:rsidR="00524594" w:rsidRPr="00CF3F65">
        <w:rPr>
          <w:rFonts w:ascii="Palatino Linotype" w:eastAsia="Calibri" w:hAnsi="Palatino Linotype" w:cs="Arial"/>
        </w:rPr>
        <w:t xml:space="preserve"> resoluciones absolutorias de procedimientos administrativos</w:t>
      </w:r>
      <w:r w:rsidR="00D03369">
        <w:rPr>
          <w:rFonts w:ascii="Palatino Linotype" w:eastAsia="Calibri" w:hAnsi="Palatino Linotype" w:cs="Arial"/>
        </w:rPr>
        <w:t xml:space="preserve"> iniciados por faltas graves </w:t>
      </w:r>
      <w:r w:rsidR="00524594" w:rsidRPr="00CF3F65">
        <w:rPr>
          <w:rFonts w:ascii="Palatino Linotype" w:eastAsia="Calibri" w:hAnsi="Palatino Linotype" w:cs="Arial"/>
        </w:rPr>
        <w:t xml:space="preserve">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56ECF523" w14:textId="77777777" w:rsidR="00685B0E" w:rsidRDefault="00685B0E" w:rsidP="00CF3F65">
      <w:pPr>
        <w:spacing w:line="360" w:lineRule="auto"/>
        <w:jc w:val="both"/>
        <w:rPr>
          <w:rFonts w:ascii="Palatino Linotype" w:eastAsia="Calibri" w:hAnsi="Palatino Linotype" w:cs="Arial"/>
        </w:rPr>
      </w:pPr>
    </w:p>
    <w:p w14:paraId="5B851488" w14:textId="77777777" w:rsidR="00685B0E" w:rsidRDefault="00685B0E" w:rsidP="00CF3F65">
      <w:pPr>
        <w:spacing w:line="360" w:lineRule="auto"/>
        <w:jc w:val="both"/>
        <w:rPr>
          <w:rFonts w:ascii="Palatino Linotype" w:eastAsia="Calibri" w:hAnsi="Palatino Linotype" w:cs="Arial"/>
        </w:rPr>
      </w:pPr>
    </w:p>
    <w:p w14:paraId="1B7196ED" w14:textId="77777777" w:rsidR="00685B0E" w:rsidRDefault="00685B0E" w:rsidP="00CF3F65">
      <w:pPr>
        <w:spacing w:line="360" w:lineRule="auto"/>
        <w:jc w:val="both"/>
        <w:rPr>
          <w:rFonts w:ascii="Palatino Linotype" w:eastAsia="Calibri" w:hAnsi="Palatino Linotype" w:cs="Arial"/>
        </w:rPr>
      </w:pPr>
    </w:p>
    <w:p w14:paraId="6FB7BCB0" w14:textId="77777777" w:rsidR="00685B0E" w:rsidRDefault="00685B0E" w:rsidP="00CF3F65">
      <w:pPr>
        <w:spacing w:line="360" w:lineRule="auto"/>
        <w:jc w:val="both"/>
        <w:rPr>
          <w:rFonts w:ascii="Palatino Linotype" w:eastAsia="Calibri" w:hAnsi="Palatino Linotype" w:cs="Arial"/>
        </w:rPr>
      </w:pPr>
    </w:p>
    <w:p w14:paraId="76CEADC9" w14:textId="77777777" w:rsidR="00685B0E" w:rsidRDefault="00685B0E" w:rsidP="00CF3F65">
      <w:pPr>
        <w:spacing w:line="360" w:lineRule="auto"/>
        <w:jc w:val="both"/>
        <w:rPr>
          <w:rFonts w:ascii="Palatino Linotype" w:eastAsia="Calibri" w:hAnsi="Palatino Linotype" w:cs="Arial"/>
        </w:rPr>
      </w:pPr>
    </w:p>
    <w:p w14:paraId="71EDEFFA" w14:textId="77777777" w:rsidR="00685B0E" w:rsidRDefault="00685B0E" w:rsidP="00CF3F65">
      <w:pPr>
        <w:spacing w:line="360" w:lineRule="auto"/>
        <w:jc w:val="both"/>
        <w:rPr>
          <w:rFonts w:ascii="Palatino Linotype" w:eastAsia="Calibri" w:hAnsi="Palatino Linotype" w:cs="Arial"/>
        </w:rPr>
      </w:pPr>
    </w:p>
    <w:p w14:paraId="501C42AE" w14:textId="77777777" w:rsidR="00685B0E" w:rsidRDefault="00685B0E" w:rsidP="00CF3F65">
      <w:pPr>
        <w:spacing w:line="360" w:lineRule="auto"/>
        <w:jc w:val="both"/>
        <w:rPr>
          <w:rFonts w:ascii="Palatino Linotype" w:eastAsia="Calibri" w:hAnsi="Palatino Linotype" w:cs="Arial"/>
        </w:rPr>
      </w:pPr>
    </w:p>
    <w:p w14:paraId="6736E699" w14:textId="77777777" w:rsidR="00685B0E" w:rsidRDefault="00685B0E" w:rsidP="00CF3F65">
      <w:pPr>
        <w:spacing w:line="360" w:lineRule="auto"/>
        <w:jc w:val="both"/>
        <w:rPr>
          <w:rFonts w:ascii="Palatino Linotype" w:eastAsia="Calibri" w:hAnsi="Palatino Linotype" w:cs="Arial"/>
        </w:rPr>
      </w:pPr>
    </w:p>
    <w:p w14:paraId="4039702C" w14:textId="77777777" w:rsidR="00685B0E" w:rsidRDefault="00685B0E" w:rsidP="00CF3F65">
      <w:pPr>
        <w:spacing w:line="360" w:lineRule="auto"/>
        <w:jc w:val="both"/>
        <w:rPr>
          <w:rFonts w:ascii="Palatino Linotype" w:eastAsia="Calibri" w:hAnsi="Palatino Linotype" w:cs="Arial"/>
        </w:rPr>
      </w:pPr>
    </w:p>
    <w:p w14:paraId="769113BC" w14:textId="77777777" w:rsidR="00685B0E" w:rsidRDefault="00685B0E" w:rsidP="00CF3F65">
      <w:pPr>
        <w:spacing w:line="360" w:lineRule="auto"/>
        <w:jc w:val="both"/>
        <w:rPr>
          <w:rFonts w:ascii="Palatino Linotype" w:eastAsia="Calibri" w:hAnsi="Palatino Linotype" w:cs="Arial"/>
        </w:rPr>
      </w:pPr>
    </w:p>
    <w:p w14:paraId="36AF05A3" w14:textId="77777777" w:rsidR="00685B0E" w:rsidRDefault="00685B0E" w:rsidP="00CF3F65">
      <w:pPr>
        <w:spacing w:line="360" w:lineRule="auto"/>
        <w:jc w:val="both"/>
        <w:rPr>
          <w:rFonts w:ascii="Palatino Linotype" w:eastAsia="Calibri" w:hAnsi="Palatino Linotype" w:cs="Arial"/>
        </w:rPr>
      </w:pPr>
    </w:p>
    <w:p w14:paraId="73781F3F" w14:textId="77777777" w:rsidR="00685B0E" w:rsidRDefault="00685B0E" w:rsidP="00CF3F65">
      <w:pPr>
        <w:spacing w:line="360" w:lineRule="auto"/>
        <w:jc w:val="both"/>
        <w:rPr>
          <w:rFonts w:ascii="Palatino Linotype" w:eastAsia="Calibri" w:hAnsi="Palatino Linotype" w:cs="Arial"/>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1E364" w14:textId="77777777" w:rsidR="00925950" w:rsidRDefault="00925950" w:rsidP="00C80F8C">
      <w:r>
        <w:separator/>
      </w:r>
    </w:p>
  </w:endnote>
  <w:endnote w:type="continuationSeparator" w:id="0">
    <w:p w14:paraId="490549B0" w14:textId="77777777" w:rsidR="00925950" w:rsidRDefault="009259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4638E" w14:textId="77777777" w:rsidR="00925950" w:rsidRDefault="00925950" w:rsidP="00C80F8C">
      <w:r>
        <w:separator/>
      </w:r>
    </w:p>
  </w:footnote>
  <w:footnote w:type="continuationSeparator" w:id="0">
    <w:p w14:paraId="154F45DE" w14:textId="77777777" w:rsidR="00925950" w:rsidRDefault="0092595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92595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925950"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92595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5"/>
  </w:num>
  <w:num w:numId="5">
    <w:abstractNumId w:val="10"/>
  </w:num>
  <w:num w:numId="6">
    <w:abstractNumId w:val="9"/>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0D656A"/>
    <w:rsid w:val="001112E6"/>
    <w:rsid w:val="00135555"/>
    <w:rsid w:val="0018216B"/>
    <w:rsid w:val="001B3D11"/>
    <w:rsid w:val="001C7B07"/>
    <w:rsid w:val="00216C06"/>
    <w:rsid w:val="002378AC"/>
    <w:rsid w:val="00284217"/>
    <w:rsid w:val="00294490"/>
    <w:rsid w:val="002D5B21"/>
    <w:rsid w:val="002E7D97"/>
    <w:rsid w:val="00312863"/>
    <w:rsid w:val="003D1F47"/>
    <w:rsid w:val="00411692"/>
    <w:rsid w:val="00430304"/>
    <w:rsid w:val="00445879"/>
    <w:rsid w:val="0047213D"/>
    <w:rsid w:val="004807CC"/>
    <w:rsid w:val="00484A47"/>
    <w:rsid w:val="004B2706"/>
    <w:rsid w:val="004D0A26"/>
    <w:rsid w:val="004E305D"/>
    <w:rsid w:val="004E7984"/>
    <w:rsid w:val="00502EE6"/>
    <w:rsid w:val="0050559A"/>
    <w:rsid w:val="00513782"/>
    <w:rsid w:val="00524594"/>
    <w:rsid w:val="00524DDD"/>
    <w:rsid w:val="00575235"/>
    <w:rsid w:val="005766FA"/>
    <w:rsid w:val="005C481C"/>
    <w:rsid w:val="005D1946"/>
    <w:rsid w:val="005F3A48"/>
    <w:rsid w:val="00621357"/>
    <w:rsid w:val="00634485"/>
    <w:rsid w:val="0067340C"/>
    <w:rsid w:val="0068101D"/>
    <w:rsid w:val="00685B0E"/>
    <w:rsid w:val="006B2674"/>
    <w:rsid w:val="006E6389"/>
    <w:rsid w:val="006F0A6E"/>
    <w:rsid w:val="006F30F8"/>
    <w:rsid w:val="0071093C"/>
    <w:rsid w:val="00736C06"/>
    <w:rsid w:val="00760037"/>
    <w:rsid w:val="007617C8"/>
    <w:rsid w:val="00762C20"/>
    <w:rsid w:val="007A0EB7"/>
    <w:rsid w:val="007A1C9F"/>
    <w:rsid w:val="007B1CFA"/>
    <w:rsid w:val="007C766E"/>
    <w:rsid w:val="007D4251"/>
    <w:rsid w:val="007D46B1"/>
    <w:rsid w:val="007E2D4F"/>
    <w:rsid w:val="007E70F8"/>
    <w:rsid w:val="00820022"/>
    <w:rsid w:val="00820034"/>
    <w:rsid w:val="00861117"/>
    <w:rsid w:val="00861A61"/>
    <w:rsid w:val="00892AFC"/>
    <w:rsid w:val="008B0A68"/>
    <w:rsid w:val="008D1526"/>
    <w:rsid w:val="008F67BC"/>
    <w:rsid w:val="00925950"/>
    <w:rsid w:val="00961995"/>
    <w:rsid w:val="00975EB9"/>
    <w:rsid w:val="009E155A"/>
    <w:rsid w:val="009F0D8D"/>
    <w:rsid w:val="00A16950"/>
    <w:rsid w:val="00A303B0"/>
    <w:rsid w:val="00A53363"/>
    <w:rsid w:val="00A610D3"/>
    <w:rsid w:val="00A74BB7"/>
    <w:rsid w:val="00A81140"/>
    <w:rsid w:val="00AC0680"/>
    <w:rsid w:val="00AE7763"/>
    <w:rsid w:val="00B014D8"/>
    <w:rsid w:val="00B05E5A"/>
    <w:rsid w:val="00B30B8F"/>
    <w:rsid w:val="00B53290"/>
    <w:rsid w:val="00B64CFB"/>
    <w:rsid w:val="00B703D7"/>
    <w:rsid w:val="00B7360E"/>
    <w:rsid w:val="00B868A5"/>
    <w:rsid w:val="00BB11DB"/>
    <w:rsid w:val="00BC1756"/>
    <w:rsid w:val="00BD07E6"/>
    <w:rsid w:val="00BD7483"/>
    <w:rsid w:val="00BF68F0"/>
    <w:rsid w:val="00BF6974"/>
    <w:rsid w:val="00C27236"/>
    <w:rsid w:val="00C65950"/>
    <w:rsid w:val="00C80F8C"/>
    <w:rsid w:val="00C85F1D"/>
    <w:rsid w:val="00C8760D"/>
    <w:rsid w:val="00CF3F65"/>
    <w:rsid w:val="00D03369"/>
    <w:rsid w:val="00D20156"/>
    <w:rsid w:val="00D36ABC"/>
    <w:rsid w:val="00DD45AC"/>
    <w:rsid w:val="00DD5CD5"/>
    <w:rsid w:val="00DE1629"/>
    <w:rsid w:val="00DE5C27"/>
    <w:rsid w:val="00E429BA"/>
    <w:rsid w:val="00F05A30"/>
    <w:rsid w:val="00F614DA"/>
    <w:rsid w:val="00F717F4"/>
    <w:rsid w:val="00F75892"/>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36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11728719">
      <w:bodyDiv w:val="1"/>
      <w:marLeft w:val="0"/>
      <w:marRight w:val="0"/>
      <w:marTop w:val="0"/>
      <w:marBottom w:val="0"/>
      <w:divBdr>
        <w:top w:val="none" w:sz="0" w:space="0" w:color="auto"/>
        <w:left w:val="none" w:sz="0" w:space="0" w:color="auto"/>
        <w:bottom w:val="none" w:sz="0" w:space="0" w:color="auto"/>
        <w:right w:val="none" w:sz="0" w:space="0" w:color="auto"/>
      </w:divBdr>
    </w:div>
    <w:div w:id="552930467">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36913777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210668493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D4CB5-FC8F-4299-A181-F1CBF5D8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12</cp:revision>
  <cp:lastPrinted>2022-06-13T22:43:00Z</cp:lastPrinted>
  <dcterms:created xsi:type="dcterms:W3CDTF">2022-05-17T01:52:00Z</dcterms:created>
  <dcterms:modified xsi:type="dcterms:W3CDTF">2022-06-13T22:44:00Z</dcterms:modified>
</cp:coreProperties>
</file>