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634D1A14"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6E31F8">
        <w:rPr>
          <w:rFonts w:ascii="Palatino Linotype" w:hAnsi="Palatino Linotype"/>
          <w:b/>
          <w:sz w:val="24"/>
          <w:szCs w:val="24"/>
        </w:rPr>
        <w:t>TRIGÉSIMA</w:t>
      </w:r>
      <w:r w:rsidR="00534438">
        <w:rPr>
          <w:rFonts w:ascii="Palatino Linotype" w:hAnsi="Palatino Linotype"/>
          <w:b/>
          <w:sz w:val="24"/>
          <w:szCs w:val="24"/>
        </w:rPr>
        <w:t xml:space="preserve"> </w:t>
      </w:r>
      <w:r w:rsidR="003F2527">
        <w:rPr>
          <w:rFonts w:ascii="Palatino Linotype" w:hAnsi="Palatino Linotype"/>
          <w:b/>
          <w:sz w:val="24"/>
          <w:szCs w:val="24"/>
        </w:rPr>
        <w:t>NOVENA</w:t>
      </w:r>
      <w:r w:rsidR="004A6D56">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3F2527">
        <w:rPr>
          <w:rFonts w:ascii="Palatino Linotype" w:hAnsi="Palatino Linotype"/>
          <w:b/>
          <w:sz w:val="24"/>
          <w:szCs w:val="24"/>
        </w:rPr>
        <w:t>CUATRO DE NOVIEMBRE</w:t>
      </w:r>
      <w:r w:rsidR="00534438">
        <w:rPr>
          <w:rFonts w:ascii="Palatino Linotype" w:hAnsi="Palatino Linotype"/>
          <w:b/>
          <w:sz w:val="24"/>
          <w:szCs w:val="24"/>
        </w:rPr>
        <w:t xml:space="preserve"> </w:t>
      </w:r>
      <w:r w:rsidR="00F67553">
        <w:rPr>
          <w:rFonts w:ascii="Palatino Linotype" w:hAnsi="Palatino Linotype"/>
          <w:b/>
          <w:sz w:val="24"/>
          <w:szCs w:val="24"/>
        </w:rPr>
        <w:t xml:space="preserve">DE DOS MIL VEINTIDÓS, EN </w:t>
      </w:r>
      <w:r w:rsidR="00B610DF">
        <w:rPr>
          <w:rFonts w:ascii="Palatino Linotype" w:hAnsi="Palatino Linotype"/>
          <w:b/>
          <w:sz w:val="24"/>
          <w:szCs w:val="24"/>
        </w:rPr>
        <w:t>LOS</w:t>
      </w:r>
      <w:r>
        <w:rPr>
          <w:rFonts w:ascii="Palatino Linotype" w:hAnsi="Palatino Linotype"/>
          <w:b/>
          <w:sz w:val="24"/>
          <w:szCs w:val="24"/>
        </w:rPr>
        <w:t xml:space="preserve"> RECURSO</w:t>
      </w:r>
      <w:r w:rsidR="00B610DF">
        <w:rPr>
          <w:rFonts w:ascii="Palatino Linotype" w:hAnsi="Palatino Linotype"/>
          <w:b/>
          <w:sz w:val="24"/>
          <w:szCs w:val="24"/>
        </w:rPr>
        <w:t>S</w:t>
      </w:r>
      <w:r>
        <w:rPr>
          <w:rFonts w:ascii="Palatino Linotype" w:hAnsi="Palatino Linotype"/>
          <w:b/>
          <w:sz w:val="24"/>
          <w:szCs w:val="24"/>
        </w:rPr>
        <w:t xml:space="preserve"> DE REVISIÓN</w:t>
      </w:r>
      <w:r w:rsidR="00E46E74">
        <w:rPr>
          <w:rFonts w:ascii="Palatino Linotype" w:hAnsi="Palatino Linotype"/>
          <w:b/>
          <w:sz w:val="24"/>
          <w:szCs w:val="24"/>
        </w:rPr>
        <w:t xml:space="preserve"> </w:t>
      </w:r>
      <w:r w:rsidR="003F2527">
        <w:rPr>
          <w:rFonts w:ascii="Palatino Linotype" w:hAnsi="Palatino Linotype"/>
          <w:b/>
          <w:sz w:val="24"/>
          <w:szCs w:val="24"/>
        </w:rPr>
        <w:t>08934</w:t>
      </w:r>
      <w:r w:rsidR="00B610DF">
        <w:rPr>
          <w:rFonts w:ascii="Palatino Linotype" w:hAnsi="Palatino Linotype"/>
          <w:b/>
          <w:sz w:val="24"/>
          <w:szCs w:val="24"/>
        </w:rPr>
        <w:t xml:space="preserve">/INFOEM/IP/RR/2022 Y </w:t>
      </w:r>
      <w:r w:rsidR="003F2527">
        <w:rPr>
          <w:rFonts w:ascii="Palatino Linotype" w:hAnsi="Palatino Linotype"/>
          <w:b/>
          <w:sz w:val="24"/>
          <w:szCs w:val="24"/>
        </w:rPr>
        <w:t>ACUMULADOS</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074399F4"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ya que de una interpretación sistemática y armónica del contenido de los soportes documentales requeridos mediante la</w:t>
      </w:r>
      <w:r w:rsidR="00B610DF">
        <w:rPr>
          <w:rFonts w:ascii="Palatino Linotype" w:hAnsi="Palatino Linotype"/>
          <w:sz w:val="24"/>
          <w:szCs w:val="24"/>
          <w:lang w:val="es-ES"/>
        </w:rPr>
        <w:t>s</w:t>
      </w:r>
      <w:r>
        <w:rPr>
          <w:rFonts w:ascii="Palatino Linotype" w:hAnsi="Palatino Linotype"/>
          <w:sz w:val="24"/>
          <w:szCs w:val="24"/>
          <w:lang w:val="es-ES"/>
        </w:rPr>
        <w:t xml:space="preserve"> solicitud</w:t>
      </w:r>
      <w:r w:rsidR="00B610DF">
        <w:rPr>
          <w:rFonts w:ascii="Palatino Linotype" w:hAnsi="Palatino Linotype"/>
          <w:sz w:val="24"/>
          <w:szCs w:val="24"/>
          <w:lang w:val="es-ES"/>
        </w:rPr>
        <w:t>es</w:t>
      </w:r>
      <w:r>
        <w:rPr>
          <w:rFonts w:ascii="Palatino Linotype" w:hAnsi="Palatino Linotype"/>
          <w:sz w:val="24"/>
          <w:szCs w:val="24"/>
          <w:lang w:val="es-ES"/>
        </w:rPr>
        <w:t xml:space="preserve"> de </w:t>
      </w:r>
      <w:r w:rsidRPr="006E72CB">
        <w:rPr>
          <w:rFonts w:ascii="Palatino Linotype" w:hAnsi="Palatino Linotype"/>
          <w:color w:val="000000" w:themeColor="text1"/>
          <w:sz w:val="24"/>
          <w:szCs w:val="24"/>
          <w:lang w:val="es-ES"/>
        </w:rPr>
        <w:t xml:space="preserve">información </w:t>
      </w:r>
      <w:r w:rsidR="003F2527" w:rsidRPr="003F2527">
        <w:rPr>
          <w:rFonts w:ascii="Palatino Linotype" w:hAnsi="Palatino Linotype"/>
          <w:b/>
          <w:color w:val="000000" w:themeColor="text1"/>
          <w:sz w:val="24"/>
          <w:szCs w:val="24"/>
          <w:lang w:val="es-ES"/>
        </w:rPr>
        <w:t>00392/TLALNEPA/IP/2022</w:t>
      </w:r>
      <w:r w:rsidR="003F2527" w:rsidRPr="003F2527">
        <w:rPr>
          <w:rFonts w:ascii="Palatino Linotype" w:hAnsi="Palatino Linotype"/>
          <w:bCs/>
          <w:color w:val="000000" w:themeColor="text1"/>
          <w:sz w:val="24"/>
          <w:szCs w:val="24"/>
          <w:lang w:val="es-ES"/>
        </w:rPr>
        <w:t xml:space="preserve">, </w:t>
      </w:r>
      <w:r w:rsidR="003F2527" w:rsidRPr="003F2527">
        <w:rPr>
          <w:rFonts w:ascii="Palatino Linotype" w:hAnsi="Palatino Linotype"/>
          <w:b/>
          <w:color w:val="000000" w:themeColor="text1"/>
          <w:sz w:val="24"/>
          <w:szCs w:val="24"/>
          <w:lang w:val="es-ES"/>
        </w:rPr>
        <w:t>00393/TLALNEPA/IP/2022</w:t>
      </w:r>
      <w:r w:rsidR="003F2527" w:rsidRPr="003F2527">
        <w:rPr>
          <w:rFonts w:ascii="Palatino Linotype" w:hAnsi="Palatino Linotype"/>
          <w:bCs/>
          <w:color w:val="000000" w:themeColor="text1"/>
          <w:sz w:val="24"/>
          <w:szCs w:val="24"/>
          <w:lang w:val="es-ES"/>
        </w:rPr>
        <w:t xml:space="preserve"> y</w:t>
      </w:r>
      <w:r w:rsidR="003F2527" w:rsidRPr="003F2527">
        <w:rPr>
          <w:rFonts w:ascii="Palatino Linotype" w:hAnsi="Palatino Linotype"/>
          <w:b/>
          <w:color w:val="000000" w:themeColor="text1"/>
          <w:sz w:val="24"/>
          <w:szCs w:val="24"/>
          <w:lang w:val="es-ES"/>
        </w:rPr>
        <w:t xml:space="preserve"> 00391/TLALNEPA/IP/2022</w:t>
      </w:r>
      <w:r w:rsidR="004C7D11">
        <w:rPr>
          <w:rFonts w:ascii="Palatino Linotype" w:hAnsi="Palatino Linotype"/>
          <w:bCs/>
          <w:color w:val="000000" w:themeColor="text1"/>
          <w:sz w:val="24"/>
          <w:szCs w:val="24"/>
          <w:lang w:val="es-ES"/>
        </w:rPr>
        <w:t>,</w:t>
      </w:r>
      <w:r w:rsidR="004C7D11"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B7E23" w14:textId="77777777" w:rsidR="0004341A" w:rsidRDefault="0004341A" w:rsidP="004C1443">
      <w:pPr>
        <w:spacing w:after="0" w:line="240" w:lineRule="auto"/>
      </w:pPr>
      <w:r>
        <w:separator/>
      </w:r>
    </w:p>
  </w:endnote>
  <w:endnote w:type="continuationSeparator" w:id="0">
    <w:p w14:paraId="1BF88D60" w14:textId="77777777" w:rsidR="0004341A" w:rsidRDefault="0004341A"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BE8F9" w14:textId="77777777" w:rsidR="0004341A" w:rsidRDefault="0004341A" w:rsidP="004C1443">
      <w:pPr>
        <w:spacing w:after="0" w:line="240" w:lineRule="auto"/>
      </w:pPr>
      <w:r>
        <w:separator/>
      </w:r>
    </w:p>
  </w:footnote>
  <w:footnote w:type="continuationSeparator" w:id="0">
    <w:p w14:paraId="61A122D4" w14:textId="77777777" w:rsidR="0004341A" w:rsidRDefault="0004341A"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3F2527">
          <w:rPr>
            <w:rFonts w:ascii="Arial" w:hAnsi="Arial" w:cs="Arial"/>
            <w:noProof/>
            <w:sz w:val="20"/>
            <w:szCs w:val="20"/>
          </w:rPr>
        </w:r>
        <w:r w:rsidR="003F2527">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0A141993"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99236C">
      <w:rPr>
        <w:rFonts w:ascii="Palatino Linotype" w:hAnsi="Palatino Linotype" w:cs="Arial"/>
        <w:b/>
      </w:rPr>
      <w:t>0</w:t>
    </w:r>
    <w:r w:rsidR="003F2527">
      <w:rPr>
        <w:rFonts w:ascii="Palatino Linotype" w:hAnsi="Palatino Linotype" w:cs="Arial"/>
        <w:b/>
      </w:rPr>
      <w:t>8934</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r w:rsidR="00B610DF">
      <w:rPr>
        <w:rFonts w:ascii="Palatino Linotype" w:hAnsi="Palatino Linotype" w:cs="Arial"/>
        <w:b/>
        <w:bCs/>
        <w:lang w:eastAsia="es-MX"/>
      </w:rPr>
      <w:t xml:space="preserve"> y Acumulado</w:t>
    </w:r>
    <w:r w:rsidR="003F2527">
      <w:rPr>
        <w:rFonts w:ascii="Palatino Linotype" w:hAnsi="Palatino Linotype" w:cs="Arial"/>
        <w:b/>
        <w:bCs/>
        <w:lang w:eastAsia="es-MX"/>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41A"/>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8165C"/>
    <w:rsid w:val="00383C9C"/>
    <w:rsid w:val="003847F7"/>
    <w:rsid w:val="00384C8B"/>
    <w:rsid w:val="00396F4A"/>
    <w:rsid w:val="003A5869"/>
    <w:rsid w:val="003D76A7"/>
    <w:rsid w:val="003F2527"/>
    <w:rsid w:val="003F52D7"/>
    <w:rsid w:val="00403FFD"/>
    <w:rsid w:val="004269DC"/>
    <w:rsid w:val="00437D21"/>
    <w:rsid w:val="004402F7"/>
    <w:rsid w:val="00463A29"/>
    <w:rsid w:val="00491A04"/>
    <w:rsid w:val="00494F48"/>
    <w:rsid w:val="004A6C90"/>
    <w:rsid w:val="004A6D56"/>
    <w:rsid w:val="004C1443"/>
    <w:rsid w:val="004C5122"/>
    <w:rsid w:val="004C6D08"/>
    <w:rsid w:val="004C7D11"/>
    <w:rsid w:val="004D3A6E"/>
    <w:rsid w:val="004D58D9"/>
    <w:rsid w:val="004D5C09"/>
    <w:rsid w:val="004F50E3"/>
    <w:rsid w:val="004F5AE8"/>
    <w:rsid w:val="00515719"/>
    <w:rsid w:val="005251CB"/>
    <w:rsid w:val="00526C8E"/>
    <w:rsid w:val="00534438"/>
    <w:rsid w:val="00546280"/>
    <w:rsid w:val="005534B4"/>
    <w:rsid w:val="005733EB"/>
    <w:rsid w:val="0058084B"/>
    <w:rsid w:val="00592E63"/>
    <w:rsid w:val="005D0EB7"/>
    <w:rsid w:val="005E11EA"/>
    <w:rsid w:val="005E2445"/>
    <w:rsid w:val="005E313C"/>
    <w:rsid w:val="005E760F"/>
    <w:rsid w:val="006023F6"/>
    <w:rsid w:val="006069F7"/>
    <w:rsid w:val="00613A04"/>
    <w:rsid w:val="006342FD"/>
    <w:rsid w:val="00667D1F"/>
    <w:rsid w:val="006A51FD"/>
    <w:rsid w:val="006D0F2B"/>
    <w:rsid w:val="006D1F92"/>
    <w:rsid w:val="006D3740"/>
    <w:rsid w:val="006D627E"/>
    <w:rsid w:val="006E31F8"/>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608D"/>
    <w:rsid w:val="008D6140"/>
    <w:rsid w:val="008E47B8"/>
    <w:rsid w:val="008F6B22"/>
    <w:rsid w:val="0090033D"/>
    <w:rsid w:val="00900682"/>
    <w:rsid w:val="00911F00"/>
    <w:rsid w:val="00915E74"/>
    <w:rsid w:val="00924459"/>
    <w:rsid w:val="0097077D"/>
    <w:rsid w:val="009849C2"/>
    <w:rsid w:val="0099236C"/>
    <w:rsid w:val="0099768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0DF"/>
    <w:rsid w:val="00B6198B"/>
    <w:rsid w:val="00B71EFC"/>
    <w:rsid w:val="00B77C19"/>
    <w:rsid w:val="00B91483"/>
    <w:rsid w:val="00B95077"/>
    <w:rsid w:val="00BA5C8A"/>
    <w:rsid w:val="00C42420"/>
    <w:rsid w:val="00C45C27"/>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E00B04"/>
    <w:rsid w:val="00E34CA6"/>
    <w:rsid w:val="00E46E74"/>
    <w:rsid w:val="00E554DC"/>
    <w:rsid w:val="00E6367E"/>
    <w:rsid w:val="00E92686"/>
    <w:rsid w:val="00EB5314"/>
    <w:rsid w:val="00EC70B3"/>
    <w:rsid w:val="00EE051D"/>
    <w:rsid w:val="00F07361"/>
    <w:rsid w:val="00F2106C"/>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5487">
      <w:bodyDiv w:val="1"/>
      <w:marLeft w:val="0"/>
      <w:marRight w:val="0"/>
      <w:marTop w:val="0"/>
      <w:marBottom w:val="0"/>
      <w:divBdr>
        <w:top w:val="none" w:sz="0" w:space="0" w:color="auto"/>
        <w:left w:val="none" w:sz="0" w:space="0" w:color="auto"/>
        <w:bottom w:val="none" w:sz="0" w:space="0" w:color="auto"/>
        <w:right w:val="none" w:sz="0" w:space="0" w:color="auto"/>
      </w:divBdr>
    </w:div>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2417</Words>
  <Characters>13297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2022-06-13T16:15:00Z</cp:lastPrinted>
  <dcterms:created xsi:type="dcterms:W3CDTF">2022-11-05T01:41:00Z</dcterms:created>
  <dcterms:modified xsi:type="dcterms:W3CDTF">2022-11-05T01:41:00Z</dcterms:modified>
</cp:coreProperties>
</file>