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44E" w14:textId="4B03C579"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F00A36" w:rsidRPr="00F00A36">
        <w:rPr>
          <w:rFonts w:ascii="Palatino Linotype" w:hAnsi="Palatino Linotype" w:cs="Tahoma"/>
          <w:b/>
        </w:rPr>
        <w:t>01872/INFOEM/IP/RR/2022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F00A36" w:rsidRPr="00F00A36">
        <w:rPr>
          <w:rFonts w:ascii="Palatino Linotype" w:hAnsi="Palatino Linotype" w:cs="Tahoma"/>
          <w:b/>
        </w:rPr>
        <w:t>TENANCINGO</w:t>
      </w:r>
      <w:r w:rsidR="00F00A36">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398BDA3E"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w:t>
      </w:r>
      <w:bookmarkStart w:id="0" w:name="_GoBack"/>
      <w:bookmarkEnd w:id="0"/>
      <w:r w:rsidR="00E659E3" w:rsidRPr="00885189">
        <w:rPr>
          <w:rFonts w:ascii="Palatino Linotype" w:hAnsi="Palatino Linotype" w:cs="Tahoma"/>
        </w:rPr>
        <w:t xml:space="preserve">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F00A36">
        <w:rPr>
          <w:rFonts w:ascii="Palatino Linotype" w:hAnsi="Palatino Linotype"/>
          <w:b/>
          <w:lang w:val="es-MX"/>
        </w:rPr>
        <w:t>1872</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27BAE7B4"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164B7BC"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w:t>
      </w:r>
      <w:r w:rsidRPr="006A7606">
        <w:rPr>
          <w:rFonts w:ascii="Palatino Linotype" w:hAnsi="Palatino Linotype" w:cs="Arial"/>
        </w:rPr>
        <w:lastRenderedPageBreak/>
        <w:t>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w:t>
      </w:r>
      <w:r w:rsidR="005E1895">
        <w:rPr>
          <w:rFonts w:ascii="Palatino Linotype" w:hAnsi="Palatino Linotype" w:cs="Tahoma"/>
        </w:rPr>
        <w:lastRenderedPageBreak/>
        <w:t xml:space="preserve">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45F04" w14:textId="77777777" w:rsidR="00227C7C" w:rsidRDefault="00227C7C" w:rsidP="00EE29F6">
      <w:pPr>
        <w:spacing w:after="0" w:line="240" w:lineRule="auto"/>
      </w:pPr>
      <w:r>
        <w:separator/>
      </w:r>
    </w:p>
  </w:endnote>
  <w:endnote w:type="continuationSeparator" w:id="0">
    <w:p w14:paraId="5EDEAF22" w14:textId="77777777" w:rsidR="00227C7C" w:rsidRDefault="00227C7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E294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E2940">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FAF8E" w14:textId="77777777" w:rsidR="00227C7C" w:rsidRDefault="00227C7C" w:rsidP="00EE29F6">
      <w:pPr>
        <w:spacing w:after="0" w:line="240" w:lineRule="auto"/>
      </w:pPr>
      <w:r>
        <w:separator/>
      </w:r>
    </w:p>
  </w:footnote>
  <w:footnote w:type="continuationSeparator" w:id="0">
    <w:p w14:paraId="16C3AFAC" w14:textId="77777777" w:rsidR="00227C7C" w:rsidRDefault="00227C7C"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4A00963C"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F00A36">
            <w:rPr>
              <w:rFonts w:ascii="Palatino Linotype" w:hAnsi="Palatino Linotype" w:cs="Tahoma"/>
              <w:bCs/>
            </w:rPr>
            <w:t>01872</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p>
        <w:p w14:paraId="04583972" w14:textId="3423BBEB"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F00A36" w:rsidRPr="00F00A36">
            <w:rPr>
              <w:rFonts w:ascii="Palatino Linotype" w:hAnsi="Palatino Linotype" w:cs="Tahoma"/>
              <w:bCs/>
            </w:rPr>
            <w:t>Ayuntamiento de Tenancingo</w:t>
          </w:r>
        </w:p>
        <w:p w14:paraId="11ECBD1E" w14:textId="25F92E67"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F00A36" w:rsidRPr="00F00A36">
            <w:rPr>
              <w:rFonts w:ascii="Palatino Linotype" w:hAnsi="Palatino Linotype" w:cs="Tahoma"/>
              <w:bCs/>
            </w:rPr>
            <w:t>Sharon Cristina Morales Martínez</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2C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27C7C"/>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A54A0"/>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131A"/>
    <w:rsid w:val="00452566"/>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E605E"/>
    <w:rsid w:val="008F3D4E"/>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56CAD"/>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24EF1"/>
    <w:rsid w:val="00A30C52"/>
    <w:rsid w:val="00A30E0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2940"/>
    <w:rsid w:val="00BE678B"/>
    <w:rsid w:val="00BF1AC9"/>
    <w:rsid w:val="00BF2303"/>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D5F62"/>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EF5397"/>
    <w:rsid w:val="00F00A36"/>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A8C7-109D-4BC6-A93F-4FA3C830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2839</Words>
  <Characters>15616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3</cp:revision>
  <cp:lastPrinted>2022-04-25T18:43:00Z</cp:lastPrinted>
  <dcterms:created xsi:type="dcterms:W3CDTF">2022-05-07T10:31:00Z</dcterms:created>
  <dcterms:modified xsi:type="dcterms:W3CDTF">2022-05-07T10:40:00Z</dcterms:modified>
</cp:coreProperties>
</file>