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F9A7A" w14:textId="4D9625DF" w:rsidR="00223416" w:rsidRDefault="00223416" w:rsidP="00534438">
      <w:pPr>
        <w:spacing w:after="0" w:line="360" w:lineRule="auto"/>
        <w:jc w:val="both"/>
        <w:rPr>
          <w:rFonts w:ascii="Palatino Linotype" w:hAnsi="Palatino Linotype"/>
          <w:b/>
          <w:sz w:val="24"/>
          <w:szCs w:val="24"/>
        </w:rPr>
      </w:pPr>
      <w:r>
        <w:rPr>
          <w:rFonts w:ascii="Palatino Linotype" w:hAnsi="Palatino Linotype"/>
          <w:b/>
          <w:sz w:val="24"/>
          <w:szCs w:val="24"/>
        </w:rPr>
        <w:t>VOTO</w:t>
      </w:r>
      <w:r w:rsidRPr="00F320D7">
        <w:rPr>
          <w:rFonts w:ascii="Palatino Linotype" w:hAnsi="Palatino Linotype"/>
          <w:b/>
          <w:sz w:val="24"/>
          <w:szCs w:val="24"/>
        </w:rPr>
        <w:t xml:space="preserve"> PARTICULAR QUE FORMULA</w:t>
      </w:r>
      <w:r>
        <w:rPr>
          <w:rFonts w:ascii="Palatino Linotype" w:hAnsi="Palatino Linotype"/>
          <w:b/>
          <w:sz w:val="24"/>
          <w:szCs w:val="24"/>
        </w:rPr>
        <w:t xml:space="preserve"> EL COMISIONADO PRESIDENTE JOSÉ MARTÍNEZ VILCHIS, EN RELACIÓN CON </w:t>
      </w:r>
      <w:r w:rsidRPr="00F320D7">
        <w:rPr>
          <w:rFonts w:ascii="Palatino Linotype" w:hAnsi="Palatino Linotype"/>
          <w:b/>
          <w:sz w:val="24"/>
          <w:szCs w:val="24"/>
        </w:rPr>
        <w:t>LA RESOLUCIÓN DICTADA POR EL PLENO DEL INSTITUTO DE TRANSPARENCIA, ACCESO A LA INFORMACIÓN PÚBLICA Y PROTECCIÓN DE DATOS PERSONALES DEL ESTADO DE MÉXICO Y MUNICIPIOS, EN LA</w:t>
      </w:r>
      <w:r w:rsidR="00E46E74">
        <w:rPr>
          <w:rFonts w:ascii="Palatino Linotype" w:hAnsi="Palatino Linotype"/>
          <w:b/>
          <w:sz w:val="24"/>
          <w:szCs w:val="24"/>
        </w:rPr>
        <w:t xml:space="preserve"> </w:t>
      </w:r>
      <w:r w:rsidR="004F32EC">
        <w:rPr>
          <w:rFonts w:ascii="Palatino Linotype" w:hAnsi="Palatino Linotype"/>
          <w:b/>
          <w:sz w:val="24"/>
          <w:szCs w:val="24"/>
        </w:rPr>
        <w:t>TRIGÉSIMA</w:t>
      </w:r>
      <w:r w:rsidR="00534438">
        <w:rPr>
          <w:rFonts w:ascii="Palatino Linotype" w:hAnsi="Palatino Linotype"/>
          <w:b/>
          <w:sz w:val="24"/>
          <w:szCs w:val="24"/>
        </w:rPr>
        <w:t xml:space="preserve"> </w:t>
      </w:r>
      <w:r w:rsidR="00546E11">
        <w:rPr>
          <w:rFonts w:ascii="Palatino Linotype" w:hAnsi="Palatino Linotype"/>
          <w:b/>
          <w:sz w:val="24"/>
          <w:szCs w:val="24"/>
        </w:rPr>
        <w:t>NOVENA</w:t>
      </w:r>
      <w:r w:rsidR="00DE4853">
        <w:rPr>
          <w:rFonts w:ascii="Palatino Linotype" w:hAnsi="Palatino Linotype"/>
          <w:b/>
          <w:sz w:val="24"/>
          <w:szCs w:val="24"/>
        </w:rPr>
        <w:t xml:space="preserve"> </w:t>
      </w:r>
      <w:r>
        <w:rPr>
          <w:rFonts w:ascii="Palatino Linotype" w:hAnsi="Palatino Linotype"/>
          <w:b/>
          <w:sz w:val="24"/>
          <w:szCs w:val="24"/>
        </w:rPr>
        <w:t>SESIÓN ORDINARIA DEL PLENO DE FECHA</w:t>
      </w:r>
      <w:r w:rsidR="00E46E74">
        <w:rPr>
          <w:rFonts w:ascii="Palatino Linotype" w:hAnsi="Palatino Linotype"/>
          <w:b/>
          <w:sz w:val="24"/>
          <w:szCs w:val="24"/>
        </w:rPr>
        <w:t xml:space="preserve"> </w:t>
      </w:r>
      <w:r w:rsidR="00546E11">
        <w:rPr>
          <w:rFonts w:ascii="Palatino Linotype" w:hAnsi="Palatino Linotype"/>
          <w:b/>
          <w:sz w:val="24"/>
          <w:szCs w:val="24"/>
        </w:rPr>
        <w:t>CUATRO DE NOVIEMBRE</w:t>
      </w:r>
      <w:r w:rsidR="00534438">
        <w:rPr>
          <w:rFonts w:ascii="Palatino Linotype" w:hAnsi="Palatino Linotype"/>
          <w:b/>
          <w:sz w:val="24"/>
          <w:szCs w:val="24"/>
        </w:rPr>
        <w:t xml:space="preserve"> </w:t>
      </w:r>
      <w:r w:rsidR="00F67553">
        <w:rPr>
          <w:rFonts w:ascii="Palatino Linotype" w:hAnsi="Palatino Linotype"/>
          <w:b/>
          <w:sz w:val="24"/>
          <w:szCs w:val="24"/>
        </w:rPr>
        <w:t>DE DOS MIL VEINTIDÓS, EN EL</w:t>
      </w:r>
      <w:r>
        <w:rPr>
          <w:rFonts w:ascii="Palatino Linotype" w:hAnsi="Palatino Linotype"/>
          <w:b/>
          <w:sz w:val="24"/>
          <w:szCs w:val="24"/>
        </w:rPr>
        <w:t xml:space="preserve"> RECURSO DE REVISIÓN</w:t>
      </w:r>
      <w:r w:rsidR="00E46E74">
        <w:rPr>
          <w:rFonts w:ascii="Palatino Linotype" w:hAnsi="Palatino Linotype"/>
          <w:b/>
          <w:sz w:val="24"/>
          <w:szCs w:val="24"/>
        </w:rPr>
        <w:t xml:space="preserve"> </w:t>
      </w:r>
      <w:r w:rsidR="00546E11">
        <w:rPr>
          <w:rFonts w:ascii="Palatino Linotype" w:hAnsi="Palatino Linotype"/>
          <w:b/>
          <w:sz w:val="24"/>
          <w:szCs w:val="24"/>
        </w:rPr>
        <w:t>10359</w:t>
      </w:r>
      <w:r w:rsidR="00E46E74">
        <w:rPr>
          <w:rFonts w:ascii="Palatino Linotype" w:hAnsi="Palatino Linotype"/>
          <w:b/>
          <w:sz w:val="24"/>
          <w:szCs w:val="24"/>
        </w:rPr>
        <w:t>/INFOEM/IP/RR/2022.</w:t>
      </w:r>
    </w:p>
    <w:p w14:paraId="151CFB1D" w14:textId="77777777" w:rsidR="005534B4" w:rsidRDefault="005534B4" w:rsidP="00534438">
      <w:pPr>
        <w:spacing w:after="0" w:line="360" w:lineRule="auto"/>
        <w:jc w:val="both"/>
        <w:rPr>
          <w:rFonts w:ascii="Palatino Linotype" w:hAnsi="Palatino Linotype"/>
          <w:b/>
          <w:sz w:val="24"/>
          <w:szCs w:val="24"/>
        </w:rPr>
      </w:pPr>
    </w:p>
    <w:p w14:paraId="6627C399" w14:textId="77777777" w:rsidR="0071133A" w:rsidRPr="00F86EDD" w:rsidRDefault="000F49C4" w:rsidP="00534438">
      <w:pPr>
        <w:spacing w:after="0" w:line="360" w:lineRule="auto"/>
        <w:jc w:val="both"/>
        <w:rPr>
          <w:rFonts w:ascii="Palatino Linotype" w:hAnsi="Palatino Linotype"/>
          <w:sz w:val="24"/>
          <w:szCs w:val="24"/>
          <w:lang w:val="es-ES"/>
        </w:rPr>
      </w:pPr>
      <w:r w:rsidRPr="00F86EDD">
        <w:rPr>
          <w:rFonts w:ascii="Palatino Linotype" w:hAnsi="Palatino Linotype"/>
          <w:sz w:val="24"/>
          <w:szCs w:val="24"/>
          <w:lang w:val="es-ES"/>
        </w:rPr>
        <w:t>El presente voto que realiza</w:t>
      </w:r>
      <w:r w:rsidR="00CF11A8" w:rsidRPr="00F86EDD">
        <w:rPr>
          <w:rFonts w:ascii="Palatino Linotype" w:hAnsi="Palatino Linotype"/>
          <w:sz w:val="24"/>
          <w:szCs w:val="24"/>
          <w:lang w:val="es-ES"/>
        </w:rPr>
        <w:t xml:space="preserve"> </w:t>
      </w:r>
      <w:r w:rsidR="009E6EF2" w:rsidRPr="00F86EDD">
        <w:rPr>
          <w:rFonts w:ascii="Palatino Linotype" w:hAnsi="Palatino Linotype"/>
          <w:sz w:val="24"/>
          <w:szCs w:val="24"/>
          <w:lang w:val="es-ES"/>
        </w:rPr>
        <w:t>el suscrito</w:t>
      </w:r>
      <w:r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encuentra fundamento en lo dispuesto por el artículo 14</w:t>
      </w:r>
      <w:r w:rsidR="00C42420"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fracción XI</w:t>
      </w:r>
      <w:r w:rsidR="0009787F" w:rsidRPr="00F86EDD">
        <w:rPr>
          <w:rFonts w:ascii="Palatino Linotype" w:hAnsi="Palatino Linotype"/>
          <w:sz w:val="24"/>
          <w:szCs w:val="24"/>
          <w:lang w:val="es-ES"/>
        </w:rPr>
        <w:t>,</w:t>
      </w:r>
      <w:r w:rsidR="00CF11A8" w:rsidRPr="00F86EDD">
        <w:rPr>
          <w:rFonts w:ascii="Palatino Linotype" w:hAnsi="Palatino Linotype"/>
          <w:sz w:val="24"/>
          <w:szCs w:val="24"/>
          <w:lang w:val="es-ES"/>
        </w:rPr>
        <w:t xml:space="preserve"> del Reglamento Interior del Instituto de Transparencia,</w:t>
      </w:r>
      <w:r w:rsidR="00043B20" w:rsidRPr="00F86EDD">
        <w:rPr>
          <w:rFonts w:ascii="Palatino Linotype" w:hAnsi="Palatino Linotype"/>
          <w:sz w:val="24"/>
          <w:szCs w:val="24"/>
          <w:lang w:val="es-ES"/>
        </w:rPr>
        <w:t xml:space="preserve"> Acceso </w:t>
      </w:r>
      <w:r w:rsidR="00CF11A8" w:rsidRPr="00F86EDD">
        <w:rPr>
          <w:rFonts w:ascii="Palatino Linotype" w:hAnsi="Palatino Linotype"/>
          <w:sz w:val="24"/>
          <w:szCs w:val="24"/>
          <w:lang w:val="es-ES"/>
        </w:rPr>
        <w:t>a la Información Pública y Protección de Datos Personales del Estado de México y Municipios, en atención a que de acuerdo a las actuaciones que integran el expediente electrónico del recurso de revisión al rubro indicado, se considera necesario hacer valer las siguientes manifestaciones lógico-jurídicas que debieron prosperar en la resolución aprobada.</w:t>
      </w:r>
    </w:p>
    <w:p w14:paraId="1E87AB16" w14:textId="77777777" w:rsidR="004402F7" w:rsidRPr="00F86EDD" w:rsidRDefault="004402F7" w:rsidP="00534438">
      <w:pPr>
        <w:spacing w:after="0" w:line="360" w:lineRule="auto"/>
        <w:jc w:val="both"/>
        <w:rPr>
          <w:rFonts w:ascii="Palatino Linotype" w:hAnsi="Palatino Linotype"/>
          <w:sz w:val="24"/>
          <w:szCs w:val="24"/>
          <w:lang w:val="es-ES"/>
        </w:rPr>
      </w:pPr>
    </w:p>
    <w:p w14:paraId="571D95EB" w14:textId="62266E0E" w:rsidR="00223416" w:rsidRDefault="004402F7" w:rsidP="00534438">
      <w:pPr>
        <w:spacing w:after="0" w:line="360" w:lineRule="auto"/>
        <w:contextualSpacing/>
        <w:jc w:val="both"/>
        <w:rPr>
          <w:rFonts w:ascii="Palatino Linotype" w:hAnsi="Palatino Linotype"/>
          <w:sz w:val="24"/>
          <w:szCs w:val="24"/>
          <w:lang w:val="es-ES"/>
        </w:rPr>
      </w:pPr>
      <w:r w:rsidRPr="00F86EDD">
        <w:rPr>
          <w:rFonts w:ascii="Palatino Linotype" w:hAnsi="Palatino Linotype"/>
          <w:sz w:val="24"/>
          <w:szCs w:val="24"/>
          <w:lang w:val="es-ES"/>
        </w:rPr>
        <w:t>Es necesario precisar que</w:t>
      </w:r>
      <w:r w:rsidR="00534438">
        <w:rPr>
          <w:rFonts w:ascii="Palatino Linotype" w:hAnsi="Palatino Linotype"/>
          <w:sz w:val="24"/>
          <w:szCs w:val="24"/>
          <w:lang w:val="es-ES"/>
        </w:rPr>
        <w:t>,</w:t>
      </w:r>
      <w:r w:rsidRPr="00F86EDD">
        <w:rPr>
          <w:rFonts w:ascii="Palatino Linotype" w:hAnsi="Palatino Linotype"/>
          <w:sz w:val="24"/>
          <w:szCs w:val="24"/>
          <w:lang w:val="es-ES"/>
        </w:rPr>
        <w:t xml:space="preserve"> si bien se comparte el sentido general de la resolución, </w:t>
      </w:r>
      <w:r w:rsidR="00223416" w:rsidRPr="0014604A">
        <w:rPr>
          <w:rFonts w:ascii="Palatino Linotype" w:hAnsi="Palatino Linotype"/>
          <w:sz w:val="24"/>
          <w:szCs w:val="24"/>
        </w:rPr>
        <w:t xml:space="preserve">se difiere en que se </w:t>
      </w:r>
      <w:r w:rsidR="00223416">
        <w:rPr>
          <w:rFonts w:ascii="Palatino Linotype" w:hAnsi="Palatino Linotype"/>
          <w:sz w:val="24"/>
          <w:szCs w:val="24"/>
        </w:rPr>
        <w:t xml:space="preserve">no </w:t>
      </w:r>
      <w:r w:rsidR="00223416" w:rsidRPr="0014604A">
        <w:rPr>
          <w:rFonts w:ascii="Palatino Linotype" w:hAnsi="Palatino Linotype"/>
          <w:sz w:val="24"/>
          <w:szCs w:val="24"/>
        </w:rPr>
        <w:t xml:space="preserve">haya ordenado </w:t>
      </w:r>
      <w:r w:rsidR="00D84AE7">
        <w:rPr>
          <w:rFonts w:ascii="Palatino Linotype" w:hAnsi="Palatino Linotype"/>
          <w:sz w:val="24"/>
          <w:szCs w:val="24"/>
        </w:rPr>
        <w:t xml:space="preserve">la clasificación del </w:t>
      </w:r>
      <w:r w:rsidR="00223416" w:rsidRPr="004D58D9">
        <w:rPr>
          <w:rFonts w:ascii="Palatino Linotype" w:hAnsi="Palatino Linotype"/>
          <w:sz w:val="24"/>
          <w:szCs w:val="24"/>
          <w:lang w:val="es-ES"/>
        </w:rPr>
        <w:t>cargo de elementos de seguridad</w:t>
      </w:r>
      <w:r w:rsidR="00B45CA2">
        <w:rPr>
          <w:rFonts w:ascii="Palatino Linotype" w:hAnsi="Palatino Linotype"/>
          <w:sz w:val="24"/>
          <w:szCs w:val="24"/>
          <w:lang w:val="es-ES"/>
        </w:rPr>
        <w:t xml:space="preserve"> pública</w:t>
      </w:r>
      <w:r w:rsidR="00223416" w:rsidRPr="004D58D9">
        <w:rPr>
          <w:rFonts w:ascii="Palatino Linotype" w:hAnsi="Palatino Linotype"/>
          <w:sz w:val="24"/>
          <w:szCs w:val="24"/>
          <w:lang w:val="es-ES"/>
        </w:rPr>
        <w:t>,</w:t>
      </w:r>
      <w:r w:rsidR="00223416" w:rsidRPr="00E94A9D">
        <w:rPr>
          <w:rFonts w:ascii="Palatino Linotype" w:hAnsi="Palatino Linotype"/>
          <w:color w:val="FF0000"/>
          <w:sz w:val="24"/>
          <w:szCs w:val="24"/>
          <w:lang w:val="es-ES"/>
        </w:rPr>
        <w:t xml:space="preserve"> </w:t>
      </w:r>
      <w:r w:rsidR="00223416" w:rsidRPr="0014604A">
        <w:rPr>
          <w:rFonts w:ascii="Palatino Linotype" w:hAnsi="Palatino Linotype"/>
          <w:sz w:val="24"/>
          <w:szCs w:val="24"/>
          <w:lang w:val="es-ES"/>
        </w:rPr>
        <w:t xml:space="preserve">por las siguientes </w:t>
      </w:r>
      <w:r w:rsidR="00223416">
        <w:rPr>
          <w:rFonts w:ascii="Palatino Linotype" w:hAnsi="Palatino Linotype"/>
          <w:sz w:val="24"/>
          <w:szCs w:val="24"/>
          <w:lang w:val="es-ES"/>
        </w:rPr>
        <w:t>consideraciones:</w:t>
      </w:r>
    </w:p>
    <w:p w14:paraId="250D3BF4" w14:textId="77777777" w:rsidR="00223416" w:rsidRDefault="00223416" w:rsidP="00534438">
      <w:pPr>
        <w:spacing w:after="0" w:line="360" w:lineRule="auto"/>
        <w:jc w:val="both"/>
        <w:rPr>
          <w:rFonts w:ascii="Palatino Linotype" w:hAnsi="Palatino Linotype"/>
          <w:sz w:val="24"/>
          <w:szCs w:val="24"/>
        </w:rPr>
      </w:pPr>
    </w:p>
    <w:p w14:paraId="757DA274" w14:textId="3FC650F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Esencialmente dinámicos, los derechos fundamentales ensanchan sus fronteras constantemente, adecuándose a las nuevas exigencias políticas, sociales y culturales. Haciendo un ejercicio en retrospectiva, el Estado Mexicano, a partir de la reforma constitucional de</w:t>
      </w:r>
      <w:r>
        <w:rPr>
          <w:rFonts w:ascii="Palatino Linotype" w:hAnsi="Palatino Linotype"/>
          <w:sz w:val="24"/>
          <w:szCs w:val="24"/>
        </w:rPr>
        <w:t>l</w:t>
      </w:r>
      <w:r w:rsidRPr="00DB1E20">
        <w:rPr>
          <w:rFonts w:ascii="Palatino Linotype" w:hAnsi="Palatino Linotype"/>
          <w:sz w:val="24"/>
          <w:szCs w:val="24"/>
        </w:rPr>
        <w:t xml:space="preserve"> 10 de junio de 2011, adoptó un cambio de paradigma que revaloriza la </w:t>
      </w:r>
      <w:r w:rsidRPr="00DB1E20">
        <w:rPr>
          <w:rFonts w:ascii="Palatino Linotype" w:hAnsi="Palatino Linotype"/>
          <w:sz w:val="24"/>
          <w:szCs w:val="24"/>
        </w:rPr>
        <w:lastRenderedPageBreak/>
        <w:t>trascendencia de los derechos fundamentales como uno de los ejes rectores de la vida en sociedad.</w:t>
      </w:r>
    </w:p>
    <w:p w14:paraId="361C4090" w14:textId="77777777" w:rsidR="0090033D" w:rsidRPr="00DB1E20" w:rsidRDefault="0090033D" w:rsidP="00534438">
      <w:pPr>
        <w:spacing w:after="0" w:line="360" w:lineRule="auto"/>
        <w:jc w:val="both"/>
        <w:rPr>
          <w:rFonts w:ascii="Palatino Linotype" w:hAnsi="Palatino Linotype"/>
          <w:sz w:val="24"/>
          <w:szCs w:val="24"/>
        </w:rPr>
      </w:pPr>
    </w:p>
    <w:p w14:paraId="6FCE220A" w14:textId="26C4C8F8"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Ciertamente, la reforma humanista trajo consigo un complejo entramado de derechos y obligaciones, éstos últimos enfáticamente reservados a todas las autoridades de nuestro país, con independencia del nivel de gobierno en el que se desempeñen o incluso respecto de las funciones materialmente desarrolladas. Imperativo que se encuentra reflejado en el artículo primero de nuestra Carta Magna y que las constriñe a promover, respetar, proteger y garantizar los derechos fundamentales.</w:t>
      </w:r>
    </w:p>
    <w:p w14:paraId="665E8B43" w14:textId="77777777" w:rsidR="0090033D" w:rsidRPr="00DB1E20" w:rsidRDefault="0090033D" w:rsidP="00534438">
      <w:pPr>
        <w:spacing w:after="0" w:line="360" w:lineRule="auto"/>
        <w:jc w:val="both"/>
        <w:rPr>
          <w:rFonts w:ascii="Palatino Linotype" w:hAnsi="Palatino Linotype"/>
          <w:sz w:val="24"/>
          <w:szCs w:val="24"/>
        </w:rPr>
      </w:pPr>
    </w:p>
    <w:p w14:paraId="51FCDB09" w14:textId="3D7DA633"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En este sentido, si bien es cierto que todo Estado Constitucional debe de aspirar al cumplimiento absoluto de los derechos fundamentales, lo cierto también es que éstos convergen en una dinámica de colisión constante, resultando necesario acudir a las herramientas hermenéuticas </w:t>
      </w:r>
      <w:r>
        <w:rPr>
          <w:rFonts w:ascii="Palatino Linotype" w:hAnsi="Palatino Linotype"/>
          <w:sz w:val="24"/>
          <w:szCs w:val="24"/>
        </w:rPr>
        <w:t>aprovechables</w:t>
      </w:r>
      <w:r w:rsidRPr="00DB1E20">
        <w:rPr>
          <w:rFonts w:ascii="Palatino Linotype" w:hAnsi="Palatino Linotype"/>
          <w:sz w:val="24"/>
          <w:szCs w:val="24"/>
        </w:rPr>
        <w:t xml:space="preserve"> para la solución de controversias.</w:t>
      </w:r>
    </w:p>
    <w:p w14:paraId="185DB6DD" w14:textId="77777777" w:rsidR="0090033D" w:rsidRPr="00DB1E20" w:rsidRDefault="0090033D" w:rsidP="00534438">
      <w:pPr>
        <w:spacing w:after="0" w:line="360" w:lineRule="auto"/>
        <w:jc w:val="both"/>
        <w:rPr>
          <w:rFonts w:ascii="Palatino Linotype" w:hAnsi="Palatino Linotype"/>
          <w:sz w:val="24"/>
          <w:szCs w:val="24"/>
        </w:rPr>
      </w:pPr>
    </w:p>
    <w:p w14:paraId="6C6BB66B" w14:textId="668CB20E" w:rsidR="006D0F2B" w:rsidRDefault="006D0F2B" w:rsidP="00534438">
      <w:pPr>
        <w:spacing w:after="0" w:line="360" w:lineRule="auto"/>
        <w:jc w:val="both"/>
        <w:rPr>
          <w:rFonts w:ascii="Palatino Linotype" w:hAnsi="Palatino Linotype"/>
          <w:sz w:val="24"/>
          <w:szCs w:val="24"/>
        </w:rPr>
      </w:pPr>
      <w:r w:rsidRPr="00DB1E20">
        <w:rPr>
          <w:rFonts w:ascii="Palatino Linotype" w:hAnsi="Palatino Linotype"/>
          <w:sz w:val="24"/>
          <w:szCs w:val="24"/>
        </w:rPr>
        <w:t xml:space="preserve">Luego entonces, </w:t>
      </w:r>
      <w:r>
        <w:rPr>
          <w:rFonts w:ascii="Palatino Linotype" w:hAnsi="Palatino Linotype"/>
          <w:sz w:val="24"/>
          <w:szCs w:val="24"/>
        </w:rPr>
        <w:t xml:space="preserve">por mandato constitucional </w:t>
      </w:r>
      <w:r w:rsidRPr="00DB1E20">
        <w:rPr>
          <w:rFonts w:ascii="Palatino Linotype" w:hAnsi="Palatino Linotype"/>
          <w:sz w:val="24"/>
          <w:szCs w:val="24"/>
        </w:rPr>
        <w:t>es el derecho de toda persona solicitar gratuitamente la información generada, administrada o poseída por las autoridades públicas, quienes tienen la obligación de entregarla sin que la persona necesite acreditar interés alguno ni justificar su uso, observando de manera estricta las restricciones previstas en la normatividad aplicable.</w:t>
      </w:r>
    </w:p>
    <w:p w14:paraId="3E97BF3E" w14:textId="77777777" w:rsidR="0090033D" w:rsidRPr="00DB1E20" w:rsidRDefault="0090033D" w:rsidP="00534438">
      <w:pPr>
        <w:spacing w:after="0" w:line="360" w:lineRule="auto"/>
        <w:jc w:val="both"/>
        <w:rPr>
          <w:rFonts w:ascii="Palatino Linotype" w:hAnsi="Palatino Linotype"/>
          <w:sz w:val="24"/>
          <w:szCs w:val="24"/>
        </w:rPr>
      </w:pPr>
    </w:p>
    <w:p w14:paraId="7B421204" w14:textId="6220162F" w:rsidR="006D0F2B" w:rsidRDefault="006D0F2B" w:rsidP="00534438">
      <w:pPr>
        <w:autoSpaceDE w:val="0"/>
        <w:autoSpaceDN w:val="0"/>
        <w:adjustRightInd w:val="0"/>
        <w:spacing w:after="0" w:line="360" w:lineRule="auto"/>
        <w:ind w:right="72"/>
        <w:jc w:val="both"/>
        <w:rPr>
          <w:rFonts w:ascii="Palatino Linotype" w:hAnsi="Palatino Linotype"/>
          <w:bCs/>
          <w:sz w:val="24"/>
          <w:szCs w:val="24"/>
        </w:rPr>
      </w:pPr>
      <w:r w:rsidRPr="00DB1E20">
        <w:rPr>
          <w:rFonts w:ascii="Palatino Linotype" w:hAnsi="Palatino Linotype"/>
          <w:sz w:val="24"/>
          <w:szCs w:val="24"/>
        </w:rPr>
        <w:t xml:space="preserve">Bajo este contexto, particular mención requiere el </w:t>
      </w:r>
      <w:r w:rsidRPr="00B34F8E">
        <w:rPr>
          <w:rFonts w:ascii="Palatino Linotype" w:hAnsi="Palatino Linotype"/>
          <w:bCs/>
          <w:sz w:val="24"/>
          <w:szCs w:val="24"/>
        </w:rPr>
        <w:t>nombre y cargo</w:t>
      </w:r>
      <w:r w:rsidRPr="00B34F8E">
        <w:rPr>
          <w:rFonts w:ascii="Palatino Linotype" w:hAnsi="Palatino Linotype"/>
          <w:sz w:val="24"/>
          <w:szCs w:val="24"/>
        </w:rPr>
        <w:t xml:space="preserve"> </w:t>
      </w:r>
      <w:r w:rsidRPr="00DB1E20">
        <w:rPr>
          <w:rFonts w:ascii="Palatino Linotype" w:hAnsi="Palatino Linotype"/>
          <w:sz w:val="24"/>
          <w:szCs w:val="24"/>
        </w:rPr>
        <w:t xml:space="preserve">de servidores públicos que ejerzan funciones de seguridad, </w:t>
      </w:r>
      <w:r>
        <w:rPr>
          <w:rFonts w:ascii="Palatino Linotype" w:hAnsi="Palatino Linotype"/>
          <w:sz w:val="24"/>
          <w:szCs w:val="24"/>
        </w:rPr>
        <w:t xml:space="preserve">por ello, </w:t>
      </w:r>
      <w:r w:rsidRPr="00DB1E20">
        <w:rPr>
          <w:rFonts w:ascii="Palatino Linotype" w:hAnsi="Palatino Linotype"/>
          <w:sz w:val="24"/>
          <w:szCs w:val="24"/>
        </w:rPr>
        <w:t xml:space="preserve">para delimitar las fronteras conceptuales del </w:t>
      </w:r>
      <w:r w:rsidRPr="00DB1E20">
        <w:rPr>
          <w:rFonts w:ascii="Palatino Linotype" w:hAnsi="Palatino Linotype"/>
          <w:sz w:val="24"/>
          <w:szCs w:val="24"/>
        </w:rPr>
        <w:lastRenderedPageBreak/>
        <w:t>nombre se destaca que</w:t>
      </w:r>
      <w:r w:rsidR="0090033D">
        <w:rPr>
          <w:rFonts w:ascii="Palatino Linotype" w:hAnsi="Palatino Linotype"/>
          <w:sz w:val="24"/>
          <w:szCs w:val="24"/>
        </w:rPr>
        <w:t>,</w:t>
      </w:r>
      <w:r w:rsidRPr="00DB1E20">
        <w:rPr>
          <w:rFonts w:ascii="Palatino Linotype" w:hAnsi="Palatino Linotype"/>
          <w:sz w:val="24"/>
          <w:szCs w:val="24"/>
        </w:rPr>
        <w:t xml:space="preserve"> por regla general</w:t>
      </w:r>
      <w:r w:rsidR="0090033D">
        <w:rPr>
          <w:rFonts w:ascii="Palatino Linotype" w:hAnsi="Palatino Linotype"/>
          <w:sz w:val="24"/>
          <w:szCs w:val="24"/>
        </w:rPr>
        <w:t>,</w:t>
      </w:r>
      <w:r w:rsidRPr="00DB1E20">
        <w:rPr>
          <w:rFonts w:ascii="Palatino Linotype" w:hAnsi="Palatino Linotype"/>
          <w:sz w:val="24"/>
          <w:szCs w:val="24"/>
        </w:rPr>
        <w:t xml:space="preserve"> se le estima como un atributo de la personalidad que designa e individualiza a una persona, compuesto por </w:t>
      </w:r>
      <w:r w:rsidRPr="00DB1E20">
        <w:rPr>
          <w:rFonts w:ascii="Palatino Linotype" w:hAnsi="Palatino Linotype"/>
          <w:bCs/>
          <w:sz w:val="24"/>
          <w:szCs w:val="24"/>
        </w:rPr>
        <w:t>un sustantivo propio y el primer apellido del padre y el primer apellido de la madre, en el orden que, de común acuerdo se determine, ello atendiendo a los artículos 2.13 y 2.14 del Cód</w:t>
      </w:r>
      <w:r>
        <w:rPr>
          <w:rFonts w:ascii="Palatino Linotype" w:hAnsi="Palatino Linotype"/>
          <w:bCs/>
          <w:sz w:val="24"/>
          <w:szCs w:val="24"/>
        </w:rPr>
        <w:t>igo Civil del Estado de México, porciones normativas que disponen a la literalidad lo siguiente:</w:t>
      </w:r>
    </w:p>
    <w:p w14:paraId="69862DE1" w14:textId="77777777" w:rsidR="0090033D" w:rsidRDefault="0090033D" w:rsidP="00534438">
      <w:pPr>
        <w:autoSpaceDE w:val="0"/>
        <w:autoSpaceDN w:val="0"/>
        <w:adjustRightInd w:val="0"/>
        <w:spacing w:after="0" w:line="360" w:lineRule="auto"/>
        <w:ind w:right="72"/>
        <w:jc w:val="both"/>
        <w:rPr>
          <w:rFonts w:ascii="Palatino Linotype" w:hAnsi="Palatino Linotype"/>
          <w:bCs/>
          <w:sz w:val="24"/>
          <w:szCs w:val="24"/>
        </w:rPr>
      </w:pPr>
    </w:p>
    <w:p w14:paraId="30BA1A11" w14:textId="6FB1ADCD" w:rsidR="006D0F2B" w:rsidRDefault="006D0F2B" w:rsidP="0090033D">
      <w:pPr>
        <w:pStyle w:val="Citas"/>
        <w:spacing w:before="0" w:after="0" w:line="240" w:lineRule="auto"/>
        <w:ind w:left="567" w:right="565"/>
      </w:pPr>
      <w:r w:rsidRPr="0090033D">
        <w:rPr>
          <w:b/>
          <w:bCs/>
        </w:rPr>
        <w:t>Artículo 2.13.-</w:t>
      </w:r>
      <w:r>
        <w:t xml:space="preserve"> El nombre designa e individualiza a una persona.</w:t>
      </w:r>
    </w:p>
    <w:p w14:paraId="0E62B223" w14:textId="77777777" w:rsidR="0090033D" w:rsidRDefault="0090033D" w:rsidP="0090033D">
      <w:pPr>
        <w:pStyle w:val="Citas"/>
        <w:spacing w:before="0" w:after="0" w:line="240" w:lineRule="auto"/>
        <w:ind w:left="567" w:right="565"/>
      </w:pPr>
    </w:p>
    <w:p w14:paraId="6E86C654" w14:textId="7B588EA0" w:rsidR="006D0F2B" w:rsidRDefault="006D0F2B" w:rsidP="0090033D">
      <w:pPr>
        <w:pStyle w:val="Citas"/>
        <w:spacing w:before="0" w:after="0" w:line="240" w:lineRule="auto"/>
        <w:ind w:left="567" w:right="565"/>
      </w:pPr>
      <w:r w:rsidRPr="0090033D">
        <w:rPr>
          <w:b/>
          <w:bCs/>
        </w:rPr>
        <w:t>Artículo 2.14.</w:t>
      </w:r>
      <w: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0F648CE2" w14:textId="77777777" w:rsidR="0090033D" w:rsidRDefault="0090033D" w:rsidP="0090033D">
      <w:pPr>
        <w:pStyle w:val="Citas"/>
        <w:spacing w:before="0" w:after="0" w:line="240" w:lineRule="auto"/>
        <w:ind w:left="567" w:right="565"/>
      </w:pPr>
    </w:p>
    <w:p w14:paraId="437381A5" w14:textId="1F7D7E37" w:rsidR="006D0F2B" w:rsidRDefault="006D0F2B" w:rsidP="0090033D">
      <w:pPr>
        <w:pStyle w:val="Citas"/>
        <w:spacing w:before="0" w:after="0" w:line="240" w:lineRule="auto"/>
        <w:ind w:left="567" w:right="565"/>
      </w:pPr>
      <w:r>
        <w:t xml:space="preserve">El orden de los apellidos acordado entre padre y madre se considerará preferentemente para los demás hijos e hijas del mismo vínculo. </w:t>
      </w:r>
    </w:p>
    <w:p w14:paraId="2C5FBBBB" w14:textId="77777777" w:rsidR="0090033D" w:rsidRDefault="0090033D" w:rsidP="0090033D">
      <w:pPr>
        <w:pStyle w:val="Citas"/>
        <w:spacing w:before="0" w:after="0" w:line="240" w:lineRule="auto"/>
        <w:ind w:left="567" w:right="565"/>
      </w:pPr>
    </w:p>
    <w:p w14:paraId="41417DF8" w14:textId="7776F72F" w:rsidR="006D0F2B" w:rsidRPr="00A3098D" w:rsidRDefault="006D0F2B" w:rsidP="0090033D">
      <w:pPr>
        <w:pStyle w:val="Citas"/>
        <w:spacing w:before="0" w:after="0" w:line="240" w:lineRule="auto"/>
        <w:ind w:left="567" w:right="565"/>
        <w:rPr>
          <w:b/>
          <w:bCs/>
          <w:sz w:val="24"/>
          <w:szCs w:val="24"/>
        </w:rPr>
      </w:pPr>
      <w:r>
        <w:t>Cuando solo lo reconozca uno de ellos se formará con los apellidos de este, en el mismo orden, con las salvedades que establece el Libro Tercero de este Código.</w:t>
      </w:r>
    </w:p>
    <w:p w14:paraId="157EBCCF" w14:textId="77777777" w:rsidR="0090033D" w:rsidRDefault="0090033D" w:rsidP="00534438">
      <w:pPr>
        <w:pStyle w:val="Sinespaciado"/>
        <w:spacing w:line="360" w:lineRule="auto"/>
        <w:jc w:val="both"/>
        <w:rPr>
          <w:rFonts w:ascii="Palatino Linotype" w:hAnsi="Palatino Linotype"/>
          <w:bCs/>
        </w:rPr>
      </w:pPr>
    </w:p>
    <w:p w14:paraId="088A6392" w14:textId="65CD7141" w:rsidR="006D0F2B" w:rsidRDefault="006D0F2B" w:rsidP="00534438">
      <w:pPr>
        <w:pStyle w:val="Sinespaciado"/>
        <w:spacing w:line="360" w:lineRule="auto"/>
        <w:jc w:val="both"/>
        <w:rPr>
          <w:rFonts w:ascii="Palatino Linotype" w:hAnsi="Palatino Linotype"/>
          <w:bCs/>
        </w:rPr>
      </w:pPr>
      <w:r w:rsidRPr="00DB1E20">
        <w:rPr>
          <w:rFonts w:ascii="Palatino Linotype" w:hAnsi="Palatino Linotype"/>
          <w:bCs/>
        </w:rPr>
        <w:t>Circunstancia que de ser visible y otorgarse por los Sujetos Obligados, vulneraria el derecho de protección de datos personales de las personas mismas, siempre y cuando no se trate de personas físicas que:</w:t>
      </w:r>
    </w:p>
    <w:p w14:paraId="52B09B8A" w14:textId="77777777" w:rsidR="0090033D" w:rsidRPr="00DB1E20" w:rsidRDefault="0090033D" w:rsidP="00534438">
      <w:pPr>
        <w:pStyle w:val="Sinespaciado"/>
        <w:spacing w:line="360" w:lineRule="auto"/>
        <w:jc w:val="both"/>
        <w:rPr>
          <w:rFonts w:ascii="Palatino Linotype" w:hAnsi="Palatino Linotype"/>
          <w:bCs/>
        </w:rPr>
      </w:pPr>
    </w:p>
    <w:p w14:paraId="401A8EAA" w14:textId="77777777" w:rsidR="006D0F2B" w:rsidRPr="00DB1E20" w:rsidRDefault="006D0F2B" w:rsidP="00534438">
      <w:pPr>
        <w:pStyle w:val="Sinespaciado"/>
        <w:numPr>
          <w:ilvl w:val="0"/>
          <w:numId w:val="14"/>
        </w:numPr>
        <w:spacing w:line="360" w:lineRule="auto"/>
        <w:jc w:val="both"/>
        <w:rPr>
          <w:rFonts w:ascii="Palatino Linotype" w:hAnsi="Palatino Linotype"/>
          <w:b/>
          <w:u w:val="single"/>
        </w:rPr>
      </w:pPr>
      <w:r w:rsidRPr="00DB1E20">
        <w:rPr>
          <w:rFonts w:ascii="Palatino Linotype" w:hAnsi="Palatino Linotype"/>
          <w:b/>
          <w:u w:val="single"/>
        </w:rPr>
        <w:t xml:space="preserve">Ejerzan funciones en el ámbito público. </w:t>
      </w:r>
    </w:p>
    <w:p w14:paraId="55DFD331" w14:textId="77777777" w:rsidR="006D0F2B"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Practiquen actos de autoridad </w:t>
      </w:r>
    </w:p>
    <w:p w14:paraId="06B5EAED" w14:textId="77777777" w:rsidR="006D0F2B" w:rsidRPr="00DB1E20" w:rsidRDefault="006D0F2B" w:rsidP="00534438">
      <w:pPr>
        <w:pStyle w:val="Sinespaciado"/>
        <w:numPr>
          <w:ilvl w:val="0"/>
          <w:numId w:val="14"/>
        </w:numPr>
        <w:spacing w:line="360" w:lineRule="auto"/>
        <w:jc w:val="both"/>
        <w:rPr>
          <w:rFonts w:ascii="Palatino Linotype" w:hAnsi="Palatino Linotype"/>
        </w:rPr>
      </w:pPr>
      <w:r>
        <w:rPr>
          <w:rFonts w:ascii="Palatino Linotype" w:hAnsi="Palatino Linotype"/>
        </w:rPr>
        <w:lastRenderedPageBreak/>
        <w:t xml:space="preserve">Resulten vencedores en licitaciones públicas o invitaciones directas, o incluso figuren como apoderado o representante legal de personas morales que hayan obtenido un resultado favorable. </w:t>
      </w:r>
    </w:p>
    <w:p w14:paraId="0C023DB3" w14:textId="77777777" w:rsidR="006D0F2B" w:rsidRPr="00DB1E20" w:rsidRDefault="006D0F2B" w:rsidP="00534438">
      <w:pPr>
        <w:pStyle w:val="Sinespaciado"/>
        <w:numPr>
          <w:ilvl w:val="0"/>
          <w:numId w:val="14"/>
        </w:numPr>
        <w:spacing w:line="360" w:lineRule="auto"/>
        <w:jc w:val="both"/>
        <w:rPr>
          <w:rFonts w:ascii="Palatino Linotype" w:hAnsi="Palatino Linotype"/>
        </w:rPr>
      </w:pPr>
      <w:r w:rsidRPr="00DB1E20">
        <w:rPr>
          <w:rFonts w:ascii="Palatino Linotype" w:hAnsi="Palatino Linotype"/>
        </w:rPr>
        <w:t xml:space="preserve">Sean titulares de licencias que involucren aprovechamientos de bienes, servicios y/o recursos públicos. </w:t>
      </w:r>
    </w:p>
    <w:p w14:paraId="4D05A6F6" w14:textId="77777777" w:rsidR="006D0F2B" w:rsidRPr="00DB1E20" w:rsidRDefault="006D0F2B" w:rsidP="00534438">
      <w:pPr>
        <w:spacing w:after="0" w:line="360" w:lineRule="auto"/>
        <w:contextualSpacing/>
        <w:jc w:val="both"/>
        <w:rPr>
          <w:rFonts w:ascii="Palatino Linotype" w:hAnsi="Palatino Linotype"/>
          <w:sz w:val="24"/>
          <w:szCs w:val="24"/>
          <w:lang w:val="es-ES"/>
        </w:rPr>
      </w:pPr>
    </w:p>
    <w:p w14:paraId="6CE30847" w14:textId="5A94424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En efecto, tratándose de servidores públicos</w:t>
      </w:r>
      <w:r w:rsidR="0090033D">
        <w:rPr>
          <w:rFonts w:ascii="Palatino Linotype" w:hAnsi="Palatino Linotype"/>
          <w:sz w:val="24"/>
          <w:szCs w:val="24"/>
          <w:lang w:val="es-ES"/>
        </w:rPr>
        <w:t>,</w:t>
      </w:r>
      <w:r>
        <w:rPr>
          <w:rFonts w:ascii="Palatino Linotype" w:hAnsi="Palatino Linotype"/>
          <w:sz w:val="24"/>
          <w:szCs w:val="24"/>
          <w:lang w:val="es-ES"/>
        </w:rPr>
        <w:t xml:space="preserve">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5CC16E9F" w14:textId="77777777" w:rsidR="006D0F2B" w:rsidRDefault="006D0F2B" w:rsidP="00534438">
      <w:pPr>
        <w:spacing w:after="0" w:line="360" w:lineRule="auto"/>
        <w:contextualSpacing/>
        <w:jc w:val="both"/>
        <w:rPr>
          <w:rFonts w:ascii="Palatino Linotype" w:hAnsi="Palatino Linotype"/>
          <w:sz w:val="24"/>
          <w:szCs w:val="24"/>
          <w:lang w:val="es-ES"/>
        </w:rPr>
      </w:pPr>
    </w:p>
    <w:p w14:paraId="03BDBA15" w14:textId="043B5A3B"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Ciertamente, tan claro e indiscutible es el interés público de conocer el nombre de los servidores públicos federales, estatales o municipales, que la corriente legal, doctrinal y jurisprudencial en nuestro país ha catalogado dicha información como una obligación de transparencia común</w:t>
      </w:r>
      <w:r w:rsidR="006E72CB">
        <w:rPr>
          <w:rFonts w:ascii="Palatino Linotype" w:hAnsi="Palatino Linotype"/>
          <w:sz w:val="24"/>
          <w:szCs w:val="24"/>
          <w:lang w:val="es-ES"/>
        </w:rPr>
        <w:t>;</w:t>
      </w:r>
      <w:r>
        <w:rPr>
          <w:rFonts w:ascii="Palatino Linotype" w:hAnsi="Palatino Linotype"/>
          <w:sz w:val="24"/>
          <w:szCs w:val="24"/>
          <w:lang w:val="es-ES"/>
        </w:rPr>
        <w:t xml:space="preserve"> es decir, información que se pondrá oficiosamente a disposición de los particulares y que se deberá de mantener actualizada periódicamente en medios electrónicos. </w:t>
      </w:r>
    </w:p>
    <w:p w14:paraId="209875D2" w14:textId="77777777" w:rsidR="006D0F2B" w:rsidRDefault="006D0F2B" w:rsidP="00534438">
      <w:pPr>
        <w:spacing w:after="0" w:line="360" w:lineRule="auto"/>
        <w:contextualSpacing/>
        <w:jc w:val="both"/>
        <w:rPr>
          <w:rFonts w:ascii="Palatino Linotype" w:hAnsi="Palatino Linotype"/>
          <w:sz w:val="24"/>
          <w:szCs w:val="24"/>
          <w:lang w:val="es-ES"/>
        </w:rPr>
      </w:pPr>
    </w:p>
    <w:p w14:paraId="13ECC9FD" w14:textId="7405906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resulta de particular interés traer a colación el </w:t>
      </w:r>
      <w:r w:rsidR="006E72CB">
        <w:rPr>
          <w:rFonts w:ascii="Palatino Linotype" w:hAnsi="Palatino Linotype"/>
          <w:sz w:val="24"/>
          <w:szCs w:val="24"/>
          <w:lang w:val="es-ES"/>
        </w:rPr>
        <w:t>artículo</w:t>
      </w:r>
      <w:r>
        <w:rPr>
          <w:rFonts w:ascii="Palatino Linotype" w:hAnsi="Palatino Linotype"/>
          <w:sz w:val="24"/>
          <w:szCs w:val="24"/>
          <w:lang w:val="es-ES"/>
        </w:rPr>
        <w:t xml:space="preserve"> 92 fracción VII de la Ley de Transparencia y Acceso a la Información Pública del Estado de México y Municipios,</w:t>
      </w:r>
      <w:r w:rsidR="006E72CB">
        <w:rPr>
          <w:rFonts w:ascii="Palatino Linotype" w:hAnsi="Palatino Linotype"/>
          <w:sz w:val="24"/>
          <w:szCs w:val="24"/>
          <w:lang w:val="es-ES"/>
        </w:rPr>
        <w:t xml:space="preserve"> que establece lo siguiente:</w:t>
      </w:r>
    </w:p>
    <w:p w14:paraId="148165DC" w14:textId="77777777" w:rsidR="00E46E74" w:rsidRDefault="00E46E74" w:rsidP="00534438">
      <w:pPr>
        <w:spacing w:after="0" w:line="360" w:lineRule="auto"/>
        <w:contextualSpacing/>
        <w:jc w:val="both"/>
        <w:rPr>
          <w:rFonts w:ascii="Palatino Linotype" w:hAnsi="Palatino Linotype"/>
          <w:sz w:val="24"/>
          <w:szCs w:val="24"/>
          <w:lang w:val="es-ES"/>
        </w:rPr>
      </w:pPr>
    </w:p>
    <w:p w14:paraId="7E0DBA6F" w14:textId="64469462" w:rsidR="006D0F2B" w:rsidRDefault="006D0F2B" w:rsidP="006E72CB">
      <w:pPr>
        <w:pStyle w:val="Citas"/>
        <w:spacing w:before="0" w:after="0" w:line="240" w:lineRule="auto"/>
        <w:ind w:left="567" w:right="565"/>
      </w:pPr>
      <w:r w:rsidRPr="006E72CB">
        <w:rPr>
          <w:b/>
          <w:bCs/>
        </w:rPr>
        <w:lastRenderedPageBreak/>
        <w:t>Artículo 92.</w:t>
      </w:r>
      <w: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6FB6381F" w14:textId="77777777" w:rsidR="006D0F2B" w:rsidRDefault="006D0F2B" w:rsidP="006E72CB">
      <w:pPr>
        <w:pStyle w:val="Citas"/>
        <w:spacing w:before="0" w:after="0" w:line="240" w:lineRule="auto"/>
        <w:ind w:left="567" w:right="565"/>
      </w:pPr>
      <w:r>
        <w:t>(…)</w:t>
      </w:r>
    </w:p>
    <w:p w14:paraId="3C93EA95" w14:textId="02B74E1E" w:rsidR="006D0F2B" w:rsidRDefault="006D0F2B" w:rsidP="006E72CB">
      <w:pPr>
        <w:pStyle w:val="Citas"/>
        <w:spacing w:before="0" w:after="0" w:line="240" w:lineRule="auto"/>
        <w:ind w:left="567" w:right="565"/>
      </w:pPr>
      <w:r w:rsidRPr="006E72CB">
        <w:rPr>
          <w:b/>
          <w:bCs/>
        </w:rPr>
        <w:t>VII.</w:t>
      </w:r>
      <w:r>
        <w:t xml:space="preserve">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w:t>
      </w:r>
    </w:p>
    <w:p w14:paraId="4D3C988F" w14:textId="77777777" w:rsidR="006E72CB" w:rsidRDefault="006E72CB" w:rsidP="006E72CB">
      <w:pPr>
        <w:pStyle w:val="Citas"/>
        <w:spacing w:before="0" w:after="0" w:line="240" w:lineRule="auto"/>
        <w:ind w:left="567" w:right="565"/>
      </w:pPr>
    </w:p>
    <w:p w14:paraId="119B3092" w14:textId="28B5809E" w:rsidR="006D0F2B" w:rsidRDefault="006D0F2B" w:rsidP="006E72CB">
      <w:pPr>
        <w:pStyle w:val="Citas"/>
        <w:spacing w:before="0" w:after="0" w:line="240" w:lineRule="auto"/>
        <w:ind w:left="567" w:right="565"/>
      </w:pPr>
      <w:r w:rsidRPr="00344FB3">
        <w:rPr>
          <w:b/>
          <w:u w:val="single"/>
        </w:rPr>
        <w:t xml:space="preserve">El directorio deberá incluir, al menos el nombre, cargo o nombramiento oficial asignado, </w:t>
      </w:r>
      <w:r>
        <w:t>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5613EFA2" w14:textId="1F06D1A2" w:rsidR="006E72CB" w:rsidRPr="006E72CB" w:rsidRDefault="006E72CB" w:rsidP="006E72CB">
      <w:pPr>
        <w:pStyle w:val="Citas"/>
        <w:spacing w:before="0" w:after="0" w:line="240" w:lineRule="auto"/>
        <w:ind w:left="567" w:right="565"/>
        <w:rPr>
          <w:bCs/>
          <w:sz w:val="24"/>
          <w:szCs w:val="24"/>
          <w:lang w:val="es-ES"/>
        </w:rPr>
      </w:pPr>
      <w:r w:rsidRPr="006E72CB">
        <w:rPr>
          <w:bCs/>
        </w:rPr>
        <w:t>(…)</w:t>
      </w:r>
    </w:p>
    <w:p w14:paraId="09A30DBC" w14:textId="77777777" w:rsidR="006D0F2B" w:rsidRDefault="006D0F2B" w:rsidP="00534438">
      <w:pPr>
        <w:spacing w:after="0" w:line="360" w:lineRule="auto"/>
        <w:contextualSpacing/>
        <w:jc w:val="both"/>
        <w:rPr>
          <w:rFonts w:ascii="Palatino Linotype" w:hAnsi="Palatino Linotype"/>
          <w:sz w:val="24"/>
          <w:szCs w:val="24"/>
          <w:lang w:val="es-ES"/>
        </w:rPr>
      </w:pPr>
    </w:p>
    <w:p w14:paraId="4F529DB8" w14:textId="093962C0"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Por lo anterior, es que se llega al punto de la dis</w:t>
      </w:r>
      <w:r w:rsidR="006E72CB">
        <w:rPr>
          <w:rFonts w:ascii="Palatino Linotype" w:hAnsi="Palatino Linotype"/>
          <w:sz w:val="24"/>
          <w:szCs w:val="24"/>
          <w:lang w:val="es-ES"/>
        </w:rPr>
        <w:t>crepancia</w:t>
      </w:r>
      <w:r>
        <w:rPr>
          <w:rFonts w:ascii="Palatino Linotype" w:hAnsi="Palatino Linotype"/>
          <w:sz w:val="24"/>
          <w:szCs w:val="24"/>
          <w:lang w:val="es-ES"/>
        </w:rPr>
        <w:t xml:space="preserve">, ya que de una interpretación sistemática y armónica del contenido de los soportes documentales requeridos mediante la solicitud de </w:t>
      </w:r>
      <w:r w:rsidRPr="006E72CB">
        <w:rPr>
          <w:rFonts w:ascii="Palatino Linotype" w:hAnsi="Palatino Linotype"/>
          <w:color w:val="000000" w:themeColor="text1"/>
          <w:sz w:val="24"/>
          <w:szCs w:val="24"/>
          <w:lang w:val="es-ES"/>
        </w:rPr>
        <w:t xml:space="preserve">información </w:t>
      </w:r>
      <w:r w:rsidR="00546E11" w:rsidRPr="00546E11">
        <w:rPr>
          <w:rFonts w:ascii="Palatino Linotype" w:hAnsi="Palatino Linotype"/>
          <w:b/>
          <w:color w:val="000000" w:themeColor="text1"/>
          <w:sz w:val="24"/>
          <w:szCs w:val="24"/>
          <w:lang w:val="es-ES"/>
        </w:rPr>
        <w:t>00150/VICARBO/IP/2022</w:t>
      </w:r>
      <w:r w:rsidR="00E46E74">
        <w:rPr>
          <w:rFonts w:ascii="Palatino Linotype" w:hAnsi="Palatino Linotype"/>
          <w:sz w:val="24"/>
          <w:szCs w:val="24"/>
          <w:lang w:val="es-ES"/>
        </w:rPr>
        <w:t>,</w:t>
      </w:r>
      <w:r w:rsidR="00E46E74" w:rsidRPr="00E46E74">
        <w:rPr>
          <w:rFonts w:ascii="Palatino Linotype" w:hAnsi="Palatino Linotype"/>
          <w:sz w:val="24"/>
          <w:szCs w:val="24"/>
          <w:lang w:val="es-ES"/>
        </w:rPr>
        <w:t xml:space="preserve"> </w:t>
      </w:r>
      <w:r>
        <w:rPr>
          <w:rFonts w:ascii="Palatino Linotype" w:hAnsi="Palatino Linotype"/>
          <w:sz w:val="24"/>
          <w:szCs w:val="24"/>
          <w:lang w:val="es-ES"/>
        </w:rPr>
        <w:t xml:space="preserve">es posible advertir que </w:t>
      </w:r>
      <w:r w:rsidR="0097077D">
        <w:rPr>
          <w:rFonts w:ascii="Palatino Linotype" w:hAnsi="Palatino Linotype"/>
          <w:sz w:val="24"/>
          <w:szCs w:val="24"/>
          <w:lang w:val="es-ES"/>
        </w:rPr>
        <w:t>contienen</w:t>
      </w:r>
      <w:r>
        <w:rPr>
          <w:rFonts w:ascii="Palatino Linotype" w:hAnsi="Palatino Linotype"/>
          <w:sz w:val="24"/>
          <w:szCs w:val="24"/>
          <w:lang w:val="es-ES"/>
        </w:rPr>
        <w:t xml:space="preserve"> el nombre y cargo de servidores públicos adscritos a unidades administrativas que realizan funciones de seguridad, los cuales se </w:t>
      </w:r>
      <w:r w:rsidR="0097077D">
        <w:rPr>
          <w:rFonts w:ascii="Palatino Linotype" w:hAnsi="Palatino Linotype"/>
          <w:sz w:val="24"/>
          <w:szCs w:val="24"/>
          <w:lang w:val="es-ES"/>
        </w:rPr>
        <w:t xml:space="preserve">estima </w:t>
      </w:r>
      <w:r>
        <w:rPr>
          <w:rFonts w:ascii="Palatino Linotype" w:hAnsi="Palatino Linotype"/>
          <w:sz w:val="24"/>
          <w:szCs w:val="24"/>
          <w:lang w:val="es-ES"/>
        </w:rPr>
        <w:t>que deben clasificarse como reservados</w:t>
      </w:r>
      <w:r w:rsidR="0097077D">
        <w:rPr>
          <w:rFonts w:ascii="Palatino Linotype" w:hAnsi="Palatino Linotype"/>
          <w:sz w:val="24"/>
          <w:szCs w:val="24"/>
          <w:lang w:val="es-ES"/>
        </w:rPr>
        <w:t xml:space="preserve"> conforme a las siguientes consideraciones.</w:t>
      </w:r>
    </w:p>
    <w:p w14:paraId="2F796D11" w14:textId="77777777" w:rsidR="006D0F2B" w:rsidRDefault="006D0F2B" w:rsidP="00534438">
      <w:pPr>
        <w:spacing w:after="0" w:line="360" w:lineRule="auto"/>
        <w:contextualSpacing/>
        <w:jc w:val="both"/>
        <w:rPr>
          <w:rFonts w:ascii="Palatino Linotype" w:hAnsi="Palatino Linotype"/>
          <w:sz w:val="24"/>
          <w:szCs w:val="24"/>
          <w:lang w:val="es-ES"/>
        </w:rPr>
      </w:pPr>
    </w:p>
    <w:p w14:paraId="6059FB1E" w14:textId="2C24B1EA" w:rsidR="006D0F2B" w:rsidRDefault="006D0F2B" w:rsidP="00534438">
      <w:pPr>
        <w:spacing w:after="0" w:line="360" w:lineRule="auto"/>
        <w:contextualSpacing/>
        <w:jc w:val="both"/>
        <w:rPr>
          <w:rFonts w:ascii="Palatino Linotype" w:hAnsi="Palatino Linotype"/>
          <w:sz w:val="24"/>
          <w:szCs w:val="24"/>
        </w:rPr>
      </w:pPr>
      <w:r>
        <w:rPr>
          <w:rFonts w:ascii="Palatino Linotype" w:hAnsi="Palatino Linotype"/>
          <w:sz w:val="24"/>
          <w:szCs w:val="24"/>
          <w:lang w:val="es-ES"/>
        </w:rPr>
        <w:t xml:space="preserve">En </w:t>
      </w:r>
      <w:r w:rsidRPr="004D58D9">
        <w:rPr>
          <w:rFonts w:ascii="Palatino Linotype" w:hAnsi="Palatino Linotype"/>
          <w:sz w:val="24"/>
          <w:szCs w:val="24"/>
        </w:rPr>
        <w:t xml:space="preserve">fecha doce de mayo del año en curso, el Pleno de la Suprema Corte de Justicia de la Nación resolvió la controversia constitucional </w:t>
      </w:r>
      <w:r w:rsidRPr="004D58D9">
        <w:rPr>
          <w:rFonts w:ascii="Palatino Linotype" w:hAnsi="Palatino Linotype"/>
          <w:b/>
          <w:sz w:val="24"/>
          <w:szCs w:val="24"/>
        </w:rPr>
        <w:t>325/2019,</w:t>
      </w:r>
      <w:r w:rsidRPr="004D58D9">
        <w:rPr>
          <w:rFonts w:ascii="Palatino Linotype" w:hAnsi="Palatino Linotype"/>
          <w:sz w:val="24"/>
          <w:szCs w:val="24"/>
        </w:rPr>
        <w:t xml:space="preserve"> en  donde la mayoría de los integrantes del máximo tribunal </w:t>
      </w:r>
      <w:r w:rsidR="0097077D">
        <w:rPr>
          <w:rFonts w:ascii="Palatino Linotype" w:hAnsi="Palatino Linotype"/>
          <w:sz w:val="24"/>
          <w:szCs w:val="24"/>
        </w:rPr>
        <w:t>concluyó</w:t>
      </w:r>
      <w:r w:rsidRPr="004D58D9">
        <w:rPr>
          <w:rFonts w:ascii="Palatino Linotype" w:hAnsi="Palatino Linotype"/>
          <w:sz w:val="24"/>
          <w:szCs w:val="24"/>
        </w:rPr>
        <w:t xml:space="preserve"> que el nombre y cargo del personal operativo y administrativo adscritos a unidades administrativas relacionadas con funciones de seguridad debe ser clasificado como reservado, al tomar en consideración las funciones </w:t>
      </w:r>
      <w:r w:rsidRPr="004D58D9">
        <w:rPr>
          <w:rFonts w:ascii="Palatino Linotype" w:hAnsi="Palatino Linotype"/>
          <w:sz w:val="24"/>
          <w:szCs w:val="24"/>
        </w:rPr>
        <w:lastRenderedPageBreak/>
        <w:t xml:space="preserve">desempeñadas, así como el contexto generalizado de violencia que actualmente </w:t>
      </w:r>
      <w:r w:rsidR="0097077D">
        <w:rPr>
          <w:rFonts w:ascii="Palatino Linotype" w:hAnsi="Palatino Linotype"/>
          <w:sz w:val="24"/>
          <w:szCs w:val="24"/>
        </w:rPr>
        <w:t>se vive en el</w:t>
      </w:r>
      <w:r w:rsidRPr="004D58D9">
        <w:rPr>
          <w:rFonts w:ascii="Palatino Linotype" w:hAnsi="Palatino Linotype"/>
          <w:sz w:val="24"/>
          <w:szCs w:val="24"/>
        </w:rPr>
        <w:t xml:space="preserve"> país.</w:t>
      </w:r>
    </w:p>
    <w:p w14:paraId="770394D9" w14:textId="77777777" w:rsidR="006D0F2B" w:rsidRDefault="006D0F2B" w:rsidP="00534438">
      <w:pPr>
        <w:spacing w:after="0" w:line="360" w:lineRule="auto"/>
        <w:contextualSpacing/>
        <w:jc w:val="both"/>
        <w:rPr>
          <w:rFonts w:ascii="Palatino Linotype" w:hAnsi="Palatino Linotype"/>
          <w:sz w:val="24"/>
          <w:szCs w:val="24"/>
        </w:rPr>
      </w:pPr>
    </w:p>
    <w:p w14:paraId="5F7238B3" w14:textId="221BE04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atención a lo descrito, es menester puntualizar que, para cumplir con los fines y objetivos propuestos, los recursos humanos en materia de seguridad de los entes públicos son agrupados en </w:t>
      </w:r>
      <w:r w:rsidR="009B19CF">
        <w:rPr>
          <w:rFonts w:ascii="Palatino Linotype" w:hAnsi="Palatino Linotype"/>
          <w:sz w:val="24"/>
          <w:szCs w:val="24"/>
          <w:lang w:val="es-ES"/>
        </w:rPr>
        <w:t>las siguientes</w:t>
      </w:r>
      <w:r>
        <w:rPr>
          <w:rFonts w:ascii="Palatino Linotype" w:hAnsi="Palatino Linotype"/>
          <w:sz w:val="24"/>
          <w:szCs w:val="24"/>
          <w:lang w:val="es-ES"/>
        </w:rPr>
        <w:t xml:space="preserve"> categorías:</w:t>
      </w:r>
    </w:p>
    <w:p w14:paraId="3BF60C36" w14:textId="77777777" w:rsidR="006D0F2B" w:rsidRDefault="006D0F2B" w:rsidP="00534438">
      <w:pPr>
        <w:spacing w:after="0" w:line="360" w:lineRule="auto"/>
        <w:contextualSpacing/>
        <w:jc w:val="both"/>
        <w:rPr>
          <w:rFonts w:ascii="Palatino Linotype" w:hAnsi="Palatino Linotype"/>
          <w:sz w:val="24"/>
          <w:szCs w:val="24"/>
          <w:lang w:val="es-ES"/>
        </w:rPr>
      </w:pPr>
    </w:p>
    <w:p w14:paraId="693F3DA5" w14:textId="73828253" w:rsidR="006D0F2B"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sustantivo: </w:t>
      </w:r>
      <w:r>
        <w:rPr>
          <w:rFonts w:ascii="Palatino Linotype" w:hAnsi="Palatino Linotype"/>
        </w:rPr>
        <w:t xml:space="preserve">Agentes del Ministerio Público, Policías </w:t>
      </w:r>
      <w:r w:rsidR="009B19CF" w:rsidRPr="009B19CF">
        <w:rPr>
          <w:rFonts w:ascii="Palatino Linotype" w:hAnsi="Palatino Linotype"/>
          <w:bCs/>
        </w:rPr>
        <w:t>-</w:t>
      </w:r>
      <w:r w:rsidRPr="009B19CF">
        <w:rPr>
          <w:rFonts w:ascii="Palatino Linotype" w:hAnsi="Palatino Linotype"/>
          <w:bCs/>
        </w:rPr>
        <w:t xml:space="preserve">en sentido amplio-, </w:t>
      </w:r>
      <w:r>
        <w:rPr>
          <w:rFonts w:ascii="Palatino Linotype" w:hAnsi="Palatino Linotype"/>
        </w:rPr>
        <w:t xml:space="preserve">peritos, analistas, facilitadores. </w:t>
      </w:r>
    </w:p>
    <w:p w14:paraId="3A2CCE77" w14:textId="77777777" w:rsidR="006D0F2B" w:rsidRPr="00EA398E" w:rsidRDefault="006D0F2B" w:rsidP="00534438">
      <w:pPr>
        <w:pStyle w:val="Prrafodelista"/>
        <w:numPr>
          <w:ilvl w:val="0"/>
          <w:numId w:val="15"/>
        </w:numPr>
        <w:spacing w:line="360" w:lineRule="auto"/>
        <w:jc w:val="both"/>
        <w:rPr>
          <w:rFonts w:ascii="Palatino Linotype" w:hAnsi="Palatino Linotype"/>
          <w:b/>
        </w:rPr>
      </w:pPr>
      <w:r>
        <w:rPr>
          <w:rFonts w:ascii="Palatino Linotype" w:hAnsi="Palatino Linotype"/>
          <w:b/>
        </w:rPr>
        <w:t xml:space="preserve">Personal administrativo: </w:t>
      </w:r>
      <w:r>
        <w:rPr>
          <w:rFonts w:ascii="Palatino Linotype" w:hAnsi="Palatino Linotype"/>
        </w:rPr>
        <w:t xml:space="preserve">Servidores públicos encargados de desempeñar actividades diversas a las sustantivas. </w:t>
      </w:r>
    </w:p>
    <w:p w14:paraId="63F977CE" w14:textId="77777777" w:rsidR="006D0F2B" w:rsidRDefault="006D0F2B" w:rsidP="00534438">
      <w:pPr>
        <w:spacing w:after="0" w:line="360" w:lineRule="auto"/>
        <w:contextualSpacing/>
        <w:jc w:val="both"/>
        <w:rPr>
          <w:rFonts w:ascii="Palatino Linotype" w:hAnsi="Palatino Linotype"/>
          <w:sz w:val="24"/>
          <w:szCs w:val="24"/>
          <w:lang w:val="es-ES"/>
        </w:rPr>
      </w:pPr>
    </w:p>
    <w:p w14:paraId="74760C19" w14:textId="51E34DD5"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Bajo este tenor, </w:t>
      </w:r>
      <w:r w:rsidR="009B19CF">
        <w:rPr>
          <w:rFonts w:ascii="Palatino Linotype" w:hAnsi="Palatino Linotype"/>
          <w:sz w:val="24"/>
          <w:szCs w:val="24"/>
          <w:lang w:val="es-ES"/>
        </w:rPr>
        <w:t>el</w:t>
      </w:r>
      <w:r>
        <w:rPr>
          <w:rFonts w:ascii="Palatino Linotype" w:hAnsi="Palatino Linotype"/>
          <w:sz w:val="24"/>
          <w:szCs w:val="24"/>
          <w:lang w:val="es-ES"/>
        </w:rPr>
        <w:t xml:space="preserve"> Máximo Tribunal concluyó que </w:t>
      </w:r>
      <w:r w:rsidRPr="0069076F">
        <w:rPr>
          <w:rFonts w:ascii="Palatino Linotype" w:hAnsi="Palatino Linotype"/>
          <w:sz w:val="24"/>
          <w:szCs w:val="24"/>
          <w:lang w:val="es-ES"/>
        </w:rPr>
        <w:t xml:space="preserve">el personal sustantivo se ocupa de garantizar </w:t>
      </w:r>
      <w:r w:rsidRPr="0069076F">
        <w:rPr>
          <w:rFonts w:ascii="Palatino Linotype" w:hAnsi="Palatino Linotype"/>
          <w:color w:val="000000"/>
          <w:sz w:val="24"/>
          <w:szCs w:val="24"/>
        </w:rPr>
        <w:t>la seguridad pública a través de acciones preventivas y correctivas</w:t>
      </w:r>
      <w:r w:rsidR="009B19CF">
        <w:rPr>
          <w:rFonts w:ascii="Palatino Linotype" w:hAnsi="Palatino Linotype"/>
          <w:color w:val="000000"/>
          <w:sz w:val="24"/>
          <w:szCs w:val="24"/>
        </w:rPr>
        <w:t xml:space="preserve"> </w:t>
      </w:r>
      <w:r w:rsidRPr="0069076F">
        <w:rPr>
          <w:rFonts w:ascii="Palatino Linotype" w:hAnsi="Palatino Linotype"/>
          <w:color w:val="000000"/>
          <w:sz w:val="24"/>
          <w:szCs w:val="24"/>
        </w:rPr>
        <w:t>encaminadas a combatir la delincuencia en sus diversas manifestaciones y</w:t>
      </w:r>
      <w:r w:rsidR="009B19CF">
        <w:rPr>
          <w:rFonts w:ascii="Palatino Linotype" w:hAnsi="Palatino Linotype"/>
          <w:color w:val="000000"/>
          <w:sz w:val="24"/>
          <w:szCs w:val="24"/>
        </w:rPr>
        <w:t>,</w:t>
      </w:r>
      <w:r w:rsidRPr="0069076F">
        <w:rPr>
          <w:rFonts w:ascii="Palatino Linotype" w:hAnsi="Palatino Linotype"/>
          <w:color w:val="000000"/>
          <w:sz w:val="24"/>
          <w:szCs w:val="24"/>
        </w:rPr>
        <w:t xml:space="preserve"> en ese sentido, una de las formas en que la delincuencia puede llegar a poner en riesgo la seguridad es anulando, impidiendo</w:t>
      </w:r>
      <w:r w:rsidR="009B19CF">
        <w:rPr>
          <w:rFonts w:ascii="Palatino Linotype" w:hAnsi="Palatino Linotype"/>
          <w:color w:val="000000"/>
          <w:sz w:val="24"/>
          <w:szCs w:val="24"/>
        </w:rPr>
        <w:t xml:space="preserve"> u</w:t>
      </w:r>
      <w:r w:rsidRPr="0069076F">
        <w:rPr>
          <w:rFonts w:ascii="Palatino Linotype" w:hAnsi="Palatino Linotype"/>
          <w:color w:val="000000"/>
          <w:sz w:val="24"/>
          <w:szCs w:val="24"/>
        </w:rPr>
        <w:t xml:space="preserve"> obstaculizando la actuación de los servidores públicos que realizan funciones de carácter operativo. </w:t>
      </w:r>
      <w:r w:rsidRPr="0069076F">
        <w:rPr>
          <w:rFonts w:ascii="Palatino Linotype" w:hAnsi="Palatino Linotype"/>
          <w:sz w:val="24"/>
          <w:szCs w:val="24"/>
          <w:lang w:val="es-ES"/>
        </w:rPr>
        <w:t xml:space="preserve"> </w:t>
      </w:r>
    </w:p>
    <w:p w14:paraId="6FBB1B5B" w14:textId="77777777" w:rsidR="006D0F2B" w:rsidRDefault="006D0F2B" w:rsidP="00534438">
      <w:pPr>
        <w:spacing w:after="0" w:line="360" w:lineRule="auto"/>
        <w:contextualSpacing/>
        <w:jc w:val="both"/>
        <w:rPr>
          <w:rFonts w:ascii="Palatino Linotype" w:hAnsi="Palatino Linotype"/>
          <w:sz w:val="24"/>
          <w:szCs w:val="24"/>
          <w:lang w:val="es-ES"/>
        </w:rPr>
      </w:pPr>
    </w:p>
    <w:p w14:paraId="7815710F" w14:textId="3362FD0F" w:rsidR="006D0F2B" w:rsidRDefault="006D0F2B" w:rsidP="00534438">
      <w:pPr>
        <w:spacing w:after="0" w:line="360" w:lineRule="auto"/>
        <w:contextualSpacing/>
        <w:jc w:val="both"/>
        <w:rPr>
          <w:rFonts w:ascii="Palatino Linotype" w:hAnsi="Palatino Linotype"/>
          <w:color w:val="000000"/>
          <w:sz w:val="24"/>
          <w:szCs w:val="24"/>
        </w:rPr>
      </w:pPr>
      <w:r>
        <w:rPr>
          <w:rFonts w:ascii="Palatino Linotype" w:hAnsi="Palatino Linotype"/>
          <w:sz w:val="24"/>
          <w:szCs w:val="24"/>
          <w:lang w:val="es-ES"/>
        </w:rPr>
        <w:t xml:space="preserve">Asimismo, la Suprema Corte de Justicia de la Nación precisó </w:t>
      </w:r>
      <w:r w:rsidRPr="0069076F">
        <w:rPr>
          <w:rFonts w:ascii="Palatino Linotype" w:hAnsi="Palatino Linotype"/>
          <w:sz w:val="24"/>
          <w:szCs w:val="24"/>
          <w:lang w:val="es-ES"/>
        </w:rPr>
        <w:t xml:space="preserve">que </w:t>
      </w:r>
      <w:r w:rsidR="009B19CF">
        <w:rPr>
          <w:rFonts w:ascii="Palatino Linotype" w:hAnsi="Palatino Linotype"/>
          <w:sz w:val="24"/>
          <w:szCs w:val="24"/>
          <w:lang w:val="es-ES"/>
        </w:rPr>
        <w:t xml:space="preserve">al </w:t>
      </w:r>
      <w:r w:rsidRPr="0069076F">
        <w:rPr>
          <w:rFonts w:ascii="Palatino Linotype" w:hAnsi="Palatino Linotype"/>
          <w:sz w:val="24"/>
          <w:szCs w:val="24"/>
          <w:lang w:val="es-ES"/>
        </w:rPr>
        <w:t xml:space="preserve">revelar </w:t>
      </w:r>
      <w:r w:rsidRPr="0069076F">
        <w:rPr>
          <w:rFonts w:ascii="Palatino Linotype" w:hAnsi="Palatino Linotype"/>
          <w:color w:val="000000"/>
          <w:sz w:val="24"/>
          <w:szCs w:val="24"/>
        </w:rPr>
        <w:t xml:space="preserve">la información de personal policial plenamente identificado, </w:t>
      </w:r>
      <w:r w:rsidR="009B19CF">
        <w:rPr>
          <w:rFonts w:ascii="Palatino Linotype" w:hAnsi="Palatino Linotype"/>
          <w:color w:val="000000"/>
          <w:sz w:val="24"/>
          <w:szCs w:val="24"/>
        </w:rPr>
        <w:t xml:space="preserve">se </w:t>
      </w:r>
      <w:r w:rsidRPr="0069076F">
        <w:rPr>
          <w:rFonts w:ascii="Palatino Linotype" w:hAnsi="Palatino Linotype"/>
          <w:color w:val="000000"/>
          <w:sz w:val="24"/>
          <w:szCs w:val="24"/>
        </w:rPr>
        <w:t>atenta de forma directa contra sus funciones de independencia y autonomía, a su libertad de actuación libre de coacción o interferencia</w:t>
      </w:r>
      <w:r w:rsidR="009B19CF">
        <w:rPr>
          <w:rFonts w:ascii="Palatino Linotype" w:hAnsi="Palatino Linotype"/>
          <w:color w:val="000000"/>
          <w:sz w:val="24"/>
          <w:szCs w:val="24"/>
        </w:rPr>
        <w:t xml:space="preserve"> e,</w:t>
      </w:r>
      <w:r w:rsidRPr="0069076F">
        <w:rPr>
          <w:rFonts w:ascii="Palatino Linotype" w:hAnsi="Palatino Linotype"/>
          <w:color w:val="000000"/>
          <w:sz w:val="24"/>
          <w:szCs w:val="24"/>
        </w:rPr>
        <w:t xml:space="preserve"> incluso, los inhibe a actuar bajo el criterio de objetividad.</w:t>
      </w:r>
    </w:p>
    <w:p w14:paraId="699F4827" w14:textId="77777777" w:rsidR="006D0F2B" w:rsidRDefault="006D0F2B" w:rsidP="00534438">
      <w:pPr>
        <w:spacing w:after="0" w:line="360" w:lineRule="auto"/>
        <w:contextualSpacing/>
        <w:jc w:val="both"/>
        <w:rPr>
          <w:rFonts w:ascii="Palatino Linotype" w:hAnsi="Palatino Linotype"/>
          <w:color w:val="000000"/>
          <w:sz w:val="24"/>
          <w:szCs w:val="24"/>
        </w:rPr>
      </w:pPr>
    </w:p>
    <w:p w14:paraId="1E9FFC2D" w14:textId="2FBFB70E"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otras palabras, </w:t>
      </w:r>
      <w:r w:rsidR="00BA5C8A">
        <w:rPr>
          <w:rFonts w:ascii="Palatino Linotype" w:hAnsi="Palatino Linotype"/>
          <w:sz w:val="24"/>
          <w:szCs w:val="24"/>
          <w:lang w:val="es-ES"/>
        </w:rPr>
        <w:t>la difusión de la</w:t>
      </w:r>
      <w:r>
        <w:rPr>
          <w:rFonts w:ascii="Palatino Linotype" w:hAnsi="Palatino Linotype"/>
          <w:sz w:val="24"/>
          <w:szCs w:val="24"/>
          <w:lang w:val="es-ES"/>
        </w:rPr>
        <w:t xml:space="preserve"> información requerida por el solicitante </w:t>
      </w:r>
      <w:r w:rsidR="00BA5C8A">
        <w:rPr>
          <w:rFonts w:ascii="Palatino Linotype" w:hAnsi="Palatino Linotype"/>
          <w:sz w:val="24"/>
          <w:szCs w:val="24"/>
          <w:lang w:val="es-ES"/>
        </w:rPr>
        <w:t xml:space="preserve">implica la posibilidad de que ésta llegase </w:t>
      </w:r>
      <w:r>
        <w:rPr>
          <w:rFonts w:ascii="Palatino Linotype" w:hAnsi="Palatino Linotype"/>
          <w:sz w:val="24"/>
          <w:szCs w:val="24"/>
          <w:lang w:val="es-ES"/>
        </w:rPr>
        <w:t xml:space="preserve">a miembros de la delincuencia organizada, quienes podrían atentar contra la vida, seguridad o salud, propias o de su familia, respecto del servidor público plenamente identificado. </w:t>
      </w:r>
    </w:p>
    <w:p w14:paraId="7A9A156C" w14:textId="77777777" w:rsidR="006D0F2B" w:rsidRDefault="006D0F2B" w:rsidP="00534438">
      <w:pPr>
        <w:spacing w:after="0" w:line="360" w:lineRule="auto"/>
        <w:contextualSpacing/>
        <w:jc w:val="both"/>
        <w:rPr>
          <w:rFonts w:ascii="Palatino Linotype" w:hAnsi="Palatino Linotype"/>
          <w:sz w:val="24"/>
          <w:szCs w:val="24"/>
          <w:lang w:val="es-ES"/>
        </w:rPr>
      </w:pPr>
    </w:p>
    <w:p w14:paraId="0434D097" w14:textId="388A4C58"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Por lo que los Ministros </w:t>
      </w:r>
      <w:r w:rsidR="00BA5C8A">
        <w:rPr>
          <w:rFonts w:ascii="Palatino Linotype" w:hAnsi="Palatino Linotype"/>
          <w:sz w:val="24"/>
          <w:szCs w:val="24"/>
          <w:lang w:val="es-ES"/>
        </w:rPr>
        <w:t>del</w:t>
      </w:r>
      <w:r>
        <w:rPr>
          <w:rFonts w:ascii="Palatino Linotype" w:hAnsi="Palatino Linotype"/>
          <w:sz w:val="24"/>
          <w:szCs w:val="24"/>
          <w:lang w:val="es-ES"/>
        </w:rPr>
        <w:t xml:space="preserve"> Máximo Tribunal consideraron que revelar  el nombre y cargo del personal administrativo pu</w:t>
      </w:r>
      <w:r w:rsidR="00BA5C8A">
        <w:rPr>
          <w:rFonts w:ascii="Palatino Linotype" w:hAnsi="Palatino Linotype"/>
          <w:sz w:val="24"/>
          <w:szCs w:val="24"/>
          <w:lang w:val="es-ES"/>
        </w:rPr>
        <w:t>ede</w:t>
      </w:r>
      <w:r>
        <w:rPr>
          <w:rFonts w:ascii="Palatino Linotype" w:hAnsi="Palatino Linotype"/>
          <w:sz w:val="24"/>
          <w:szCs w:val="24"/>
          <w:lang w:val="es-ES"/>
        </w:rPr>
        <w:t xml:space="preserve"> afectar potencialmente su seguridad, integridad y vida, ya que en cierta medida colaboran con las funciones sustantivas de procuración de justicia e investigación, al tener  acceso a información sensible</w:t>
      </w:r>
      <w:r w:rsidR="0001368B">
        <w:rPr>
          <w:rFonts w:ascii="Palatino Linotype" w:hAnsi="Palatino Linotype"/>
          <w:sz w:val="24"/>
          <w:szCs w:val="24"/>
          <w:lang w:val="es-ES"/>
        </w:rPr>
        <w:t>;</w:t>
      </w:r>
      <w:r>
        <w:rPr>
          <w:rFonts w:ascii="Palatino Linotype" w:hAnsi="Palatino Linotype"/>
          <w:sz w:val="24"/>
          <w:szCs w:val="24"/>
          <w:lang w:val="es-ES"/>
        </w:rPr>
        <w:t xml:space="preserve"> por ello, no </w:t>
      </w:r>
      <w:r w:rsidR="0001368B">
        <w:rPr>
          <w:rFonts w:ascii="Palatino Linotype" w:hAnsi="Palatino Linotype"/>
          <w:sz w:val="24"/>
          <w:szCs w:val="24"/>
          <w:lang w:val="es-ES"/>
        </w:rPr>
        <w:t>englobarlos</w:t>
      </w:r>
      <w:r>
        <w:rPr>
          <w:rFonts w:ascii="Palatino Linotype" w:hAnsi="Palatino Linotype"/>
          <w:sz w:val="24"/>
          <w:szCs w:val="24"/>
          <w:lang w:val="es-ES"/>
        </w:rPr>
        <w:t xml:space="preserve"> dentro de un espectro de protección estricto </w:t>
      </w:r>
      <w:r w:rsidR="0001368B">
        <w:rPr>
          <w:rFonts w:ascii="Palatino Linotype" w:hAnsi="Palatino Linotype"/>
          <w:sz w:val="24"/>
          <w:szCs w:val="24"/>
          <w:lang w:val="es-ES"/>
        </w:rPr>
        <w:t xml:space="preserve">por tener conocimiento o acceso a información sustancial del trabajo de investigación, persecución y prevención de delitos, </w:t>
      </w:r>
      <w:r>
        <w:rPr>
          <w:rFonts w:ascii="Palatino Linotype" w:hAnsi="Palatino Linotype"/>
          <w:sz w:val="24"/>
          <w:szCs w:val="24"/>
          <w:lang w:val="es-ES"/>
        </w:rPr>
        <w:t>pudie</w:t>
      </w:r>
      <w:r w:rsidR="0001368B">
        <w:rPr>
          <w:rFonts w:ascii="Palatino Linotype" w:hAnsi="Palatino Linotype"/>
          <w:sz w:val="24"/>
          <w:szCs w:val="24"/>
          <w:lang w:val="es-ES"/>
        </w:rPr>
        <w:t>se</w:t>
      </w:r>
      <w:r>
        <w:rPr>
          <w:rFonts w:ascii="Palatino Linotype" w:hAnsi="Palatino Linotype"/>
          <w:sz w:val="24"/>
          <w:szCs w:val="24"/>
          <w:lang w:val="es-ES"/>
        </w:rPr>
        <w:t xml:space="preserve"> incluirlos en un estado de discriminación, vulnerabilidad y riesgo frente a la delincuencia organizada</w:t>
      </w:r>
      <w:r w:rsidR="0001368B">
        <w:rPr>
          <w:rFonts w:ascii="Palatino Linotype" w:hAnsi="Palatino Linotype"/>
          <w:sz w:val="24"/>
          <w:szCs w:val="24"/>
          <w:lang w:val="es-ES"/>
        </w:rPr>
        <w:t>.</w:t>
      </w:r>
    </w:p>
    <w:p w14:paraId="7932EA2C" w14:textId="77777777" w:rsidR="006D0F2B" w:rsidRDefault="006D0F2B" w:rsidP="00534438">
      <w:pPr>
        <w:spacing w:after="0" w:line="360" w:lineRule="auto"/>
        <w:contextualSpacing/>
        <w:jc w:val="both"/>
        <w:rPr>
          <w:rFonts w:ascii="Palatino Linotype" w:hAnsi="Palatino Linotype"/>
          <w:sz w:val="24"/>
          <w:szCs w:val="24"/>
          <w:lang w:val="es-ES"/>
        </w:rPr>
      </w:pPr>
    </w:p>
    <w:p w14:paraId="314E9877" w14:textId="77777777"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 xml:space="preserve">En esta perspectiva, se advierte una evidente y clara conexión entre la información requerida y una afectación desproporcionada respecto del personal encargado de la seguridad pública. </w:t>
      </w:r>
    </w:p>
    <w:p w14:paraId="2F3BD816" w14:textId="77777777" w:rsidR="006D0F2B" w:rsidRDefault="006D0F2B" w:rsidP="00534438">
      <w:pPr>
        <w:spacing w:after="0" w:line="360" w:lineRule="auto"/>
        <w:contextualSpacing/>
        <w:jc w:val="both"/>
        <w:rPr>
          <w:rFonts w:ascii="Palatino Linotype" w:hAnsi="Palatino Linotype"/>
          <w:sz w:val="24"/>
          <w:szCs w:val="24"/>
          <w:lang w:val="es-ES"/>
        </w:rPr>
      </w:pPr>
    </w:p>
    <w:p w14:paraId="25DD8914" w14:textId="76FBE25B" w:rsidR="006D0F2B" w:rsidRPr="00C55A08" w:rsidRDefault="0001368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La Suprema Corte de Justicia de la Nación</w:t>
      </w:r>
      <w:r w:rsidR="006D0F2B">
        <w:rPr>
          <w:rFonts w:ascii="Palatino Linotype" w:hAnsi="Palatino Linotype"/>
          <w:sz w:val="24"/>
          <w:szCs w:val="24"/>
          <w:lang w:val="es-ES"/>
        </w:rPr>
        <w:t xml:space="preserve"> destacó que </w:t>
      </w:r>
      <w:r w:rsidR="006D0F2B" w:rsidRPr="00C55A08">
        <w:rPr>
          <w:rFonts w:ascii="Palatino Linotype" w:hAnsi="Palatino Linotype"/>
          <w:sz w:val="24"/>
          <w:szCs w:val="24"/>
          <w:lang w:val="es-ES"/>
        </w:rPr>
        <w:t xml:space="preserve">en </w:t>
      </w:r>
      <w:r w:rsidR="006D0F2B">
        <w:rPr>
          <w:rFonts w:ascii="Palatino Linotype" w:hAnsi="Palatino Linotype"/>
          <w:sz w:val="24"/>
          <w:szCs w:val="24"/>
          <w:lang w:val="es-ES"/>
        </w:rPr>
        <w:t xml:space="preserve">el </w:t>
      </w:r>
      <w:r w:rsidR="006D0F2B" w:rsidRPr="00C55A08">
        <w:rPr>
          <w:rFonts w:ascii="Palatino Linotype" w:hAnsi="Palatino Linotype"/>
          <w:sz w:val="24"/>
          <w:szCs w:val="24"/>
          <w:lang w:val="es-ES"/>
        </w:rPr>
        <w:t xml:space="preserve">Caso Masacre de la Aldea Los Josefinos VS Guatemala, la Corte Interamericana de los Derechos Humanos ha señalado que los Estados tienen la obligación de </w:t>
      </w:r>
      <w:r w:rsidR="006D0F2B" w:rsidRPr="00C55A08">
        <w:rPr>
          <w:rFonts w:ascii="Palatino Linotype" w:hAnsi="Palatino Linotype"/>
          <w:sz w:val="24"/>
          <w:szCs w:val="24"/>
        </w:rPr>
        <w:t>asegurar que los funcionarios estatales cuenten con las debidas garantías de seguridad para llevar a cabo sus funciones en la investigación del delito.</w:t>
      </w:r>
    </w:p>
    <w:p w14:paraId="3EE089E0" w14:textId="77777777" w:rsidR="006D0F2B" w:rsidRDefault="006D0F2B" w:rsidP="00534438">
      <w:pPr>
        <w:spacing w:after="0" w:line="360" w:lineRule="auto"/>
        <w:contextualSpacing/>
        <w:jc w:val="both"/>
        <w:rPr>
          <w:rFonts w:ascii="Palatino Linotype" w:hAnsi="Palatino Linotype"/>
          <w:sz w:val="24"/>
          <w:szCs w:val="24"/>
          <w:lang w:val="es-ES"/>
        </w:rPr>
      </w:pPr>
    </w:p>
    <w:p w14:paraId="47162666" w14:textId="69F16D71" w:rsidR="006D0F2B" w:rsidRDefault="006D0F2B" w:rsidP="00534438">
      <w:pPr>
        <w:spacing w:after="0" w:line="360" w:lineRule="auto"/>
        <w:contextualSpacing/>
        <w:jc w:val="both"/>
        <w:rPr>
          <w:rFonts w:ascii="Palatino Linotype" w:hAnsi="Palatino Linotype"/>
          <w:sz w:val="24"/>
          <w:szCs w:val="24"/>
          <w:lang w:val="es-ES"/>
        </w:rPr>
      </w:pPr>
      <w:r>
        <w:rPr>
          <w:rFonts w:ascii="Palatino Linotype" w:hAnsi="Palatino Linotype"/>
          <w:sz w:val="24"/>
          <w:szCs w:val="24"/>
          <w:lang w:val="es-ES"/>
        </w:rPr>
        <w:t>Además, señaló que en términos de lo expuesto en la Observación general número 36 sobre el artículo 6 del Pacto Internacional de Derechos Civiles y Políticos, los Estados partes tienen el deber de proteger el derecho a la vida e incluso adoptar medidas especiales de protección hacia las personas en situación de vulnerabilidad cuya vida se encuentra en una situación de riesgo particular debido a amenazas concretas o patrones de violencia preexistentes, englobando a defensores de derechos humanos, periodistas, figuras públicas, testigos de delitos, victimas, niños, apátridas o incluso miembros de seguridad policiaca.</w:t>
      </w:r>
    </w:p>
    <w:p w14:paraId="37CBF098" w14:textId="77777777" w:rsidR="006D0F2B" w:rsidRDefault="006D0F2B" w:rsidP="00534438">
      <w:pPr>
        <w:spacing w:after="0" w:line="360" w:lineRule="auto"/>
        <w:contextualSpacing/>
        <w:jc w:val="both"/>
        <w:rPr>
          <w:rFonts w:ascii="Palatino Linotype" w:hAnsi="Palatino Linotype"/>
          <w:sz w:val="24"/>
          <w:szCs w:val="24"/>
          <w:lang w:val="es-ES"/>
        </w:rPr>
      </w:pPr>
    </w:p>
    <w:p w14:paraId="25D9D362" w14:textId="0004E6E4" w:rsidR="006D0F2B" w:rsidRDefault="00383C9C" w:rsidP="00534438">
      <w:pPr>
        <w:spacing w:after="0" w:line="360" w:lineRule="auto"/>
        <w:contextualSpacing/>
        <w:jc w:val="both"/>
        <w:rPr>
          <w:rFonts w:ascii="Palatino Linotype" w:hAnsi="Palatino Linotype"/>
          <w:sz w:val="24"/>
          <w:szCs w:val="24"/>
        </w:rPr>
      </w:pPr>
      <w:r>
        <w:rPr>
          <w:rFonts w:ascii="Palatino Linotype" w:hAnsi="Palatino Linotype"/>
          <w:sz w:val="24"/>
          <w:szCs w:val="24"/>
        </w:rPr>
        <w:t>Argumentos con los que</w:t>
      </w:r>
      <w:r w:rsidR="006D0F2B" w:rsidRPr="004D58D9">
        <w:rPr>
          <w:rFonts w:ascii="Palatino Linotype" w:hAnsi="Palatino Linotype"/>
          <w:sz w:val="24"/>
          <w:szCs w:val="24"/>
        </w:rPr>
        <w:t xml:space="preserve"> se coincide plenamente</w:t>
      </w:r>
      <w:r w:rsidR="006D0F2B">
        <w:rPr>
          <w:rFonts w:ascii="Palatino Linotype" w:hAnsi="Palatino Linotype"/>
          <w:sz w:val="24"/>
          <w:szCs w:val="24"/>
        </w:rPr>
        <w:t>, por lo que se estima procedente que</w:t>
      </w:r>
      <w:r w:rsidR="006D0F2B">
        <w:rPr>
          <w:rFonts w:ascii="Palatino Linotype" w:hAnsi="Palatino Linotype"/>
          <w:sz w:val="24"/>
          <w:szCs w:val="24"/>
          <w:lang w:val="es-ES"/>
        </w:rPr>
        <w:t xml:space="preserve"> el nombre y cargo del personal sustantivo y administrativo encargado de la seguridad pública es susceptible de clasificación por parte de los </w:t>
      </w:r>
      <w:r w:rsidR="006D0F2B" w:rsidRPr="000A07D4">
        <w:rPr>
          <w:rFonts w:ascii="Palatino Linotype" w:hAnsi="Palatino Linotype"/>
          <w:sz w:val="24"/>
          <w:szCs w:val="24"/>
        </w:rPr>
        <w:t>Sujetos</w:t>
      </w:r>
      <w:r w:rsidR="006D0F2B" w:rsidRPr="000A07D4">
        <w:rPr>
          <w:rFonts w:ascii="Palatino Linotype" w:hAnsi="Palatino Linotype"/>
          <w:b/>
          <w:sz w:val="24"/>
          <w:szCs w:val="24"/>
        </w:rPr>
        <w:t xml:space="preserve"> </w:t>
      </w:r>
      <w:r w:rsidR="006D0F2B" w:rsidRPr="00010C82">
        <w:rPr>
          <w:rFonts w:ascii="Palatino Linotype" w:hAnsi="Palatino Linotype"/>
          <w:bCs/>
          <w:sz w:val="24"/>
          <w:szCs w:val="24"/>
        </w:rPr>
        <w:t>Obligados</w:t>
      </w:r>
      <w:r w:rsidR="006D0F2B" w:rsidRPr="000A07D4">
        <w:rPr>
          <w:rFonts w:ascii="Palatino Linotype" w:hAnsi="Palatino Linotype"/>
          <w:b/>
          <w:sz w:val="24"/>
          <w:szCs w:val="24"/>
        </w:rPr>
        <w:t xml:space="preserve"> </w:t>
      </w:r>
      <w:r w:rsidR="006D0F2B">
        <w:rPr>
          <w:rFonts w:ascii="Palatino Linotype" w:hAnsi="Palatino Linotype"/>
          <w:sz w:val="24"/>
          <w:szCs w:val="24"/>
        </w:rPr>
        <w:t xml:space="preserve">como información reservada, </w:t>
      </w:r>
      <w:r w:rsidR="006D0F2B" w:rsidRPr="000A07D4">
        <w:rPr>
          <w:rFonts w:ascii="Palatino Linotype" w:hAnsi="Palatino Linotype"/>
          <w:sz w:val="24"/>
          <w:szCs w:val="24"/>
        </w:rPr>
        <w:t xml:space="preserve">de acuerdo con las bases y los principios inmersos en la normatividad aplicable. </w:t>
      </w:r>
    </w:p>
    <w:p w14:paraId="308F1A1D" w14:textId="77777777" w:rsidR="006D0F2B" w:rsidRDefault="006D0F2B" w:rsidP="00534438">
      <w:pPr>
        <w:spacing w:after="0" w:line="360" w:lineRule="auto"/>
        <w:jc w:val="both"/>
        <w:rPr>
          <w:rFonts w:ascii="Palatino Linotype" w:hAnsi="Palatino Linotype"/>
          <w:sz w:val="24"/>
          <w:szCs w:val="24"/>
        </w:rPr>
      </w:pPr>
    </w:p>
    <w:p w14:paraId="7CE99742" w14:textId="77777777" w:rsidR="006D0F2B" w:rsidRDefault="006D0F2B" w:rsidP="00534438">
      <w:pPr>
        <w:autoSpaceDE w:val="0"/>
        <w:autoSpaceDN w:val="0"/>
        <w:adjustRightInd w:val="0"/>
        <w:spacing w:after="0" w:line="360" w:lineRule="auto"/>
        <w:jc w:val="both"/>
        <w:rPr>
          <w:rFonts w:ascii="Palatino Linotype" w:hAnsi="Palatino Linotype"/>
          <w:sz w:val="24"/>
          <w:szCs w:val="24"/>
        </w:rPr>
      </w:pPr>
      <w:r w:rsidRPr="000A07D4">
        <w:rPr>
          <w:rFonts w:ascii="Palatino Linotype" w:hAnsi="Palatino Linotype" w:cs="Arial"/>
          <w:sz w:val="24"/>
          <w:szCs w:val="24"/>
        </w:rPr>
        <w:t xml:space="preserve">Luego entonces, </w:t>
      </w:r>
      <w:r w:rsidRPr="000A07D4">
        <w:rPr>
          <w:rFonts w:ascii="Palatino Linotype" w:hAnsi="Palatino Linotype"/>
          <w:sz w:val="24"/>
          <w:szCs w:val="24"/>
        </w:rPr>
        <w:t xml:space="preserve">para realizar la reserva </w:t>
      </w:r>
      <w:r>
        <w:rPr>
          <w:rFonts w:ascii="Palatino Linotype" w:hAnsi="Palatino Linotype"/>
          <w:sz w:val="24"/>
          <w:szCs w:val="24"/>
        </w:rPr>
        <w:t xml:space="preserve">de </w:t>
      </w:r>
      <w:r w:rsidRPr="000A07D4">
        <w:rPr>
          <w:rFonts w:ascii="Palatino Linotype" w:hAnsi="Palatino Linotype"/>
          <w:sz w:val="24"/>
          <w:szCs w:val="24"/>
        </w:rPr>
        <w:t xml:space="preserve">la información, no basta con invocar alguna de las causales previstas en la Ley de transparencia local. En sentido contrario, dicha valoración debe realizarse a través de lo que se conoce como </w:t>
      </w:r>
      <w:r w:rsidRPr="00383C9C">
        <w:rPr>
          <w:rFonts w:ascii="Palatino Linotype" w:hAnsi="Palatino Linotype"/>
          <w:b/>
          <w:iCs/>
          <w:sz w:val="24"/>
          <w:szCs w:val="24"/>
        </w:rPr>
        <w:t>“prueba de daño”</w:t>
      </w:r>
      <w:r w:rsidRPr="00383C9C">
        <w:rPr>
          <w:rFonts w:ascii="Palatino Linotype" w:hAnsi="Palatino Linotype"/>
          <w:bCs/>
          <w:iCs/>
          <w:sz w:val="24"/>
          <w:szCs w:val="24"/>
        </w:rPr>
        <w:t>,</w:t>
      </w:r>
      <w:r w:rsidRPr="000A07D4">
        <w:rPr>
          <w:rFonts w:ascii="Palatino Linotype" w:hAnsi="Palatino Linotype"/>
          <w:b/>
          <w:i/>
          <w:sz w:val="24"/>
          <w:szCs w:val="24"/>
        </w:rPr>
        <w:t xml:space="preserve"> </w:t>
      </w:r>
      <w:r w:rsidRPr="000A07D4">
        <w:rPr>
          <w:rFonts w:ascii="Palatino Linotype" w:hAnsi="Palatino Linotype"/>
          <w:sz w:val="24"/>
          <w:szCs w:val="24"/>
        </w:rPr>
        <w:t>que consiste en exponer los argumentos y razones, basados en elementos objetivos o verificables, a partir de los cuales se derive que la divulgación de información, en particular, puede afectar, poner en riesgo o dañar el interés protegido</w:t>
      </w:r>
      <w:r w:rsidRPr="000A07D4">
        <w:rPr>
          <w:sz w:val="24"/>
          <w:szCs w:val="24"/>
          <w:vertAlign w:val="superscript"/>
        </w:rPr>
        <w:footnoteReference w:id="1"/>
      </w:r>
      <w:r w:rsidRPr="000A07D4">
        <w:rPr>
          <w:rFonts w:ascii="Palatino Linotype" w:hAnsi="Palatino Linotype"/>
          <w:sz w:val="24"/>
          <w:szCs w:val="24"/>
        </w:rPr>
        <w:t xml:space="preserve">. Asimismo, ésta no debe basarse en meras </w:t>
      </w:r>
      <w:r w:rsidRPr="000A07D4">
        <w:rPr>
          <w:rFonts w:ascii="Palatino Linotype" w:hAnsi="Palatino Linotype"/>
          <w:sz w:val="24"/>
          <w:szCs w:val="24"/>
        </w:rPr>
        <w:lastRenderedPageBreak/>
        <w:t>especulaciones o suposiciones, sino en elementos objetivos que deban evaluar que existe un riego actual e inminente</w:t>
      </w:r>
      <w:r w:rsidRPr="000A07D4">
        <w:rPr>
          <w:sz w:val="24"/>
          <w:szCs w:val="24"/>
          <w:vertAlign w:val="superscript"/>
        </w:rPr>
        <w:footnoteReference w:id="2"/>
      </w:r>
      <w:r w:rsidRPr="000A07D4">
        <w:rPr>
          <w:rFonts w:ascii="Palatino Linotype" w:hAnsi="Palatino Linotype"/>
          <w:sz w:val="24"/>
          <w:szCs w:val="24"/>
        </w:rPr>
        <w:t>.</w:t>
      </w:r>
    </w:p>
    <w:p w14:paraId="285CBF2E" w14:textId="77777777" w:rsidR="006D0F2B" w:rsidRPr="000A07D4" w:rsidRDefault="006D0F2B" w:rsidP="00534438">
      <w:pPr>
        <w:autoSpaceDE w:val="0"/>
        <w:autoSpaceDN w:val="0"/>
        <w:adjustRightInd w:val="0"/>
        <w:spacing w:after="0" w:line="360" w:lineRule="auto"/>
        <w:jc w:val="both"/>
        <w:rPr>
          <w:rFonts w:ascii="Palatino Linotype" w:hAnsi="Palatino Linotype"/>
          <w:b/>
          <w:sz w:val="24"/>
          <w:szCs w:val="24"/>
        </w:rPr>
      </w:pPr>
    </w:p>
    <w:p w14:paraId="091F1976" w14:textId="571A7704" w:rsidR="006D0F2B" w:rsidRPr="00383C9C"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Adicionalmente los artículos 129 y 134 último párrafo de la Ley Estatal y 104 y 108 último párrafo de la Ley General, respectivamente, determinan que se debe realizar un análisis caso por caso, aplicando la prueba de daño. Esto implica que la motivación, que acredite la correspondencia entre el supuesto de hecho y la hipótesis normativa señalando las razones, motivos o circunstancias es una parte del acuerdo y otra parte, distinta, es la que corresponde a la prueba de daño, la que debe aplicarse caso por caso, esto es, no se puede hacer una prueba de daño de un expediente </w:t>
      </w:r>
      <w:r w:rsidRPr="00383C9C">
        <w:rPr>
          <w:rFonts w:ascii="Palatino Linotype" w:hAnsi="Palatino Linotype"/>
          <w:color w:val="000000" w:themeColor="text1"/>
          <w:sz w:val="24"/>
          <w:szCs w:val="24"/>
        </w:rPr>
        <w:t xml:space="preserve">completo, </w:t>
      </w:r>
      <w:r w:rsidRPr="00383C9C">
        <w:rPr>
          <w:rFonts w:ascii="Palatino Linotype" w:hAnsi="Palatino Linotype"/>
          <w:b/>
          <w:color w:val="000000" w:themeColor="text1"/>
          <w:sz w:val="24"/>
          <w:szCs w:val="24"/>
        </w:rPr>
        <w:t>sino de cada uno de los documentos que lo integran</w:t>
      </w:r>
      <w:r w:rsidRPr="00383C9C">
        <w:rPr>
          <w:rFonts w:ascii="Palatino Linotype" w:hAnsi="Palatino Linotype"/>
          <w:color w:val="000000" w:themeColor="text1"/>
          <w:sz w:val="24"/>
          <w:szCs w:val="24"/>
        </w:rPr>
        <w:t>.</w:t>
      </w:r>
    </w:p>
    <w:p w14:paraId="2D54CB84"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09207DDE" w14:textId="6D37A301"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 xml:space="preserve">Para aplicar la prueba de daño, se deberán de precisar las razones objetivas por las que la apertura genera una afectación, acreditando </w:t>
      </w:r>
      <w:r w:rsidR="00383C9C">
        <w:rPr>
          <w:rFonts w:ascii="Palatino Linotype" w:hAnsi="Palatino Linotype"/>
          <w:color w:val="000000" w:themeColor="text1"/>
          <w:sz w:val="24"/>
          <w:szCs w:val="24"/>
        </w:rPr>
        <w:t>lo siguiente</w:t>
      </w:r>
      <w:r w:rsidRPr="000A07D4">
        <w:rPr>
          <w:rFonts w:ascii="Palatino Linotype" w:hAnsi="Palatino Linotype"/>
          <w:color w:val="000000" w:themeColor="text1"/>
          <w:sz w:val="24"/>
          <w:szCs w:val="24"/>
        </w:rPr>
        <w:t>:</w:t>
      </w:r>
    </w:p>
    <w:p w14:paraId="744CDE31" w14:textId="77777777" w:rsidR="00383C9C" w:rsidRPr="000A07D4" w:rsidRDefault="00383C9C" w:rsidP="00534438">
      <w:pPr>
        <w:spacing w:after="0" w:line="360" w:lineRule="auto"/>
        <w:jc w:val="both"/>
        <w:rPr>
          <w:rFonts w:ascii="Palatino Linotype" w:hAnsi="Palatino Linotype"/>
          <w:color w:val="000000" w:themeColor="text1"/>
          <w:sz w:val="24"/>
          <w:szCs w:val="24"/>
        </w:rPr>
      </w:pPr>
    </w:p>
    <w:p w14:paraId="3E895164" w14:textId="06694D88"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La divulgación de la información representa un riesgo real, demostrable e identificable del perjuicio significativo al interés público o a la seguridad pública; </w:t>
      </w:r>
    </w:p>
    <w:p w14:paraId="35043575" w14:textId="10D009B0"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Times"/>
          <w:color w:val="000000" w:themeColor="text1"/>
          <w:lang w:val="es-ES_tradnl"/>
        </w:rPr>
      </w:pPr>
      <w:r w:rsidRPr="004A6C90">
        <w:rPr>
          <w:rFonts w:ascii="Palatino Linotype" w:hAnsi="Palatino Linotype" w:cs="Bookman Old Style"/>
          <w:color w:val="000000" w:themeColor="text1"/>
          <w:lang w:val="es-ES_tradnl"/>
        </w:rPr>
        <w:t xml:space="preserve">El riesgo de perjuicio que supondría la divulgación supera el interés público general de que se difunda; y </w:t>
      </w:r>
    </w:p>
    <w:p w14:paraId="7D8391F5" w14:textId="05AA85AA" w:rsidR="006D0F2B" w:rsidRPr="004A6C90" w:rsidRDefault="006D0F2B" w:rsidP="004A6C90">
      <w:pPr>
        <w:pStyle w:val="Prrafodelista"/>
        <w:widowControl w:val="0"/>
        <w:numPr>
          <w:ilvl w:val="0"/>
          <w:numId w:val="18"/>
        </w:numPr>
        <w:autoSpaceDE w:val="0"/>
        <w:autoSpaceDN w:val="0"/>
        <w:adjustRightInd w:val="0"/>
        <w:spacing w:line="360" w:lineRule="auto"/>
        <w:ind w:right="-2"/>
        <w:jc w:val="both"/>
        <w:rPr>
          <w:rFonts w:ascii="Palatino Linotype" w:hAnsi="Palatino Linotype" w:cs="Bookman Old Style"/>
          <w:color w:val="000000" w:themeColor="text1"/>
          <w:lang w:val="es-ES_tradnl"/>
        </w:rPr>
      </w:pPr>
      <w:r w:rsidRPr="004A6C90">
        <w:rPr>
          <w:rFonts w:ascii="Palatino Linotype" w:hAnsi="Palatino Linotype" w:cs="Bookman Old Style"/>
          <w:color w:val="000000" w:themeColor="text1"/>
          <w:lang w:val="es-ES_tradnl"/>
        </w:rPr>
        <w:t xml:space="preserve">La limitación se adecua al principio de proporcionalidad y representa el medio menos restrictivo disponible para evitar el perjuicio. </w:t>
      </w:r>
    </w:p>
    <w:p w14:paraId="64ECEED9" w14:textId="77777777" w:rsidR="004A6C90" w:rsidRPr="004A6C90" w:rsidRDefault="004A6C90" w:rsidP="004A6C90">
      <w:pPr>
        <w:widowControl w:val="0"/>
        <w:autoSpaceDE w:val="0"/>
        <w:autoSpaceDN w:val="0"/>
        <w:adjustRightInd w:val="0"/>
        <w:spacing w:after="0" w:line="360" w:lineRule="auto"/>
        <w:ind w:right="-2"/>
        <w:jc w:val="both"/>
        <w:rPr>
          <w:rFonts w:ascii="Palatino Linotype" w:hAnsi="Palatino Linotype" w:cs="Times"/>
          <w:color w:val="000000" w:themeColor="text1"/>
          <w:sz w:val="24"/>
          <w:szCs w:val="24"/>
          <w:lang w:val="es-ES_tradnl"/>
        </w:rPr>
      </w:pPr>
    </w:p>
    <w:p w14:paraId="414EB7B7" w14:textId="56B96259" w:rsidR="006D0F2B" w:rsidRDefault="006D0F2B" w:rsidP="00534438">
      <w:pPr>
        <w:spacing w:after="0" w:line="360" w:lineRule="auto"/>
        <w:jc w:val="both"/>
        <w:rPr>
          <w:rFonts w:ascii="Palatino Linotype" w:hAnsi="Palatino Linotype"/>
          <w:color w:val="000000" w:themeColor="text1"/>
          <w:sz w:val="24"/>
          <w:szCs w:val="24"/>
        </w:rPr>
      </w:pPr>
      <w:r w:rsidRPr="000A07D4">
        <w:rPr>
          <w:rFonts w:ascii="Palatino Linotype" w:hAnsi="Palatino Linotype"/>
          <w:color w:val="000000" w:themeColor="text1"/>
          <w:sz w:val="24"/>
          <w:szCs w:val="24"/>
        </w:rPr>
        <w:t>Por lo que entonces, el primer supuesto de la prueba de daño consiste en acreditar que la entrega de la información provoca tres aspectos concurrentes: 1) la contingencia o proximidad de un daño, un perjuicio o lesión que tiene existencia objetiva, que se puede manifestar, declarar o probar mediante cualquier género de demostración a partir de proporcionar datos necesarios para reconocer el daño, perjuicio o lesión que provocaría a un interés p</w:t>
      </w:r>
      <w:r w:rsidR="004A6C90">
        <w:rPr>
          <w:rFonts w:ascii="Palatino Linotype" w:hAnsi="Palatino Linotype"/>
          <w:color w:val="000000" w:themeColor="text1"/>
          <w:sz w:val="24"/>
          <w:szCs w:val="24"/>
        </w:rPr>
        <w:t>úblico o a la seguridad pública; 2) i</w:t>
      </w:r>
      <w:r w:rsidRPr="000A07D4">
        <w:rPr>
          <w:rFonts w:ascii="Palatino Linotype" w:hAnsi="Palatino Linotype"/>
          <w:color w:val="000000" w:themeColor="text1"/>
          <w:sz w:val="24"/>
          <w:szCs w:val="24"/>
        </w:rPr>
        <w:t>dentificado ese riesgo, se debe demostrar que el mismo supera el interés público general porqu</w:t>
      </w:r>
      <w:r w:rsidR="004A6C90">
        <w:rPr>
          <w:rFonts w:ascii="Palatino Linotype" w:hAnsi="Palatino Linotype"/>
          <w:color w:val="000000" w:themeColor="text1"/>
          <w:sz w:val="24"/>
          <w:szCs w:val="24"/>
        </w:rPr>
        <w:t xml:space="preserve">e se difunda dicha información; y 3) por último, </w:t>
      </w:r>
      <w:r w:rsidRPr="000A07D4">
        <w:rPr>
          <w:rFonts w:ascii="Palatino Linotype" w:hAnsi="Palatino Linotype"/>
          <w:color w:val="000000" w:themeColor="text1"/>
          <w:sz w:val="24"/>
          <w:szCs w:val="24"/>
        </w:rPr>
        <w:t>que la limitación es acorde con el principio de proporcionalidad, para ello, se sugiere emplear los tres juicios propuestos por la Corte Constitucional Colombiana</w:t>
      </w:r>
      <w:r w:rsidRPr="000A07D4">
        <w:rPr>
          <w:rStyle w:val="Refdenotaalpie"/>
          <w:rFonts w:ascii="Palatino Linotype" w:hAnsi="Palatino Linotype"/>
          <w:color w:val="000000" w:themeColor="text1"/>
        </w:rPr>
        <w:footnoteReference w:id="3"/>
      </w:r>
      <w:r w:rsidRPr="000A07D4">
        <w:rPr>
          <w:rFonts w:ascii="Palatino Linotype" w:hAnsi="Palatino Linotype"/>
          <w:color w:val="000000" w:themeColor="text1"/>
          <w:sz w:val="24"/>
          <w:szCs w:val="24"/>
        </w:rPr>
        <w:t>, siguiendo el principio de ponderación propuesto por el Tribunal Constitucional Alemán,</w:t>
      </w:r>
      <w:r w:rsidRPr="000A07D4">
        <w:rPr>
          <w:rStyle w:val="Refdenotaalpie"/>
          <w:rFonts w:ascii="Palatino Linotype" w:hAnsi="Palatino Linotype"/>
          <w:color w:val="000000" w:themeColor="text1"/>
        </w:rPr>
        <w:footnoteReference w:id="4"/>
      </w:r>
      <w:r w:rsidRPr="000A07D4">
        <w:rPr>
          <w:rFonts w:ascii="Palatino Linotype" w:hAnsi="Palatino Linotype"/>
          <w:color w:val="000000" w:themeColor="text1"/>
          <w:sz w:val="24"/>
          <w:szCs w:val="24"/>
        </w:rPr>
        <w:t xml:space="preserve"> el juicio de idoneidad, que la medida adoptada sea la idónea para el ejercicio del derecho; de necesidad, que sea necearía para que el derecho que prevalece se ejerza y el de estricta </w:t>
      </w:r>
      <w:r w:rsidRPr="000A07D4">
        <w:rPr>
          <w:rFonts w:ascii="Palatino Linotype" w:hAnsi="Palatino Linotype"/>
          <w:color w:val="000000" w:themeColor="text1"/>
          <w:sz w:val="24"/>
          <w:szCs w:val="24"/>
        </w:rPr>
        <w:lastRenderedPageBreak/>
        <w:t>proporcionalidad esto es, que el derecho que prevalezca sea en la dimensión estrictamente proporcional al derecho que retrocede.</w:t>
      </w:r>
      <w:r w:rsidR="004A6C90">
        <w:rPr>
          <w:rFonts w:ascii="Palatino Linotype" w:hAnsi="Palatino Linotype"/>
          <w:color w:val="000000" w:themeColor="text1"/>
          <w:sz w:val="24"/>
          <w:szCs w:val="24"/>
        </w:rPr>
        <w:t xml:space="preserve"> </w:t>
      </w:r>
      <w:r w:rsidRPr="000A07D4">
        <w:rPr>
          <w:rFonts w:ascii="Palatino Linotype" w:hAnsi="Palatino Linotype"/>
          <w:color w:val="000000" w:themeColor="text1"/>
          <w:sz w:val="24"/>
          <w:szCs w:val="24"/>
        </w:rPr>
        <w:t>Es así, que al configurarse tales requisitos, se otorga certidumbre jurídica y se protege la esfera más íntima del derecho humano constitucional y convencionalmente reconocido.</w:t>
      </w:r>
    </w:p>
    <w:p w14:paraId="732263AB" w14:textId="77777777" w:rsidR="004A6C90" w:rsidRDefault="004A6C90" w:rsidP="00534438">
      <w:pPr>
        <w:spacing w:after="0" w:line="360" w:lineRule="auto"/>
        <w:jc w:val="both"/>
        <w:rPr>
          <w:rFonts w:ascii="Palatino Linotype" w:hAnsi="Palatino Linotype"/>
          <w:sz w:val="24"/>
          <w:szCs w:val="24"/>
          <w:lang w:val="es-ES"/>
        </w:rPr>
      </w:pPr>
    </w:p>
    <w:p w14:paraId="619106BE" w14:textId="1EFA92AD" w:rsidR="006D0F2B" w:rsidRDefault="006D0F2B" w:rsidP="00534438">
      <w:pPr>
        <w:pStyle w:val="Citas"/>
        <w:spacing w:before="0" w:after="0"/>
        <w:ind w:left="0" w:right="-3"/>
        <w:rPr>
          <w:i w:val="0"/>
          <w:sz w:val="24"/>
          <w:lang w:val="es-ES"/>
        </w:rPr>
      </w:pPr>
      <w:r w:rsidRPr="00F84735">
        <w:rPr>
          <w:i w:val="0"/>
          <w:iCs/>
          <w:sz w:val="24"/>
          <w:lang w:val="es-ES"/>
        </w:rPr>
        <w:t>En conclusión, este voto particular se emite con la intención de que se tome en cuenta</w:t>
      </w:r>
      <w:r>
        <w:rPr>
          <w:i w:val="0"/>
          <w:iCs/>
          <w:sz w:val="24"/>
          <w:lang w:val="es-ES"/>
        </w:rPr>
        <w:t xml:space="preserve">, </w:t>
      </w:r>
      <w:r w:rsidR="00233D10">
        <w:rPr>
          <w:i w:val="0"/>
          <w:sz w:val="24"/>
          <w:lang w:val="es-ES"/>
        </w:rPr>
        <w:t>en opinión</w:t>
      </w:r>
      <w:r w:rsidRPr="00F86EDD">
        <w:rPr>
          <w:i w:val="0"/>
          <w:sz w:val="24"/>
          <w:lang w:val="es-ES"/>
        </w:rPr>
        <w:t xml:space="preserve"> de quien suscribe, </w:t>
      </w:r>
      <w:r>
        <w:rPr>
          <w:i w:val="0"/>
          <w:sz w:val="24"/>
          <w:lang w:val="es-ES"/>
        </w:rPr>
        <w:t xml:space="preserve">que en la </w:t>
      </w:r>
      <w:r w:rsidRPr="00F86EDD">
        <w:rPr>
          <w:i w:val="0"/>
          <w:sz w:val="24"/>
          <w:lang w:val="es-ES"/>
        </w:rPr>
        <w:t xml:space="preserve">resolución emitida </w:t>
      </w:r>
      <w:r>
        <w:rPr>
          <w:i w:val="0"/>
          <w:sz w:val="24"/>
          <w:lang w:val="es-ES"/>
        </w:rPr>
        <w:t xml:space="preserve">se debió haber considerado </w:t>
      </w:r>
      <w:r w:rsidR="00724D56">
        <w:rPr>
          <w:i w:val="0"/>
          <w:sz w:val="24"/>
          <w:lang w:val="es-ES"/>
        </w:rPr>
        <w:t xml:space="preserve">la clasificación del cargo de los servidores públicos adscritos a las unidades administrativas encargadas de la seguridad pública ya que existen </w:t>
      </w:r>
      <w:r>
        <w:rPr>
          <w:i w:val="0"/>
          <w:sz w:val="24"/>
          <w:lang w:val="es-ES"/>
        </w:rPr>
        <w:t>motivo</w:t>
      </w:r>
      <w:r w:rsidR="00724D56">
        <w:rPr>
          <w:i w:val="0"/>
          <w:sz w:val="24"/>
          <w:lang w:val="es-ES"/>
        </w:rPr>
        <w:t>s</w:t>
      </w:r>
      <w:r>
        <w:rPr>
          <w:i w:val="0"/>
          <w:sz w:val="24"/>
          <w:lang w:val="es-ES"/>
        </w:rPr>
        <w:t xml:space="preserve"> suficiente</w:t>
      </w:r>
      <w:r w:rsidR="00724D56">
        <w:rPr>
          <w:i w:val="0"/>
          <w:sz w:val="24"/>
          <w:lang w:val="es-ES"/>
        </w:rPr>
        <w:t>s</w:t>
      </w:r>
      <w:r>
        <w:rPr>
          <w:i w:val="0"/>
          <w:sz w:val="24"/>
          <w:lang w:val="es-ES"/>
        </w:rPr>
        <w:t xml:space="preserve"> para </w:t>
      </w:r>
      <w:r w:rsidR="00724D56">
        <w:rPr>
          <w:i w:val="0"/>
          <w:sz w:val="24"/>
          <w:lang w:val="es-ES"/>
        </w:rPr>
        <w:t>brindar</w:t>
      </w:r>
      <w:r>
        <w:rPr>
          <w:i w:val="0"/>
          <w:sz w:val="24"/>
          <w:lang w:val="es-ES"/>
        </w:rPr>
        <w:t xml:space="preserve"> un particular esquema de protección a </w:t>
      </w:r>
      <w:r w:rsidR="00B95077">
        <w:rPr>
          <w:i w:val="0"/>
          <w:sz w:val="24"/>
          <w:lang w:val="es-ES"/>
        </w:rPr>
        <w:t xml:space="preserve">dichos </w:t>
      </w:r>
      <w:r>
        <w:rPr>
          <w:i w:val="0"/>
          <w:sz w:val="24"/>
          <w:lang w:val="es-ES"/>
        </w:rPr>
        <w:t xml:space="preserve">servidores adscritos a unidades administrativas vinculadas con funciones de seguridad, lo anterior frente al contexto de violencia generalizada que se vive en nuestra entidad federativa y el resto del país, generando en consecuencia, una potencial afectación a las actividades reservadas, así como a la integridad de los multicitados servidores públicos. </w:t>
      </w:r>
    </w:p>
    <w:p w14:paraId="13BC8B48" w14:textId="77777777" w:rsidR="006D0F2B" w:rsidRPr="00F86EDD" w:rsidRDefault="006D0F2B" w:rsidP="00534438">
      <w:pPr>
        <w:pStyle w:val="Sinespaciado"/>
        <w:spacing w:line="360" w:lineRule="auto"/>
        <w:ind w:firstLine="1"/>
        <w:jc w:val="both"/>
        <w:rPr>
          <w:rFonts w:ascii="Palatino Linotype" w:hAnsi="Palatino Linotype"/>
          <w:sz w:val="16"/>
          <w:lang w:val="es-ES"/>
        </w:rPr>
      </w:pPr>
    </w:p>
    <w:p w14:paraId="4337FDFB" w14:textId="77777777" w:rsidR="006D0F2B" w:rsidRDefault="006D0F2B" w:rsidP="00534438">
      <w:pPr>
        <w:spacing w:after="0" w:line="360" w:lineRule="auto"/>
        <w:contextualSpacing/>
        <w:jc w:val="both"/>
        <w:rPr>
          <w:rFonts w:ascii="Palatino Linotype" w:hAnsi="Palatino Linotype"/>
          <w:sz w:val="16"/>
          <w:szCs w:val="14"/>
          <w:lang w:val="es-ES"/>
        </w:rPr>
      </w:pPr>
    </w:p>
    <w:p w14:paraId="78D04302" w14:textId="77777777" w:rsidR="00E46E74" w:rsidRDefault="00E46E74" w:rsidP="00534438">
      <w:pPr>
        <w:spacing w:after="0" w:line="360" w:lineRule="auto"/>
        <w:contextualSpacing/>
        <w:jc w:val="both"/>
        <w:rPr>
          <w:rFonts w:ascii="Palatino Linotype" w:hAnsi="Palatino Linotype"/>
          <w:sz w:val="16"/>
          <w:szCs w:val="14"/>
          <w:lang w:val="es-ES"/>
        </w:rPr>
      </w:pPr>
    </w:p>
    <w:p w14:paraId="68A7A4E7" w14:textId="77777777" w:rsidR="00E46E74" w:rsidRDefault="00E46E74" w:rsidP="00534438">
      <w:pPr>
        <w:spacing w:after="0" w:line="360" w:lineRule="auto"/>
        <w:contextualSpacing/>
        <w:jc w:val="both"/>
        <w:rPr>
          <w:rFonts w:ascii="Palatino Linotype" w:hAnsi="Palatino Linotype"/>
          <w:sz w:val="16"/>
          <w:szCs w:val="14"/>
          <w:lang w:val="es-ES"/>
        </w:rPr>
      </w:pPr>
    </w:p>
    <w:p w14:paraId="026E1175" w14:textId="77777777" w:rsidR="00E46E74" w:rsidRDefault="00E46E74" w:rsidP="00534438">
      <w:pPr>
        <w:spacing w:after="0" w:line="360" w:lineRule="auto"/>
        <w:contextualSpacing/>
        <w:jc w:val="both"/>
        <w:rPr>
          <w:rFonts w:ascii="Palatino Linotype" w:hAnsi="Palatino Linotype"/>
          <w:sz w:val="16"/>
          <w:szCs w:val="14"/>
          <w:lang w:val="es-ES"/>
        </w:rPr>
      </w:pPr>
    </w:p>
    <w:p w14:paraId="53A05952" w14:textId="77777777" w:rsidR="00E46E74" w:rsidRDefault="00E46E74" w:rsidP="00534438">
      <w:pPr>
        <w:spacing w:after="0" w:line="360" w:lineRule="auto"/>
        <w:contextualSpacing/>
        <w:jc w:val="both"/>
        <w:rPr>
          <w:rFonts w:ascii="Palatino Linotype" w:hAnsi="Palatino Linotype"/>
          <w:sz w:val="16"/>
          <w:szCs w:val="14"/>
          <w:lang w:val="es-ES"/>
        </w:rPr>
      </w:pPr>
    </w:p>
    <w:p w14:paraId="498F71E3" w14:textId="77777777" w:rsidR="00E46E74" w:rsidRDefault="00E46E74" w:rsidP="00534438">
      <w:pPr>
        <w:spacing w:after="0" w:line="360" w:lineRule="auto"/>
        <w:contextualSpacing/>
        <w:jc w:val="both"/>
        <w:rPr>
          <w:rFonts w:ascii="Palatino Linotype" w:hAnsi="Palatino Linotype"/>
          <w:sz w:val="16"/>
          <w:szCs w:val="14"/>
          <w:lang w:val="es-ES"/>
        </w:rPr>
      </w:pPr>
    </w:p>
    <w:p w14:paraId="1F10ECCE" w14:textId="77777777" w:rsidR="00E46E74" w:rsidRDefault="00E46E74" w:rsidP="00534438">
      <w:pPr>
        <w:spacing w:after="0" w:line="360" w:lineRule="auto"/>
        <w:contextualSpacing/>
        <w:jc w:val="both"/>
        <w:rPr>
          <w:rFonts w:ascii="Palatino Linotype" w:hAnsi="Palatino Linotype"/>
          <w:sz w:val="16"/>
          <w:szCs w:val="14"/>
          <w:lang w:val="es-ES"/>
        </w:rPr>
      </w:pPr>
    </w:p>
    <w:p w14:paraId="67595E6B" w14:textId="77777777" w:rsidR="00E46E74" w:rsidRDefault="00E46E74" w:rsidP="00534438">
      <w:pPr>
        <w:spacing w:after="0" w:line="360" w:lineRule="auto"/>
        <w:contextualSpacing/>
        <w:jc w:val="both"/>
        <w:rPr>
          <w:rFonts w:ascii="Palatino Linotype" w:hAnsi="Palatino Linotype"/>
          <w:sz w:val="16"/>
          <w:szCs w:val="14"/>
          <w:lang w:val="es-ES"/>
        </w:rPr>
      </w:pPr>
    </w:p>
    <w:p w14:paraId="6A8828ED" w14:textId="77777777" w:rsidR="00E46E74" w:rsidRDefault="00E46E74" w:rsidP="00534438">
      <w:pPr>
        <w:spacing w:after="0" w:line="360" w:lineRule="auto"/>
        <w:contextualSpacing/>
        <w:jc w:val="both"/>
        <w:rPr>
          <w:rFonts w:ascii="Palatino Linotype" w:hAnsi="Palatino Linotype"/>
          <w:sz w:val="16"/>
          <w:szCs w:val="14"/>
          <w:lang w:val="es-ES"/>
        </w:rPr>
      </w:pPr>
    </w:p>
    <w:p w14:paraId="0DD9CC92" w14:textId="77777777" w:rsidR="00233D10" w:rsidRDefault="00233D10" w:rsidP="00534438">
      <w:pPr>
        <w:spacing w:after="0" w:line="360" w:lineRule="auto"/>
        <w:contextualSpacing/>
        <w:jc w:val="both"/>
        <w:rPr>
          <w:rFonts w:ascii="Palatino Linotype" w:hAnsi="Palatino Linotype"/>
          <w:sz w:val="16"/>
          <w:szCs w:val="14"/>
          <w:lang w:val="es-ES"/>
        </w:rPr>
      </w:pPr>
    </w:p>
    <w:p w14:paraId="7789A8B8" w14:textId="77777777" w:rsidR="00233D10" w:rsidRDefault="00233D10" w:rsidP="00534438">
      <w:pPr>
        <w:spacing w:after="0" w:line="360" w:lineRule="auto"/>
        <w:contextualSpacing/>
        <w:jc w:val="both"/>
        <w:rPr>
          <w:rFonts w:ascii="Palatino Linotype" w:hAnsi="Palatino Linotype"/>
          <w:sz w:val="16"/>
          <w:szCs w:val="14"/>
          <w:lang w:val="es-ES"/>
        </w:rPr>
      </w:pPr>
    </w:p>
    <w:p w14:paraId="6BE65167" w14:textId="77777777" w:rsidR="004A6C90" w:rsidRDefault="004A6C90" w:rsidP="00534438">
      <w:pPr>
        <w:spacing w:after="0" w:line="360" w:lineRule="auto"/>
        <w:contextualSpacing/>
        <w:jc w:val="both"/>
        <w:rPr>
          <w:rFonts w:ascii="Palatino Linotype" w:hAnsi="Palatino Linotype"/>
          <w:sz w:val="16"/>
          <w:szCs w:val="14"/>
          <w:lang w:val="es-ES"/>
        </w:rPr>
      </w:pPr>
    </w:p>
    <w:p w14:paraId="56176232" w14:textId="31219EC2" w:rsidR="006D0F2B" w:rsidRDefault="00E46E74" w:rsidP="00534438">
      <w:pPr>
        <w:spacing w:after="0" w:line="360" w:lineRule="auto"/>
        <w:contextualSpacing/>
        <w:jc w:val="both"/>
        <w:rPr>
          <w:rFonts w:ascii="Palatino Linotype" w:hAnsi="Palatino Linotype"/>
          <w:sz w:val="16"/>
          <w:szCs w:val="14"/>
          <w:lang w:val="es-ES"/>
        </w:rPr>
      </w:pPr>
      <w:r>
        <w:rPr>
          <w:rFonts w:ascii="Palatino Linotype" w:hAnsi="Palatino Linotype"/>
          <w:sz w:val="16"/>
          <w:szCs w:val="14"/>
          <w:lang w:val="es-ES"/>
        </w:rPr>
        <w:t>JMV/CCR</w:t>
      </w:r>
    </w:p>
    <w:p w14:paraId="5662E612" w14:textId="77777777" w:rsidR="00233D10" w:rsidRDefault="00233D10" w:rsidP="00534438">
      <w:pPr>
        <w:spacing w:after="0" w:line="360" w:lineRule="auto"/>
        <w:contextualSpacing/>
        <w:jc w:val="both"/>
        <w:rPr>
          <w:rFonts w:ascii="Palatino Linotype" w:hAnsi="Palatino Linotype"/>
          <w:sz w:val="16"/>
          <w:szCs w:val="14"/>
          <w:lang w:val="es-ES"/>
        </w:rPr>
      </w:pPr>
    </w:p>
    <w:p w14:paraId="2B2124A5" w14:textId="77777777" w:rsidR="00233D10" w:rsidRDefault="00233D10" w:rsidP="00534438">
      <w:pPr>
        <w:spacing w:after="0" w:line="360" w:lineRule="auto"/>
        <w:contextualSpacing/>
        <w:jc w:val="both"/>
        <w:rPr>
          <w:rFonts w:ascii="Palatino Linotype" w:hAnsi="Palatino Linotype"/>
          <w:sz w:val="16"/>
          <w:szCs w:val="14"/>
          <w:lang w:val="es-ES"/>
        </w:rPr>
      </w:pPr>
    </w:p>
    <w:p w14:paraId="31879B32" w14:textId="77777777" w:rsidR="00233D10" w:rsidRDefault="00233D10" w:rsidP="00534438">
      <w:pPr>
        <w:spacing w:after="0" w:line="360" w:lineRule="auto"/>
        <w:contextualSpacing/>
        <w:jc w:val="both"/>
        <w:rPr>
          <w:rFonts w:ascii="Palatino Linotype" w:hAnsi="Palatino Linotype"/>
          <w:sz w:val="16"/>
          <w:szCs w:val="14"/>
          <w:lang w:val="es-ES"/>
        </w:rPr>
      </w:pPr>
    </w:p>
    <w:p w14:paraId="3A598B0E" w14:textId="77777777" w:rsidR="00233D10" w:rsidRDefault="00233D10" w:rsidP="00534438">
      <w:pPr>
        <w:spacing w:after="0" w:line="360" w:lineRule="auto"/>
        <w:contextualSpacing/>
        <w:jc w:val="both"/>
        <w:rPr>
          <w:rFonts w:ascii="Palatino Linotype" w:hAnsi="Palatino Linotype"/>
          <w:sz w:val="16"/>
          <w:szCs w:val="14"/>
          <w:lang w:val="es-ES"/>
        </w:rPr>
      </w:pPr>
    </w:p>
    <w:p w14:paraId="18387347" w14:textId="77777777" w:rsidR="00233D10" w:rsidRDefault="00233D10" w:rsidP="00534438">
      <w:pPr>
        <w:spacing w:after="0" w:line="360" w:lineRule="auto"/>
        <w:contextualSpacing/>
        <w:jc w:val="both"/>
        <w:rPr>
          <w:rFonts w:ascii="Palatino Linotype" w:hAnsi="Palatino Linotype"/>
          <w:sz w:val="16"/>
          <w:szCs w:val="14"/>
          <w:lang w:val="es-ES"/>
        </w:rPr>
      </w:pPr>
    </w:p>
    <w:p w14:paraId="48AB2071" w14:textId="77777777" w:rsidR="00233D10" w:rsidRDefault="00233D10" w:rsidP="00534438">
      <w:pPr>
        <w:spacing w:after="0" w:line="360" w:lineRule="auto"/>
        <w:contextualSpacing/>
        <w:jc w:val="both"/>
        <w:rPr>
          <w:rFonts w:ascii="Palatino Linotype" w:hAnsi="Palatino Linotype"/>
          <w:sz w:val="16"/>
          <w:szCs w:val="14"/>
          <w:lang w:val="es-ES"/>
        </w:rPr>
      </w:pPr>
    </w:p>
    <w:p w14:paraId="68086AFC" w14:textId="77777777" w:rsidR="00233D10" w:rsidRDefault="00233D10" w:rsidP="00534438">
      <w:pPr>
        <w:spacing w:after="0" w:line="360" w:lineRule="auto"/>
        <w:contextualSpacing/>
        <w:jc w:val="both"/>
        <w:rPr>
          <w:rFonts w:ascii="Palatino Linotype" w:hAnsi="Palatino Linotype"/>
          <w:sz w:val="16"/>
          <w:szCs w:val="14"/>
          <w:lang w:val="es-ES"/>
        </w:rPr>
      </w:pPr>
    </w:p>
    <w:sectPr w:rsidR="00233D10" w:rsidSect="00E46E74">
      <w:headerReference w:type="even" r:id="rId8"/>
      <w:headerReference w:type="default" r:id="rId9"/>
      <w:footerReference w:type="default" r:id="rId10"/>
      <w:pgSz w:w="12240" w:h="15840"/>
      <w:pgMar w:top="2517" w:right="1134" w:bottom="1985" w:left="1469" w:header="709" w:footer="5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AA387" w14:textId="77777777" w:rsidR="00AE4BFD" w:rsidRDefault="00AE4BFD" w:rsidP="004C1443">
      <w:pPr>
        <w:spacing w:after="0" w:line="240" w:lineRule="auto"/>
      </w:pPr>
      <w:r>
        <w:separator/>
      </w:r>
    </w:p>
  </w:endnote>
  <w:endnote w:type="continuationSeparator" w:id="0">
    <w:p w14:paraId="7894AF7D" w14:textId="77777777" w:rsidR="00AE4BFD" w:rsidRDefault="00AE4BFD" w:rsidP="004C14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0000500000000020000"/>
    <w:charset w:val="00"/>
    <w:family w:val="auto"/>
    <w:pitch w:val="variable"/>
    <w:sig w:usb0="E00002FF" w:usb1="5000205A"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Palatino Linotype" w:hAnsi="Palatino Linotype"/>
        <w:sz w:val="21"/>
        <w:szCs w:val="21"/>
      </w:rPr>
      <w:id w:val="1143845704"/>
      <w:docPartObj>
        <w:docPartGallery w:val="Page Numbers (Bottom of Page)"/>
        <w:docPartUnique/>
      </w:docPartObj>
    </w:sdtPr>
    <w:sdtEndPr/>
    <w:sdtContent>
      <w:sdt>
        <w:sdtPr>
          <w:rPr>
            <w:rFonts w:ascii="Palatino Linotype" w:hAnsi="Palatino Linotype"/>
            <w:sz w:val="21"/>
            <w:szCs w:val="21"/>
          </w:rPr>
          <w:id w:val="-1769616900"/>
          <w:docPartObj>
            <w:docPartGallery w:val="Page Numbers (Top of Page)"/>
            <w:docPartUnique/>
          </w:docPartObj>
        </w:sdtPr>
        <w:sdtEndPr/>
        <w:sdtContent>
          <w:p w14:paraId="767F3B2E" w14:textId="6742C5BB" w:rsidR="00DD7AD0" w:rsidRPr="0090033D" w:rsidRDefault="0071133A" w:rsidP="00534438">
            <w:pPr>
              <w:pStyle w:val="Piedepgina"/>
              <w:jc w:val="right"/>
              <w:rPr>
                <w:rFonts w:ascii="Palatino Linotype" w:hAnsi="Palatino Linotype"/>
                <w:sz w:val="21"/>
                <w:szCs w:val="21"/>
              </w:rPr>
            </w:pPr>
            <w:r w:rsidRPr="0090033D">
              <w:rPr>
                <w:rFonts w:ascii="Palatino Linotype" w:hAnsi="Palatino Linotype"/>
                <w:sz w:val="21"/>
                <w:szCs w:val="21"/>
              </w:rPr>
              <w:t xml:space="preserve">Página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PAGE</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6</w:t>
            </w:r>
            <w:r w:rsidRPr="0090033D">
              <w:rPr>
                <w:rFonts w:ascii="Palatino Linotype" w:hAnsi="Palatino Linotype"/>
                <w:b/>
                <w:bCs/>
                <w:sz w:val="21"/>
                <w:szCs w:val="21"/>
              </w:rPr>
              <w:fldChar w:fldCharType="end"/>
            </w:r>
            <w:r w:rsidRPr="0090033D">
              <w:rPr>
                <w:rFonts w:ascii="Palatino Linotype" w:hAnsi="Palatino Linotype"/>
                <w:sz w:val="21"/>
                <w:szCs w:val="21"/>
              </w:rPr>
              <w:t xml:space="preserve"> de </w:t>
            </w:r>
            <w:r w:rsidRPr="0090033D">
              <w:rPr>
                <w:rFonts w:ascii="Palatino Linotype" w:hAnsi="Palatino Linotype"/>
                <w:b/>
                <w:bCs/>
                <w:sz w:val="21"/>
                <w:szCs w:val="21"/>
              </w:rPr>
              <w:fldChar w:fldCharType="begin"/>
            </w:r>
            <w:r w:rsidRPr="0090033D">
              <w:rPr>
                <w:rFonts w:ascii="Palatino Linotype" w:hAnsi="Palatino Linotype"/>
                <w:b/>
                <w:bCs/>
                <w:sz w:val="21"/>
                <w:szCs w:val="21"/>
              </w:rPr>
              <w:instrText>NUMPAGES</w:instrText>
            </w:r>
            <w:r w:rsidRPr="0090033D">
              <w:rPr>
                <w:rFonts w:ascii="Palatino Linotype" w:hAnsi="Palatino Linotype"/>
                <w:b/>
                <w:bCs/>
                <w:sz w:val="21"/>
                <w:szCs w:val="21"/>
              </w:rPr>
              <w:fldChar w:fldCharType="separate"/>
            </w:r>
            <w:r w:rsidR="00F67553">
              <w:rPr>
                <w:rFonts w:ascii="Palatino Linotype" w:hAnsi="Palatino Linotype"/>
                <w:b/>
                <w:bCs/>
                <w:noProof/>
                <w:sz w:val="21"/>
                <w:szCs w:val="21"/>
              </w:rPr>
              <w:t>12</w:t>
            </w:r>
            <w:r w:rsidRPr="0090033D">
              <w:rPr>
                <w:rFonts w:ascii="Palatino Linotype" w:hAnsi="Palatino Linotype"/>
                <w:b/>
                <w:bCs/>
                <w:sz w:val="21"/>
                <w:szCs w:val="21"/>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7B019" w14:textId="77777777" w:rsidR="00AE4BFD" w:rsidRDefault="00AE4BFD" w:rsidP="004C1443">
      <w:pPr>
        <w:spacing w:after="0" w:line="240" w:lineRule="auto"/>
      </w:pPr>
      <w:r>
        <w:separator/>
      </w:r>
    </w:p>
  </w:footnote>
  <w:footnote w:type="continuationSeparator" w:id="0">
    <w:p w14:paraId="7CB290BC" w14:textId="77777777" w:rsidR="00AE4BFD" w:rsidRDefault="00AE4BFD" w:rsidP="004C1443">
      <w:pPr>
        <w:spacing w:after="0" w:line="240" w:lineRule="auto"/>
      </w:pPr>
      <w:r>
        <w:continuationSeparator/>
      </w:r>
    </w:p>
  </w:footnote>
  <w:footnote w:id="1">
    <w:p w14:paraId="5A1EF41A" w14:textId="77777777" w:rsidR="006D0F2B" w:rsidRDefault="006D0F2B" w:rsidP="006D0F2B">
      <w:pPr>
        <w:pStyle w:val="Textonotapie"/>
        <w:jc w:val="both"/>
      </w:pPr>
      <w:r>
        <w:rPr>
          <w:rStyle w:val="Refdenotaalpie"/>
        </w:rPr>
        <w:footnoteRef/>
      </w:r>
      <w:r>
        <w:t xml:space="preserve"> </w:t>
      </w:r>
      <w:r w:rsidRPr="00BE033D">
        <w:rPr>
          <w:rFonts w:ascii="Palatino Linotype" w:hAnsi="Palatino Linotype"/>
          <w:sz w:val="16"/>
          <w:szCs w:val="16"/>
        </w:rPr>
        <w:t>Artículos 129 y 134, último párrafo de la Ley de Transparencia y Acceso a la Información Pública del Estado de México y Municipios, en relación con los diversos 104 y 108, último párrafo, de la Ley General de Transparencia y Acceso a la Información Pública.</w:t>
      </w:r>
    </w:p>
  </w:footnote>
  <w:footnote w:id="2">
    <w:p w14:paraId="70875E69" w14:textId="77777777" w:rsidR="006D0F2B" w:rsidRDefault="006D0F2B" w:rsidP="006D0F2B">
      <w:pPr>
        <w:pStyle w:val="Textonotapie"/>
        <w:jc w:val="both"/>
      </w:pPr>
      <w:r>
        <w:rPr>
          <w:rStyle w:val="Refdenotaalpie"/>
        </w:rPr>
        <w:footnoteRef/>
      </w:r>
      <w:r>
        <w:t xml:space="preserve"> </w:t>
      </w:r>
      <w:r w:rsidRPr="003F34E5">
        <w:rPr>
          <w:sz w:val="16"/>
          <w:szCs w:val="16"/>
        </w:rPr>
        <w:t>Sergio López Ayllón y Alejandro Posadas. “Las pruebas de Daño e Interés Público en materia de acceso a la información. Una perspectiva comparada” en Derecho comparada de la Información, enero-junio de 2007.</w:t>
      </w:r>
    </w:p>
  </w:footnote>
  <w:footnote w:id="3">
    <w:p w14:paraId="143DE19A" w14:textId="77777777" w:rsidR="006D0F2B" w:rsidRPr="00D75A73" w:rsidRDefault="006D0F2B" w:rsidP="006D0F2B">
      <w:pPr>
        <w:jc w:val="both"/>
        <w:rPr>
          <w:rFonts w:ascii="Palatino Linotype" w:eastAsia="Times New Roman" w:hAnsi="Palatino Linotype" w:cs="Times New Roman"/>
          <w:color w:val="000000" w:themeColor="text1"/>
          <w:sz w:val="16"/>
          <w:szCs w:val="16"/>
          <w:lang w:val="es-ES_tradnl" w:eastAsia="es-ES_tradnl"/>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w:t>
      </w:r>
      <w:r w:rsidRPr="00D75A73">
        <w:rPr>
          <w:rFonts w:ascii="Palatino Linotype" w:eastAsia="Times New Roman" w:hAnsi="Palatino Linotype" w:cs="Arial"/>
          <w:color w:val="000000" w:themeColor="text1"/>
          <w:sz w:val="16"/>
          <w:szCs w:val="16"/>
          <w:lang w:val="es-ES_tradnl" w:eastAsia="es-ES_tradnl"/>
        </w:rPr>
        <w:t>En las sentencias C-093 de 2001 y C-671 de 2001, se explicó el alcance de este tipo de escrutinio, denominado test integrado de igualdad: "[a] fin de determinar si el trato discriminatorio vulnera el derecho fundamental a la igualdad, la Corte ha elaborado un modelo de análisis que integra el juicio de proporcionalidad y el test de igualdad. Lo que en este modelo se hace, básicamente, es retomar y armonizar los elementos del test o juicio de proporcionalidad europeo con los aportes de la tendencia estadounidense. Así, se emplean las etapas metodológicas del test europeo, que comprende las siguientes fases de análisis: (i) se examina si la medida es o no adecuada, es decir, si constituye o no un medio idóneo para alcanzar un fin constitucionalmente válido; (ii) se analiza si el trato diferente es o no necesario o indispensable; y (iii) se realiza un análisis de proporcionalidad en estricto sentido, para determinar si el trato desigual no sacrifica valores y principios constitucionales que tengan mayor relevancia que los alcanzados con la medida diferencia. De otra parte, se toman los distintos niveles de intensidad en la aplicación de los escrutinios o tests de igualdad. Dichos niveles pueden variar entre (i) estricto, en el cual el trato diferente debe constituir una medida necesaria para alcanzar un objetivo constitucionalmente imperioso; (ii) intermedio, es aquel en el cual el fin debe ser importante constitucionalmente y el medio debe ser altamente conducente para lograr el fin propuesto; y (iii) flexible o de mera razonabilidad, es decir que es suficiente con que la medida sea potencialmente adecuada para alcanzar un propósito que no esté prohibido por el ordenamiento. Lo anterior debe tener aplicación, según el carácter de la disposición legislativa o la medida administrativa atacada". El test integrado fue aplicado en un caso de discriminación por VIH en la sentencia T-376 de 2013.” Citado en Corte Interamericana de Derechos Humanos. Caso Gonzales Lluy y otros contra Ecuador. Excepciones preliminares, fondo, reparaciones y costas. Sentencia del 01 de septiembre de 2015. Párr. 256.  </w:t>
      </w:r>
    </w:p>
  </w:footnote>
  <w:footnote w:id="4">
    <w:p w14:paraId="25048360" w14:textId="77777777" w:rsidR="006D0F2B" w:rsidRPr="00D75A73" w:rsidRDefault="006D0F2B" w:rsidP="006D0F2B">
      <w:pPr>
        <w:pStyle w:val="Textonotapie"/>
        <w:jc w:val="both"/>
        <w:rPr>
          <w:rFonts w:ascii="Palatino Linotype" w:hAnsi="Palatino Linotype"/>
          <w:color w:val="000000" w:themeColor="text1"/>
          <w:sz w:val="16"/>
          <w:szCs w:val="16"/>
          <w:lang w:val="es-ES"/>
        </w:rPr>
      </w:pPr>
      <w:r w:rsidRPr="00D75A73">
        <w:rPr>
          <w:rStyle w:val="Refdenotaalpie"/>
          <w:rFonts w:ascii="Palatino Linotype" w:hAnsi="Palatino Linotype"/>
          <w:color w:val="000000" w:themeColor="text1"/>
          <w:sz w:val="16"/>
          <w:szCs w:val="16"/>
        </w:rPr>
        <w:footnoteRef/>
      </w:r>
      <w:r w:rsidRPr="00D75A73">
        <w:rPr>
          <w:rFonts w:ascii="Palatino Linotype" w:hAnsi="Palatino Linotype"/>
          <w:color w:val="000000" w:themeColor="text1"/>
          <w:sz w:val="16"/>
          <w:szCs w:val="16"/>
        </w:rPr>
        <w:t xml:space="preserve"> </w:t>
      </w:r>
      <w:r w:rsidRPr="00D75A73">
        <w:rPr>
          <w:rFonts w:ascii="Palatino Linotype" w:hAnsi="Palatino Linotype"/>
          <w:color w:val="000000" w:themeColor="text1"/>
          <w:sz w:val="16"/>
          <w:szCs w:val="16"/>
          <w:lang w:val="es-ES"/>
        </w:rPr>
        <w:t>Tribunal Constitucional Alemán. Resolución sobre los soldados son asesinos, de 10 de octubre de 1995 (BVerfGE 93, 266). En ALÁEZ CORRAL, Benito y ÁLVAREZ ÁLVAREZ, Leonardo. Las decisiones básicas del Tribunal Constitucional Federal Alemán en las encrucijadas del cambio de milenio. Ed. Centro de Estudios Políticos y Constitucionales y boletín oficial del Estado, Madrid, 2008. Pp. 1045-1096.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AF0EA" w14:textId="77777777" w:rsidR="00DD7AD0" w:rsidRDefault="00613A04">
    <w:pPr>
      <w:pStyle w:val="Encabezado"/>
    </w:pPr>
    <w:r>
      <w:rPr>
        <w:noProof/>
        <w:lang w:val="es-MX" w:eastAsia="es-MX"/>
      </w:rPr>
      <mc:AlternateContent>
        <mc:Choice Requires="wps">
          <w:drawing>
            <wp:anchor distT="0" distB="0" distL="114300" distR="114300" simplePos="0" relativeHeight="251656704" behindDoc="1" locked="0" layoutInCell="0" allowOverlap="1" wp14:anchorId="4BD1E65B" wp14:editId="4E7EFC5C">
              <wp:simplePos x="0" y="0"/>
              <wp:positionH relativeFrom="margin">
                <wp:align>center</wp:align>
              </wp:positionH>
              <wp:positionV relativeFrom="margin">
                <wp:align>center</wp:align>
              </wp:positionV>
              <wp:extent cx="5810250" cy="771525"/>
              <wp:effectExtent l="0" t="1876425" r="0" b="169545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5810250" cy="77152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4BD1E65B" id="_x0000_t202" coordsize="21600,21600" o:spt="202" path="m,l,21600r21600,l21600,xe">
              <v:stroke joinstyle="miter"/>
              <v:path gradientshapeok="t" o:connecttype="rect"/>
            </v:shapetype>
            <v:shape id="Cuadro de texto 2" o:spid="_x0000_s1026" type="#_x0000_t202" style="position:absolute;margin-left:0;margin-top:0;width:457.5pt;height:60.75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" o:allowincell="f" filled="f" stroked="f">
              <v:stroke joinstyle="round"/>
              <o:lock v:ext="edit" shapetype="t"/>
              <v:textbox style="mso-fit-shape-to-text:t">
                <w:txbxContent>
                  <w:p w14:paraId="3415A9FA" w14:textId="77777777" w:rsidR="00DD7AD0" w:rsidRDefault="00613A04" w:rsidP="00DD7AD0">
                    <w:pPr>
                      <w:pStyle w:val="NormalWeb"/>
                      <w:spacing w:before="0" w:beforeAutospacing="0" w:after="0" w:afterAutospacing="0"/>
                      <w:jc w:val="center"/>
                    </w:pPr>
                    <w:r>
                      <w:rPr>
                        <w:rFonts w:ascii="Arial" w:hAnsi="Arial" w:cs="Arial"/>
                        <w:color w:val="F7CAAC" w:themeColor="accent2" w:themeTint="66"/>
                        <w:sz w:val="108"/>
                        <w:szCs w:val="108"/>
                        <w14:textFill>
                          <w14:solidFill>
                            <w14:schemeClr w14:val="accent2">
                              <w14:alpha w14:val="50000"/>
                              <w14:lumMod w14:val="40000"/>
                              <w14:lumOff w14:val="60000"/>
                            </w14:schemeClr>
                          </w14:solidFill>
                        </w14:textFill>
                      </w:rPr>
                      <w:t>VOTO DISIDENTE</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BC1FF" w14:textId="5A0305F4" w:rsidR="00DD7AD0" w:rsidRPr="00E00B04" w:rsidRDefault="00E00B04" w:rsidP="00E00B04">
    <w:pPr>
      <w:pStyle w:val="Encabezado"/>
      <w:jc w:val="right"/>
      <w:rPr>
        <w:rFonts w:ascii="Palatino Linotype" w:hAnsi="Palatino Linotype" w:cs="Arial"/>
        <w:b/>
      </w:rPr>
    </w:pPr>
    <w:r>
      <w:rPr>
        <w:noProof/>
        <w:lang w:val="es-MX" w:eastAsia="es-MX"/>
      </w:rPr>
      <w:drawing>
        <wp:anchor distT="0" distB="0" distL="114300" distR="114300" simplePos="0" relativeHeight="251657728" behindDoc="1" locked="0" layoutInCell="1" allowOverlap="1" wp14:anchorId="62E95AD4" wp14:editId="056AEC00">
          <wp:simplePos x="0" y="0"/>
          <wp:positionH relativeFrom="page">
            <wp:posOffset>64770</wp:posOffset>
          </wp:positionH>
          <wp:positionV relativeFrom="page">
            <wp:posOffset>64770</wp:posOffset>
          </wp:positionV>
          <wp:extent cx="7510145" cy="10114671"/>
          <wp:effectExtent l="0" t="0" r="0" b="1270"/>
          <wp:wrapNone/>
          <wp:docPr id="10" name="Imagen 10"/>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10145" cy="10114671"/>
                  </a:xfrm>
                  <a:prstGeom prst="rect">
                    <a:avLst/>
                  </a:prstGeom>
                  <a:extLst>
                    <a:ext uri="{FAA26D3D-D897-4be2-8F04-BA451C77F1D7}">
                      <ma14:placeholderFlag xmlns:lc="http://schemas.openxmlformats.org/drawingml/2006/lockedCanvas"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sdt>
      <w:sdtPr>
        <w:rPr>
          <w:rFonts w:ascii="Arial" w:hAnsi="Arial" w:cs="Arial"/>
          <w:sz w:val="20"/>
          <w:szCs w:val="20"/>
        </w:rPr>
        <w:id w:val="-1325277044"/>
        <w:docPartObj>
          <w:docPartGallery w:val="Watermarks"/>
          <w:docPartUnique/>
        </w:docPartObj>
      </w:sdtPr>
      <w:sdtEndPr/>
      <w:sdtContent>
        <w:r w:rsidR="00546E11">
          <w:rPr>
            <w:rFonts w:ascii="Arial" w:hAnsi="Arial" w:cs="Arial"/>
            <w:noProof/>
            <w:sz w:val="20"/>
            <w:szCs w:val="20"/>
          </w:rPr>
        </w:r>
        <w:r w:rsidR="00546E11">
          <w:rPr>
            <w:rFonts w:ascii="Arial" w:hAnsi="Arial" w:cs="Arial"/>
            <w:noProof/>
            <w:sz w:val="20"/>
            <w:szCs w:val="20"/>
          </w:rPr>
          <w:pict w14:anchorId="78A444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9867392" o:spid="_x0000_s1025" type="#_x0000_t136" alt="" style="position:absolute;left:0;text-align:left;margin-left:0;margin-top:0;width:547.2pt;height:82.05pt;rotation:315;z-index:-251657728;mso-wrap-edited:f;mso-width-percent:0;mso-height-percent:0;mso-position-horizontal:center;mso-position-horizontal-relative:margin;mso-position-vertical:center;mso-position-vertical-relative:margin;mso-width-percent:0;mso-height-percent:0" o:allowincell="f" fillcolor="#ed7d31 [3205]" stroked="f">
              <v:fill opacity=".5"/>
              <v:textpath style="font-family:&quot;Palatino Linotype&quot;;font-size:1pt" string="VOTO PARTICULAR"/>
              <w10:wrap anchorx="margin" anchory="margin"/>
            </v:shape>
          </w:pict>
        </w:r>
      </w:sdtContent>
    </w:sdt>
    <w:r w:rsidR="00613A04" w:rsidRPr="00E00B04">
      <w:rPr>
        <w:rFonts w:ascii="Palatino Linotype" w:hAnsi="Palatino Linotype" w:cs="Arial"/>
        <w:b/>
      </w:rPr>
      <w:t xml:space="preserve">VOTO </w:t>
    </w:r>
    <w:r w:rsidR="007B733E" w:rsidRPr="00E00B04">
      <w:rPr>
        <w:rFonts w:ascii="Palatino Linotype" w:hAnsi="Palatino Linotype" w:cs="Arial"/>
        <w:b/>
      </w:rPr>
      <w:t>PARTICULAR</w:t>
    </w:r>
  </w:p>
  <w:p w14:paraId="02E7E91C" w14:textId="6BCE8CFA" w:rsidR="000D21E7" w:rsidRPr="00E00B04" w:rsidRDefault="00E46E74" w:rsidP="00E00B04">
    <w:pPr>
      <w:pStyle w:val="Encabezado"/>
      <w:jc w:val="right"/>
      <w:rPr>
        <w:rFonts w:ascii="Palatino Linotype" w:hAnsi="Palatino Linotype" w:cs="Arial"/>
        <w:b/>
        <w:bCs/>
        <w:lang w:eastAsia="es-MX"/>
      </w:rPr>
    </w:pPr>
    <w:r>
      <w:rPr>
        <w:rFonts w:ascii="Palatino Linotype" w:hAnsi="Palatino Linotype" w:cs="Arial"/>
        <w:b/>
      </w:rPr>
      <w:t>Recurso de R</w:t>
    </w:r>
    <w:r w:rsidRPr="00E00B04">
      <w:rPr>
        <w:rFonts w:ascii="Palatino Linotype" w:hAnsi="Palatino Linotype" w:cs="Arial"/>
        <w:b/>
      </w:rPr>
      <w:t>evisión</w:t>
    </w:r>
    <w:r w:rsidR="00F67553">
      <w:rPr>
        <w:rFonts w:ascii="Palatino Linotype" w:hAnsi="Palatino Linotype" w:cs="Arial"/>
        <w:b/>
      </w:rPr>
      <w:t xml:space="preserve"> </w:t>
    </w:r>
    <w:r w:rsidR="00546E11">
      <w:rPr>
        <w:rFonts w:ascii="Palatino Linotype" w:hAnsi="Palatino Linotype" w:cs="Arial"/>
        <w:b/>
      </w:rPr>
      <w:t>10359</w:t>
    </w:r>
    <w:r w:rsidR="00043B20" w:rsidRPr="00E00B04">
      <w:rPr>
        <w:rFonts w:ascii="Palatino Linotype" w:hAnsi="Palatino Linotype" w:cs="Arial"/>
        <w:b/>
        <w:bCs/>
        <w:lang w:eastAsia="es-MX"/>
      </w:rPr>
      <w:t>/INFOEM/IP/RR/20</w:t>
    </w:r>
    <w:r w:rsidR="009E6EF2" w:rsidRPr="00E00B04">
      <w:rPr>
        <w:rFonts w:ascii="Palatino Linotype" w:hAnsi="Palatino Linotype" w:cs="Arial"/>
        <w:b/>
        <w:bCs/>
        <w:lang w:eastAsia="es-MX"/>
      </w:rPr>
      <w:t>2</w:t>
    </w:r>
    <w:r w:rsidR="00CF3210" w:rsidRPr="00E00B04">
      <w:rPr>
        <w:rFonts w:ascii="Palatino Linotype" w:hAnsi="Palatino Linotype" w:cs="Arial"/>
        <w:b/>
        <w:bCs/>
        <w:lang w:eastAsia="es-MX"/>
      </w:rPr>
      <w: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02106E"/>
    <w:multiLevelType w:val="hybridMultilevel"/>
    <w:tmpl w:val="EF74C0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37B17F9"/>
    <w:multiLevelType w:val="hybridMultilevel"/>
    <w:tmpl w:val="01102200"/>
    <w:lvl w:ilvl="0" w:tplc="F680448E">
      <w:start w:val="1"/>
      <w:numFmt w:val="bullet"/>
      <w:lvlText w:val=""/>
      <w:lvlJc w:val="left"/>
      <w:pPr>
        <w:ind w:left="709" w:hanging="425"/>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BC5B96"/>
    <w:multiLevelType w:val="hybridMultilevel"/>
    <w:tmpl w:val="91DE87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EF840EF"/>
    <w:multiLevelType w:val="hybridMultilevel"/>
    <w:tmpl w:val="85B60E9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4981259"/>
    <w:multiLevelType w:val="hybridMultilevel"/>
    <w:tmpl w:val="7366B23E"/>
    <w:lvl w:ilvl="0" w:tplc="FD6261A2">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5AF6AE2"/>
    <w:multiLevelType w:val="multilevel"/>
    <w:tmpl w:val="CC8A6E62"/>
    <w:styleLink w:val="Listaactual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6BC33E2"/>
    <w:multiLevelType w:val="hybridMultilevel"/>
    <w:tmpl w:val="28CEDD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44B6187"/>
    <w:multiLevelType w:val="hybridMultilevel"/>
    <w:tmpl w:val="8CD404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95F2612"/>
    <w:multiLevelType w:val="hybridMultilevel"/>
    <w:tmpl w:val="B278154A"/>
    <w:lvl w:ilvl="0" w:tplc="3392D870">
      <w:start w:val="1"/>
      <w:numFmt w:val="upperRoman"/>
      <w:lvlText w:val="%1."/>
      <w:lvlJc w:val="left"/>
      <w:pPr>
        <w:ind w:left="1571" w:hanging="720"/>
      </w:pPr>
      <w:rPr>
        <w:rFonts w:hint="default"/>
        <w:b/>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9" w15:restartNumberingAfterBreak="0">
    <w:nsid w:val="3B4C1572"/>
    <w:multiLevelType w:val="hybridMultilevel"/>
    <w:tmpl w:val="D9483DC2"/>
    <w:lvl w:ilvl="0" w:tplc="438CA89C">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3E1C0224"/>
    <w:multiLevelType w:val="hybridMultilevel"/>
    <w:tmpl w:val="5ADC455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86A5FFB"/>
    <w:multiLevelType w:val="hybridMultilevel"/>
    <w:tmpl w:val="9B96660A"/>
    <w:lvl w:ilvl="0" w:tplc="0BF2B274">
      <w:start w:val="1"/>
      <w:numFmt w:val="upperRoman"/>
      <w:lvlText w:val="%1."/>
      <w:lvlJc w:val="left"/>
      <w:pPr>
        <w:ind w:left="851" w:hanging="567"/>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9050D16"/>
    <w:multiLevelType w:val="hybridMultilevel"/>
    <w:tmpl w:val="61B617DC"/>
    <w:lvl w:ilvl="0" w:tplc="CDA4BE56">
      <w:start w:val="4"/>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8F74677"/>
    <w:multiLevelType w:val="hybridMultilevel"/>
    <w:tmpl w:val="173E1CB0"/>
    <w:lvl w:ilvl="0" w:tplc="04090013">
      <w:start w:val="1"/>
      <w:numFmt w:val="upperRoman"/>
      <w:lvlText w:val="%1."/>
      <w:lvlJc w:val="right"/>
      <w:pPr>
        <w:ind w:left="840" w:hanging="360"/>
      </w:p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4" w15:restartNumberingAfterBreak="0">
    <w:nsid w:val="65984405"/>
    <w:multiLevelType w:val="hybridMultilevel"/>
    <w:tmpl w:val="35B01D70"/>
    <w:lvl w:ilvl="0" w:tplc="EAAC6E8A">
      <w:start w:val="6"/>
      <w:numFmt w:val="bullet"/>
      <w:lvlText w:val=""/>
      <w:lvlJc w:val="left"/>
      <w:pPr>
        <w:ind w:left="720" w:hanging="360"/>
      </w:pPr>
      <w:rPr>
        <w:rFonts w:ascii="Symbol" w:eastAsiaTheme="minorHAnsi" w:hAnsi="Symbol"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8C47D88"/>
    <w:multiLevelType w:val="hybridMultilevel"/>
    <w:tmpl w:val="1752E78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79464F4C"/>
    <w:multiLevelType w:val="multilevel"/>
    <w:tmpl w:val="3828E636"/>
    <w:styleLink w:val="Listaactual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E9D264E"/>
    <w:multiLevelType w:val="hybridMultilevel"/>
    <w:tmpl w:val="DACA2434"/>
    <w:lvl w:ilvl="0" w:tplc="00F07430">
      <w:start w:val="1"/>
      <w:numFmt w:val="lowerLetter"/>
      <w:lvlText w:val="%1)"/>
      <w:lvlJc w:val="left"/>
      <w:pPr>
        <w:ind w:left="927" w:hanging="360"/>
      </w:pPr>
      <w:rPr>
        <w:rFonts w:cs="Arial" w:hint="default"/>
        <w:color w:val="auto"/>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16cid:durableId="1371034540">
    <w:abstractNumId w:val="10"/>
  </w:num>
  <w:num w:numId="2" w16cid:durableId="1720477595">
    <w:abstractNumId w:val="0"/>
  </w:num>
  <w:num w:numId="3" w16cid:durableId="1539538633">
    <w:abstractNumId w:val="14"/>
  </w:num>
  <w:num w:numId="4" w16cid:durableId="73284636">
    <w:abstractNumId w:val="12"/>
  </w:num>
  <w:num w:numId="5" w16cid:durableId="1658729771">
    <w:abstractNumId w:val="13"/>
  </w:num>
  <w:num w:numId="6" w16cid:durableId="1935747273">
    <w:abstractNumId w:val="15"/>
  </w:num>
  <w:num w:numId="7" w16cid:durableId="1457138823">
    <w:abstractNumId w:val="7"/>
  </w:num>
  <w:num w:numId="8" w16cid:durableId="229120480">
    <w:abstractNumId w:val="2"/>
  </w:num>
  <w:num w:numId="9" w16cid:durableId="17121636">
    <w:abstractNumId w:val="8"/>
  </w:num>
  <w:num w:numId="10" w16cid:durableId="1441023117">
    <w:abstractNumId w:val="3"/>
  </w:num>
  <w:num w:numId="11" w16cid:durableId="1525170492">
    <w:abstractNumId w:val="17"/>
  </w:num>
  <w:num w:numId="12" w16cid:durableId="1443184776">
    <w:abstractNumId w:val="9"/>
  </w:num>
  <w:num w:numId="13" w16cid:durableId="468867606">
    <w:abstractNumId w:val="6"/>
  </w:num>
  <w:num w:numId="14" w16cid:durableId="1457791595">
    <w:abstractNumId w:val="1"/>
  </w:num>
  <w:num w:numId="15" w16cid:durableId="1998605425">
    <w:abstractNumId w:val="4"/>
  </w:num>
  <w:num w:numId="16" w16cid:durableId="639384701">
    <w:abstractNumId w:val="5"/>
  </w:num>
  <w:num w:numId="17" w16cid:durableId="2061518235">
    <w:abstractNumId w:val="16"/>
  </w:num>
  <w:num w:numId="18" w16cid:durableId="13365724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1A8"/>
    <w:rsid w:val="00002827"/>
    <w:rsid w:val="0001368B"/>
    <w:rsid w:val="00043B20"/>
    <w:rsid w:val="000534B3"/>
    <w:rsid w:val="0009481E"/>
    <w:rsid w:val="0009787F"/>
    <w:rsid w:val="000D21E7"/>
    <w:rsid w:val="000D26DF"/>
    <w:rsid w:val="000E1ABA"/>
    <w:rsid w:val="000E517C"/>
    <w:rsid w:val="000F14DA"/>
    <w:rsid w:val="000F1B77"/>
    <w:rsid w:val="000F49C4"/>
    <w:rsid w:val="00105765"/>
    <w:rsid w:val="00137BCF"/>
    <w:rsid w:val="00145FED"/>
    <w:rsid w:val="00186357"/>
    <w:rsid w:val="0019696B"/>
    <w:rsid w:val="001B3D19"/>
    <w:rsid w:val="00223416"/>
    <w:rsid w:val="00233D10"/>
    <w:rsid w:val="002351CE"/>
    <w:rsid w:val="002374B9"/>
    <w:rsid w:val="00240D8D"/>
    <w:rsid w:val="00252976"/>
    <w:rsid w:val="00256512"/>
    <w:rsid w:val="002660DA"/>
    <w:rsid w:val="00286984"/>
    <w:rsid w:val="002A39CA"/>
    <w:rsid w:val="002C14F9"/>
    <w:rsid w:val="002D069D"/>
    <w:rsid w:val="002E4B09"/>
    <w:rsid w:val="00302C71"/>
    <w:rsid w:val="00307916"/>
    <w:rsid w:val="0031079C"/>
    <w:rsid w:val="00330955"/>
    <w:rsid w:val="0033581C"/>
    <w:rsid w:val="00335851"/>
    <w:rsid w:val="00336332"/>
    <w:rsid w:val="00341093"/>
    <w:rsid w:val="0038165C"/>
    <w:rsid w:val="00383C9C"/>
    <w:rsid w:val="003847F7"/>
    <w:rsid w:val="00384C8B"/>
    <w:rsid w:val="00396F4A"/>
    <w:rsid w:val="003D76A7"/>
    <w:rsid w:val="003F52D7"/>
    <w:rsid w:val="00403FFD"/>
    <w:rsid w:val="004269DC"/>
    <w:rsid w:val="00437D21"/>
    <w:rsid w:val="004402F7"/>
    <w:rsid w:val="00463A29"/>
    <w:rsid w:val="00491A04"/>
    <w:rsid w:val="00494F48"/>
    <w:rsid w:val="004A6C90"/>
    <w:rsid w:val="004C1443"/>
    <w:rsid w:val="004C5122"/>
    <w:rsid w:val="004C6D08"/>
    <w:rsid w:val="004D3A6E"/>
    <w:rsid w:val="004D58D9"/>
    <w:rsid w:val="004D5C09"/>
    <w:rsid w:val="004F32EC"/>
    <w:rsid w:val="004F50E3"/>
    <w:rsid w:val="004F5AE8"/>
    <w:rsid w:val="00515719"/>
    <w:rsid w:val="005251CB"/>
    <w:rsid w:val="00526C8E"/>
    <w:rsid w:val="00534438"/>
    <w:rsid w:val="00546280"/>
    <w:rsid w:val="00546E11"/>
    <w:rsid w:val="005534B4"/>
    <w:rsid w:val="005733EB"/>
    <w:rsid w:val="0058084B"/>
    <w:rsid w:val="00592E63"/>
    <w:rsid w:val="005A047C"/>
    <w:rsid w:val="005D0EB7"/>
    <w:rsid w:val="005E2445"/>
    <w:rsid w:val="005E313C"/>
    <w:rsid w:val="005E760F"/>
    <w:rsid w:val="005F141E"/>
    <w:rsid w:val="006023F6"/>
    <w:rsid w:val="006069F7"/>
    <w:rsid w:val="00613A04"/>
    <w:rsid w:val="006342FD"/>
    <w:rsid w:val="00667D1F"/>
    <w:rsid w:val="006A51FD"/>
    <w:rsid w:val="006D0F2B"/>
    <w:rsid w:val="006D1F92"/>
    <w:rsid w:val="006D3740"/>
    <w:rsid w:val="006D627E"/>
    <w:rsid w:val="006E72CB"/>
    <w:rsid w:val="006F544E"/>
    <w:rsid w:val="006F7F79"/>
    <w:rsid w:val="00707558"/>
    <w:rsid w:val="0071133A"/>
    <w:rsid w:val="0071304D"/>
    <w:rsid w:val="00724D56"/>
    <w:rsid w:val="007518F5"/>
    <w:rsid w:val="007552BF"/>
    <w:rsid w:val="00787CFE"/>
    <w:rsid w:val="007B0B88"/>
    <w:rsid w:val="007B5209"/>
    <w:rsid w:val="007B733E"/>
    <w:rsid w:val="007C0DCC"/>
    <w:rsid w:val="007C4507"/>
    <w:rsid w:val="008037AF"/>
    <w:rsid w:val="00843935"/>
    <w:rsid w:val="00847B09"/>
    <w:rsid w:val="00852785"/>
    <w:rsid w:val="00860B45"/>
    <w:rsid w:val="00875FA7"/>
    <w:rsid w:val="0088608D"/>
    <w:rsid w:val="008D6140"/>
    <w:rsid w:val="008E47B8"/>
    <w:rsid w:val="008F6B22"/>
    <w:rsid w:val="0090033D"/>
    <w:rsid w:val="00900682"/>
    <w:rsid w:val="00911F00"/>
    <w:rsid w:val="00912140"/>
    <w:rsid w:val="00915E74"/>
    <w:rsid w:val="00924459"/>
    <w:rsid w:val="0097077D"/>
    <w:rsid w:val="009849C2"/>
    <w:rsid w:val="0099768F"/>
    <w:rsid w:val="009B0A29"/>
    <w:rsid w:val="009B19CF"/>
    <w:rsid w:val="009B46D0"/>
    <w:rsid w:val="009C651B"/>
    <w:rsid w:val="009E2605"/>
    <w:rsid w:val="009E6EF2"/>
    <w:rsid w:val="00A10C19"/>
    <w:rsid w:val="00A16488"/>
    <w:rsid w:val="00A430F5"/>
    <w:rsid w:val="00A72E4E"/>
    <w:rsid w:val="00A85CFE"/>
    <w:rsid w:val="00A86A41"/>
    <w:rsid w:val="00A9353F"/>
    <w:rsid w:val="00AE4BFD"/>
    <w:rsid w:val="00AF71C1"/>
    <w:rsid w:val="00B0752A"/>
    <w:rsid w:val="00B34EB4"/>
    <w:rsid w:val="00B40E2E"/>
    <w:rsid w:val="00B45CA2"/>
    <w:rsid w:val="00B6198B"/>
    <w:rsid w:val="00B71EFC"/>
    <w:rsid w:val="00B76988"/>
    <w:rsid w:val="00B77C19"/>
    <w:rsid w:val="00B91483"/>
    <w:rsid w:val="00B95077"/>
    <w:rsid w:val="00BA5C8A"/>
    <w:rsid w:val="00C07564"/>
    <w:rsid w:val="00C42420"/>
    <w:rsid w:val="00C45C27"/>
    <w:rsid w:val="00C61583"/>
    <w:rsid w:val="00C750D5"/>
    <w:rsid w:val="00C96E88"/>
    <w:rsid w:val="00C97C6E"/>
    <w:rsid w:val="00CF11A8"/>
    <w:rsid w:val="00CF3210"/>
    <w:rsid w:val="00D014A2"/>
    <w:rsid w:val="00D040F5"/>
    <w:rsid w:val="00D26D4E"/>
    <w:rsid w:val="00D430E2"/>
    <w:rsid w:val="00D675E4"/>
    <w:rsid w:val="00D84721"/>
    <w:rsid w:val="00D84AE7"/>
    <w:rsid w:val="00D875B1"/>
    <w:rsid w:val="00D953EF"/>
    <w:rsid w:val="00DA6554"/>
    <w:rsid w:val="00DB0A5B"/>
    <w:rsid w:val="00DB6F26"/>
    <w:rsid w:val="00DC5F78"/>
    <w:rsid w:val="00DD13E2"/>
    <w:rsid w:val="00DD703B"/>
    <w:rsid w:val="00DE4853"/>
    <w:rsid w:val="00E00554"/>
    <w:rsid w:val="00E00B04"/>
    <w:rsid w:val="00E34CA6"/>
    <w:rsid w:val="00E46E74"/>
    <w:rsid w:val="00E554DC"/>
    <w:rsid w:val="00E6367E"/>
    <w:rsid w:val="00E92686"/>
    <w:rsid w:val="00EB5314"/>
    <w:rsid w:val="00EC70B3"/>
    <w:rsid w:val="00EE051D"/>
    <w:rsid w:val="00EE7C30"/>
    <w:rsid w:val="00EF0470"/>
    <w:rsid w:val="00EF20B1"/>
    <w:rsid w:val="00F07361"/>
    <w:rsid w:val="00F2106C"/>
    <w:rsid w:val="00F57C84"/>
    <w:rsid w:val="00F67553"/>
    <w:rsid w:val="00F862BF"/>
    <w:rsid w:val="00F86EDD"/>
    <w:rsid w:val="00F94619"/>
    <w:rsid w:val="00FC581E"/>
    <w:rsid w:val="00FF10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E8927F"/>
  <w15:chartTrackingRefBased/>
  <w15:docId w15:val="{020D73F4-0665-471E-AF07-B320C79EF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1A8"/>
    <w:pPr>
      <w:spacing w:line="25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CF11A8"/>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CF11A8"/>
    <w:pPr>
      <w:tabs>
        <w:tab w:val="center" w:pos="4419"/>
        <w:tab w:val="right" w:pos="8838"/>
      </w:tabs>
      <w:spacing w:after="0" w:line="240" w:lineRule="auto"/>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CF11A8"/>
    <w:rPr>
      <w:rFonts w:ascii="Times New Roman" w:eastAsia="Times New Roman" w:hAnsi="Times New Roman" w:cs="Times New Roman"/>
      <w:sz w:val="24"/>
      <w:szCs w:val="24"/>
      <w:lang w:val="es-ES" w:eastAsia="es-ES"/>
    </w:rPr>
  </w:style>
  <w:style w:type="paragraph" w:styleId="NormalWeb">
    <w:name w:val="Normal (Web)"/>
    <w:basedOn w:val="Normal"/>
    <w:uiPriority w:val="99"/>
    <w:rsid w:val="00CF11A8"/>
    <w:pPr>
      <w:spacing w:before="100" w:beforeAutospacing="1" w:after="100" w:afterAutospacing="1" w:line="240" w:lineRule="auto"/>
    </w:pPr>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CF11A8"/>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CF11A8"/>
    <w:rPr>
      <w:rFonts w:ascii="Times New Roman" w:eastAsia="Times New Roman" w:hAnsi="Times New Roman" w:cs="Times New Roman"/>
      <w:sz w:val="24"/>
      <w:szCs w:val="24"/>
      <w:lang w:eastAsia="es-ES"/>
    </w:rPr>
  </w:style>
  <w:style w:type="character" w:customStyle="1" w:styleId="apple-converted-space">
    <w:name w:val="apple-converted-space"/>
    <w:basedOn w:val="Fuentedeprrafopredeter"/>
    <w:rsid w:val="00A430F5"/>
  </w:style>
  <w:style w:type="paragraph" w:customStyle="1" w:styleId="Default">
    <w:name w:val="Default"/>
    <w:rsid w:val="003D76A7"/>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875B1"/>
    <w:pPr>
      <w:spacing w:after="0" w:line="240" w:lineRule="auto"/>
      <w:ind w:left="720"/>
      <w:contextualSpacing/>
    </w:pPr>
    <w:rPr>
      <w:rFonts w:ascii="Times New Roman" w:eastAsia="Calibri"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D875B1"/>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B71EF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71EFC"/>
    <w:rPr>
      <w:rFonts w:ascii="Segoe UI" w:hAnsi="Segoe UI" w:cs="Segoe UI"/>
      <w:sz w:val="18"/>
      <w:szCs w:val="18"/>
    </w:rPr>
  </w:style>
  <w:style w:type="character" w:customStyle="1" w:styleId="il">
    <w:name w:val="il"/>
    <w:basedOn w:val="Fuentedeprrafopredeter"/>
    <w:rsid w:val="000D21E7"/>
  </w:style>
  <w:style w:type="paragraph" w:styleId="Textoindependiente">
    <w:name w:val="Body Text"/>
    <w:basedOn w:val="Normal"/>
    <w:link w:val="TextoindependienteCar"/>
    <w:uiPriority w:val="1"/>
    <w:qFormat/>
    <w:rsid w:val="00B77C19"/>
    <w:pPr>
      <w:widowControl w:val="0"/>
      <w:spacing w:after="0" w:line="240" w:lineRule="auto"/>
      <w:ind w:left="109"/>
    </w:pPr>
    <w:rPr>
      <w:rFonts w:ascii="Palatino Linotype" w:eastAsia="Palatino Linotype" w:hAnsi="Palatino Linotype"/>
      <w:sz w:val="23"/>
      <w:szCs w:val="23"/>
    </w:rPr>
  </w:style>
  <w:style w:type="character" w:customStyle="1" w:styleId="TextoindependienteCar">
    <w:name w:val="Texto independiente Car"/>
    <w:basedOn w:val="Fuentedeprrafopredeter"/>
    <w:link w:val="Textoindependiente"/>
    <w:uiPriority w:val="1"/>
    <w:rsid w:val="00B77C19"/>
    <w:rPr>
      <w:rFonts w:ascii="Palatino Linotype" w:eastAsia="Palatino Linotype" w:hAnsi="Palatino Linotype"/>
      <w:sz w:val="23"/>
      <w:szCs w:val="23"/>
    </w:rPr>
  </w:style>
  <w:style w:type="paragraph" w:customStyle="1" w:styleId="Citas">
    <w:name w:val="Citas"/>
    <w:basedOn w:val="Normal"/>
    <w:qFormat/>
    <w:rsid w:val="00330955"/>
    <w:pPr>
      <w:spacing w:before="240" w:line="360" w:lineRule="auto"/>
      <w:ind w:left="851" w:right="851"/>
      <w:jc w:val="both"/>
    </w:pPr>
    <w:rPr>
      <w:rFonts w:ascii="Palatino Linotype" w:hAnsi="Palatino Linotype" w:cs="Arial"/>
      <w:i/>
    </w:rPr>
  </w:style>
  <w:style w:type="character" w:styleId="nfasis">
    <w:name w:val="Emphasis"/>
    <w:basedOn w:val="Fuentedeprrafopredeter"/>
    <w:uiPriority w:val="20"/>
    <w:qFormat/>
    <w:rsid w:val="00330955"/>
    <w:rPr>
      <w:i/>
      <w:iCs/>
    </w:rPr>
  </w:style>
  <w:style w:type="character" w:customStyle="1" w:styleId="highlight">
    <w:name w:val="highlight"/>
    <w:basedOn w:val="Fuentedeprrafopredeter"/>
    <w:rsid w:val="005E244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23416"/>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223416"/>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223416"/>
    <w:rPr>
      <w:sz w:val="20"/>
      <w:szCs w:val="20"/>
    </w:rPr>
  </w:style>
  <w:style w:type="numbering" w:customStyle="1" w:styleId="Listaactual1">
    <w:name w:val="Lista actual1"/>
    <w:uiPriority w:val="99"/>
    <w:rsid w:val="0090033D"/>
    <w:pPr>
      <w:numPr>
        <w:numId w:val="16"/>
      </w:numPr>
    </w:pPr>
  </w:style>
  <w:style w:type="numbering" w:customStyle="1" w:styleId="Listaactual2">
    <w:name w:val="Lista actual2"/>
    <w:uiPriority w:val="99"/>
    <w:rsid w:val="009B19C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0781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63C77-C6F6-4912-A70D-75D42BB3DF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2407</Words>
  <Characters>13240</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Federico Zola Herrera</cp:lastModifiedBy>
  <cp:revision>3</cp:revision>
  <cp:lastPrinted>2022-11-05T01:44:00Z</cp:lastPrinted>
  <dcterms:created xsi:type="dcterms:W3CDTF">2022-11-05T01:44:00Z</dcterms:created>
  <dcterms:modified xsi:type="dcterms:W3CDTF">2022-11-05T01:44:00Z</dcterms:modified>
</cp:coreProperties>
</file>