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6072A" w14:textId="06FFC4FB" w:rsidR="007B1CFA" w:rsidRPr="00CF3F65" w:rsidRDefault="007B1CFA" w:rsidP="00CF3F65">
      <w:pPr>
        <w:spacing w:line="360" w:lineRule="auto"/>
        <w:jc w:val="both"/>
        <w:rPr>
          <w:rFonts w:ascii="Palatino Linotype" w:hAnsi="Palatino Linotype" w:cs="Arial"/>
          <w:b/>
        </w:rPr>
      </w:pPr>
      <w:r w:rsidRPr="00CF3F65">
        <w:rPr>
          <w:rFonts w:ascii="Palatino Linotype" w:hAnsi="Palatino Linotype" w:cs="Arial"/>
          <w:b/>
        </w:rPr>
        <w:t>VOTO PARTICULAR DE</w:t>
      </w:r>
      <w:r w:rsidR="0067340C" w:rsidRPr="00CF3F65">
        <w:rPr>
          <w:rFonts w:ascii="Palatino Linotype" w:hAnsi="Palatino Linotype" w:cs="Arial"/>
          <w:b/>
        </w:rPr>
        <w:t xml:space="preserve"> </w:t>
      </w:r>
      <w:r w:rsidRPr="00CF3F65">
        <w:rPr>
          <w:rFonts w:ascii="Palatino Linotype" w:hAnsi="Palatino Linotype" w:cs="Arial"/>
          <w:b/>
        </w:rPr>
        <w:t>L</w:t>
      </w:r>
      <w:r w:rsidR="0067340C" w:rsidRPr="00CF3F65">
        <w:rPr>
          <w:rFonts w:ascii="Palatino Linotype" w:hAnsi="Palatino Linotype" w:cs="Arial"/>
          <w:b/>
        </w:rPr>
        <w:t>A COMISIONADA</w:t>
      </w:r>
      <w:r w:rsidRPr="00CF3F65">
        <w:rPr>
          <w:rFonts w:ascii="Palatino Linotype" w:hAnsi="Palatino Linotype" w:cs="Arial"/>
          <w:b/>
        </w:rPr>
        <w:t xml:space="preserve"> </w:t>
      </w:r>
      <w:r w:rsidR="0067340C" w:rsidRPr="00CF3F65">
        <w:rPr>
          <w:rFonts w:ascii="Palatino Linotype" w:hAnsi="Palatino Linotype" w:cs="Arial"/>
          <w:b/>
        </w:rPr>
        <w:t xml:space="preserve">MARÍA DEL ROSARIO MEJÍA AYALA </w:t>
      </w:r>
      <w:r w:rsidRPr="00CF3F65">
        <w:rPr>
          <w:rFonts w:ascii="Palatino Linotype" w:hAnsi="Palatino Linotype" w:cs="Arial"/>
          <w:b/>
        </w:rPr>
        <w:t xml:space="preserve">EN EL RECURSO DE REVISIÓN </w:t>
      </w:r>
      <w:r w:rsidR="00261C4B">
        <w:rPr>
          <w:rFonts w:ascii="Palatino Linotype" w:eastAsia="Palatino Linotype" w:hAnsi="Palatino Linotype" w:cs="Palatino Linotype"/>
          <w:b/>
        </w:rPr>
        <w:t>00884/INFOEM/IP/RR/2022</w:t>
      </w:r>
      <w:r w:rsidRPr="00CF3F65">
        <w:rPr>
          <w:rFonts w:ascii="Palatino Linotype" w:hAnsi="Palatino Linotype" w:cs="Arial"/>
          <w:b/>
        </w:rPr>
        <w:t>.</w:t>
      </w:r>
    </w:p>
    <w:p w14:paraId="475DCE38" w14:textId="77777777" w:rsidR="007B1CFA" w:rsidRPr="00CF3F65" w:rsidRDefault="007B1CFA" w:rsidP="00CF3F65">
      <w:pPr>
        <w:spacing w:line="360" w:lineRule="auto"/>
        <w:jc w:val="both"/>
        <w:rPr>
          <w:rFonts w:ascii="Palatino Linotype" w:hAnsi="Palatino Linotype" w:cs="Arial"/>
          <w:b/>
        </w:rPr>
      </w:pPr>
    </w:p>
    <w:p w14:paraId="51A10ACA" w14:textId="77777777" w:rsidR="007B1CFA" w:rsidRPr="00CF3F65" w:rsidRDefault="007B1CFA" w:rsidP="00CF3F65">
      <w:pPr>
        <w:pStyle w:val="Ttulo1"/>
        <w:numPr>
          <w:ilvl w:val="0"/>
          <w:numId w:val="2"/>
        </w:numPr>
        <w:spacing w:before="0" w:line="360" w:lineRule="auto"/>
        <w:ind w:left="993" w:hanging="567"/>
        <w:rPr>
          <w:rFonts w:ascii="Palatino Linotype" w:hAnsi="Palatino Linotype"/>
          <w:color w:val="000000" w:themeColor="text1"/>
          <w:sz w:val="24"/>
          <w:szCs w:val="24"/>
        </w:rPr>
      </w:pPr>
      <w:bookmarkStart w:id="0" w:name="_Toc70345222"/>
      <w:r w:rsidRPr="00CF3F65">
        <w:rPr>
          <w:rFonts w:ascii="Palatino Linotype" w:hAnsi="Palatino Linotype"/>
          <w:color w:val="000000" w:themeColor="text1"/>
          <w:sz w:val="24"/>
          <w:szCs w:val="24"/>
        </w:rPr>
        <w:t>Consideraciones Generales.</w:t>
      </w:r>
      <w:bookmarkEnd w:id="0"/>
    </w:p>
    <w:p w14:paraId="2A27C14C" w14:textId="77777777" w:rsidR="007B1CFA" w:rsidRPr="00CF3F65" w:rsidRDefault="007B1CFA" w:rsidP="00CF3F65">
      <w:pPr>
        <w:spacing w:line="360" w:lineRule="auto"/>
        <w:rPr>
          <w:rFonts w:ascii="Palatino Linotype" w:hAnsi="Palatino Linotype"/>
        </w:rPr>
      </w:pPr>
    </w:p>
    <w:p w14:paraId="6EC27884" w14:textId="5A5FED12" w:rsidR="008F67BC" w:rsidRDefault="00CF3F65" w:rsidP="008F67BC">
      <w:pPr>
        <w:spacing w:line="360" w:lineRule="auto"/>
        <w:jc w:val="both"/>
        <w:rPr>
          <w:rFonts w:ascii="Palatino Linotype" w:hAnsi="Palatino Linotype" w:cs="Arial"/>
          <w:lang w:val="es-ES_tradnl"/>
        </w:rPr>
      </w:pPr>
      <w:r w:rsidRPr="0024476F">
        <w:rPr>
          <w:rFonts w:ascii="Palatino Linotype" w:hAnsi="Palatino Linotype" w:cs="Arial"/>
        </w:rPr>
        <w:t xml:space="preserve">En términos de lo dispuesto por los artículos 189, párrafo primero, de la Ley de Transparencia y Acceso a la Información Pública del Estado de México y Municipios; 14, fracción XI, del Reglamento Interior del Instituto de Transparencia, Acceso a la Información Pública y Protección de Datos Personales del Estado de México y Municipios; se emite el presente </w:t>
      </w:r>
      <w:r w:rsidR="00261C4B" w:rsidRPr="0024476F">
        <w:rPr>
          <w:rFonts w:ascii="Palatino Linotype" w:hAnsi="Palatino Linotype" w:cs="Arial"/>
        </w:rPr>
        <w:t>voto particular</w:t>
      </w:r>
      <w:r>
        <w:rPr>
          <w:rFonts w:ascii="Palatino Linotype" w:hAnsi="Palatino Linotype" w:cs="Arial"/>
        </w:rPr>
        <w:t>,</w:t>
      </w:r>
      <w:r w:rsidRPr="0024476F">
        <w:rPr>
          <w:rFonts w:ascii="Palatino Linotype" w:hAnsi="Palatino Linotype" w:cs="Arial"/>
        </w:rPr>
        <w:t xml:space="preserve"> por no compartir en su totalidad las consideraciones</w:t>
      </w:r>
      <w:r>
        <w:rPr>
          <w:rFonts w:ascii="Palatino Linotype" w:hAnsi="Palatino Linotype" w:cs="Arial"/>
        </w:rPr>
        <w:t xml:space="preserve"> que sustentan la Resolución del</w:t>
      </w:r>
      <w:r w:rsidRPr="0024476F">
        <w:rPr>
          <w:rFonts w:ascii="Palatino Linotype" w:hAnsi="Palatino Linotype" w:cs="Arial"/>
        </w:rPr>
        <w:t xml:space="preserve"> Recurso de Revisión </w:t>
      </w:r>
      <w:r w:rsidR="00261C4B">
        <w:rPr>
          <w:rFonts w:ascii="Palatino Linotype" w:eastAsia="Palatino Linotype" w:hAnsi="Palatino Linotype" w:cs="Palatino Linotype"/>
          <w:b/>
        </w:rPr>
        <w:t>00884/INFOEM/IP/RR/2022</w:t>
      </w:r>
      <w:r w:rsidRPr="00BC1756">
        <w:rPr>
          <w:rFonts w:ascii="Palatino Linotype" w:hAnsi="Palatino Linotype" w:cs="Arial"/>
        </w:rPr>
        <w:t xml:space="preserve">, </w:t>
      </w:r>
      <w:r w:rsidRPr="0024476F">
        <w:rPr>
          <w:rFonts w:ascii="Palatino Linotype" w:hAnsi="Palatino Linotype" w:cs="Arial"/>
        </w:rPr>
        <w:t>promovido en contra de</w:t>
      </w:r>
      <w:r w:rsidR="00261C4B">
        <w:rPr>
          <w:rFonts w:ascii="Palatino Linotype" w:hAnsi="Palatino Linotype" w:cs="Arial"/>
        </w:rPr>
        <w:t xml:space="preserve"> </w:t>
      </w:r>
      <w:r w:rsidR="0068101D">
        <w:rPr>
          <w:rFonts w:ascii="Palatino Linotype" w:hAnsi="Palatino Linotype" w:cs="Arial"/>
        </w:rPr>
        <w:t>l</w:t>
      </w:r>
      <w:r w:rsidR="00261C4B">
        <w:rPr>
          <w:rFonts w:ascii="Palatino Linotype" w:hAnsi="Palatino Linotype" w:cs="Arial"/>
        </w:rPr>
        <w:t>a</w:t>
      </w:r>
      <w:r w:rsidR="0068101D">
        <w:rPr>
          <w:rFonts w:ascii="Palatino Linotype" w:hAnsi="Palatino Linotype" w:cs="Arial"/>
        </w:rPr>
        <w:t xml:space="preserve"> </w:t>
      </w:r>
      <w:r w:rsidR="00BC1756">
        <w:rPr>
          <w:rFonts w:ascii="Palatino Linotype" w:hAnsi="Palatino Linotype" w:cs="Arial"/>
        </w:rPr>
        <w:t xml:space="preserve"> </w:t>
      </w:r>
      <w:r w:rsidR="00261C4B">
        <w:rPr>
          <w:rFonts w:ascii="Palatino Linotype" w:eastAsia="Palatino Linotype" w:hAnsi="Palatino Linotype" w:cs="Palatino Linotype"/>
        </w:rPr>
        <w:t>Secretaría de la Contraloría</w:t>
      </w:r>
      <w:r w:rsidR="00261C4B">
        <w:rPr>
          <w:rFonts w:ascii="Palatino Linotype" w:eastAsia="Palatino Linotype" w:hAnsi="Palatino Linotype" w:cs="Palatino Linotype"/>
        </w:rPr>
        <w:t>.</w:t>
      </w:r>
    </w:p>
    <w:p w14:paraId="3DA47F7A" w14:textId="77777777" w:rsidR="00261C4B" w:rsidRDefault="00261C4B" w:rsidP="00261C4B">
      <w:pPr>
        <w:spacing w:line="360" w:lineRule="auto"/>
        <w:jc w:val="both"/>
        <w:rPr>
          <w:rFonts w:ascii="Palatino Linotype" w:eastAsia="Calibri" w:hAnsi="Palatino Linotype" w:cs="Arial"/>
        </w:rPr>
      </w:pPr>
    </w:p>
    <w:p w14:paraId="2A858179" w14:textId="26AED34C" w:rsidR="00261C4B" w:rsidRDefault="00CF3F65" w:rsidP="00261C4B">
      <w:pPr>
        <w:spacing w:line="360" w:lineRule="auto"/>
        <w:jc w:val="both"/>
        <w:rPr>
          <w:rFonts w:ascii="Palatino Linotype" w:eastAsia="Palatino Linotype" w:hAnsi="Palatino Linotype" w:cs="Palatino Linotype"/>
          <w:lang w:val="es-MX"/>
        </w:rPr>
      </w:pPr>
      <w:r>
        <w:rPr>
          <w:rFonts w:ascii="Palatino Linotype" w:eastAsia="Calibri" w:hAnsi="Palatino Linotype" w:cs="Arial"/>
        </w:rPr>
        <w:t>Esto porque l</w:t>
      </w:r>
      <w:r w:rsidR="00F614DA" w:rsidRPr="00CF3F65">
        <w:rPr>
          <w:rFonts w:ascii="Palatino Linotype" w:eastAsia="Calibri" w:hAnsi="Palatino Linotype" w:cs="Arial"/>
        </w:rPr>
        <w:t>a resolución determinó</w:t>
      </w:r>
      <w:r w:rsidR="00F614DA" w:rsidRPr="00411692">
        <w:rPr>
          <w:rFonts w:ascii="Palatino Linotype" w:eastAsia="Calibri" w:hAnsi="Palatino Linotype" w:cs="Arial"/>
        </w:rPr>
        <w:t xml:space="preserve">, </w:t>
      </w:r>
      <w:r w:rsidR="007A0EB7">
        <w:rPr>
          <w:rFonts w:ascii="Palatino Linotype" w:eastAsia="Calibri" w:hAnsi="Palatino Linotype" w:cs="Arial"/>
        </w:rPr>
        <w:t>modificar</w:t>
      </w:r>
      <w:r w:rsidR="005C481C" w:rsidRPr="00411692">
        <w:rPr>
          <w:rFonts w:ascii="Palatino Linotype" w:eastAsia="Calibri" w:hAnsi="Palatino Linotype" w:cs="Arial"/>
        </w:rPr>
        <w:t xml:space="preserve"> </w:t>
      </w:r>
      <w:r w:rsidR="001C7B07" w:rsidRPr="00411692">
        <w:rPr>
          <w:rFonts w:ascii="Palatino Linotype" w:eastAsia="Calibri" w:hAnsi="Palatino Linotype" w:cs="Arial"/>
        </w:rPr>
        <w:t xml:space="preserve">la respuesta y </w:t>
      </w:r>
      <w:r w:rsidR="00411692">
        <w:rPr>
          <w:rFonts w:ascii="Palatino Linotype" w:eastAsia="Calibri" w:hAnsi="Palatino Linotype" w:cs="Arial"/>
        </w:rPr>
        <w:t>ord</w:t>
      </w:r>
      <w:r w:rsidR="007A0EB7">
        <w:rPr>
          <w:rFonts w:ascii="Palatino Linotype" w:eastAsia="Calibri" w:hAnsi="Palatino Linotype" w:cs="Arial"/>
        </w:rPr>
        <w:t xml:space="preserve">enar </w:t>
      </w:r>
      <w:r w:rsidR="00261C4B">
        <w:rPr>
          <w:rFonts w:ascii="Palatino Linotype" w:eastAsia="Palatino Linotype" w:hAnsi="Palatino Linotype" w:cs="Palatino Linotype"/>
        </w:rPr>
        <w:t xml:space="preserve">haga entrega al recurrente: </w:t>
      </w:r>
      <w:r w:rsidR="00261C4B">
        <w:rPr>
          <w:rFonts w:ascii="Palatino Linotype" w:eastAsia="Palatino Linotype" w:hAnsi="Palatino Linotype" w:cs="Palatino Linotype"/>
        </w:rPr>
        <w:t xml:space="preserve">El nombre o denominación del programa social que se denunció, y en su caso las sanciones impuestas, de las denuncias señaladas por el </w:t>
      </w:r>
      <w:r w:rsidR="00261C4B">
        <w:rPr>
          <w:rFonts w:ascii="Palatino Linotype" w:eastAsia="Palatino Linotype" w:hAnsi="Palatino Linotype" w:cs="Palatino Linotype"/>
          <w:b/>
        </w:rPr>
        <w:t>SUJETO OBLIGADO</w:t>
      </w:r>
      <w:r w:rsidR="00261C4B">
        <w:rPr>
          <w:rFonts w:ascii="Palatino Linotype" w:eastAsia="Palatino Linotype" w:hAnsi="Palatino Linotype" w:cs="Palatino Linotype"/>
        </w:rPr>
        <w:t xml:space="preserve"> en su respuesta referente a los años 2017, 2018, 2020 y 2021,</w:t>
      </w:r>
      <w:r w:rsidR="00261C4B" w:rsidRPr="00261C4B">
        <w:rPr>
          <w:rFonts w:ascii="Palatino Linotype" w:eastAsia="Palatino Linotype" w:hAnsi="Palatino Linotype" w:cs="Palatino Linotype"/>
        </w:rPr>
        <w:t xml:space="preserve"> </w:t>
      </w:r>
      <w:r w:rsidR="00261C4B">
        <w:rPr>
          <w:rFonts w:ascii="Palatino Linotype" w:eastAsia="Palatino Linotype" w:hAnsi="Palatino Linotype" w:cs="Palatino Linotype"/>
        </w:rPr>
        <w:t>por lo que hace a los r</w:t>
      </w:r>
      <w:r w:rsidR="00261C4B">
        <w:rPr>
          <w:rFonts w:ascii="Palatino Linotype" w:eastAsia="Palatino Linotype" w:hAnsi="Palatino Linotype" w:cs="Palatino Linotype"/>
        </w:rPr>
        <w:t>elacionados con procedimientos por faltas graves absolutorias y que hayan causado estado (clasificando como confidencial el nombre y cargo).</w:t>
      </w:r>
    </w:p>
    <w:p w14:paraId="1BECD0F8" w14:textId="77777777" w:rsidR="00261C4B" w:rsidRDefault="00261C4B" w:rsidP="00CF3F65">
      <w:pPr>
        <w:spacing w:line="360" w:lineRule="auto"/>
        <w:contextualSpacing/>
        <w:jc w:val="both"/>
        <w:rPr>
          <w:rFonts w:ascii="Palatino Linotype" w:eastAsia="Calibri" w:hAnsi="Palatino Linotype" w:cs="Arial"/>
        </w:rPr>
      </w:pPr>
    </w:p>
    <w:p w14:paraId="06674462" w14:textId="185A1988" w:rsidR="00861A61" w:rsidRDefault="00411692" w:rsidP="00CF3F65">
      <w:pPr>
        <w:spacing w:line="360" w:lineRule="auto"/>
        <w:contextualSpacing/>
        <w:jc w:val="both"/>
        <w:rPr>
          <w:rFonts w:ascii="Palatino Linotype" w:hAnsi="Palatino Linotype" w:cs="Arial"/>
          <w:lang w:val="es-ES_tradnl"/>
        </w:rPr>
      </w:pPr>
      <w:r w:rsidRPr="00411692">
        <w:rPr>
          <w:rFonts w:ascii="Palatino Linotype" w:eastAsia="Calibri" w:hAnsi="Palatino Linotype" w:cs="Arial"/>
        </w:rPr>
        <w:t xml:space="preserve">Por tanto,  </w:t>
      </w:r>
      <w:r w:rsidR="00CF3F65" w:rsidRPr="00411692">
        <w:rPr>
          <w:rFonts w:ascii="Palatino Linotype" w:eastAsia="Calibri" w:hAnsi="Palatino Linotype" w:cs="Arial"/>
        </w:rPr>
        <w:t xml:space="preserve">se considera, </w:t>
      </w:r>
      <w:r w:rsidR="00861A61" w:rsidRPr="00411692">
        <w:rPr>
          <w:rFonts w:ascii="Palatino Linotype" w:eastAsia="Calibri" w:hAnsi="Palatino Linotype" w:cs="Arial"/>
        </w:rPr>
        <w:t xml:space="preserve">que </w:t>
      </w:r>
      <w:r w:rsidR="0067340C" w:rsidRPr="00411692">
        <w:rPr>
          <w:rFonts w:ascii="Palatino Linotype" w:eastAsia="Calibri" w:hAnsi="Palatino Linotype" w:cs="Arial"/>
        </w:rPr>
        <w:t>no deb</w:t>
      </w:r>
      <w:r w:rsidR="00CF3F65" w:rsidRPr="00411692">
        <w:rPr>
          <w:rFonts w:ascii="Palatino Linotype" w:eastAsia="Calibri" w:hAnsi="Palatino Linotype" w:cs="Arial"/>
        </w:rPr>
        <w:t>e</w:t>
      </w:r>
      <w:r w:rsidR="0067340C" w:rsidRPr="00411692">
        <w:rPr>
          <w:rFonts w:ascii="Palatino Linotype" w:eastAsia="Calibri" w:hAnsi="Palatino Linotype" w:cs="Arial"/>
        </w:rPr>
        <w:t xml:space="preserve"> </w:t>
      </w:r>
      <w:r w:rsidR="001C7B07" w:rsidRPr="00411692">
        <w:rPr>
          <w:rFonts w:ascii="Palatino Linotype" w:eastAsia="Calibri" w:hAnsi="Palatino Linotype" w:cs="Arial"/>
        </w:rPr>
        <w:t>clasificar</w:t>
      </w:r>
      <w:r w:rsidR="00CF3F65" w:rsidRPr="00411692">
        <w:rPr>
          <w:rFonts w:ascii="Palatino Linotype" w:eastAsia="Calibri" w:hAnsi="Palatino Linotype" w:cs="Arial"/>
        </w:rPr>
        <w:t>se</w:t>
      </w:r>
      <w:r w:rsidR="00F614DA" w:rsidRPr="00411692">
        <w:rPr>
          <w:rFonts w:ascii="Palatino Linotype" w:eastAsia="Calibri" w:hAnsi="Palatino Linotype" w:cs="Arial"/>
        </w:rPr>
        <w:t xml:space="preserve"> </w:t>
      </w:r>
      <w:r w:rsidR="00861A61" w:rsidRPr="00411692">
        <w:rPr>
          <w:rFonts w:ascii="Palatino Linotype" w:eastAsia="Calibri" w:hAnsi="Palatino Linotype" w:cs="Arial"/>
        </w:rPr>
        <w:t>e</w:t>
      </w:r>
      <w:r w:rsidR="00F614DA" w:rsidRPr="00411692">
        <w:rPr>
          <w:rFonts w:ascii="Palatino Linotype" w:eastAsia="Calibri" w:hAnsi="Palatino Linotype" w:cs="Arial"/>
        </w:rPr>
        <w:t>l</w:t>
      </w:r>
      <w:r w:rsidR="00861A61" w:rsidRPr="00411692">
        <w:rPr>
          <w:rFonts w:ascii="Palatino Linotype" w:eastAsia="Calibri" w:hAnsi="Palatino Linotype" w:cs="Arial"/>
        </w:rPr>
        <w:t xml:space="preserve"> nombre</w:t>
      </w:r>
      <w:r w:rsidR="00D36ABC" w:rsidRPr="00411692">
        <w:rPr>
          <w:rFonts w:ascii="Palatino Linotype" w:eastAsia="Calibri" w:hAnsi="Palatino Linotype" w:cs="Arial"/>
        </w:rPr>
        <w:t>, cargo o</w:t>
      </w:r>
      <w:r w:rsidR="00A74BB7" w:rsidRPr="00411692">
        <w:rPr>
          <w:rFonts w:ascii="Palatino Linotype" w:eastAsia="Calibri" w:hAnsi="Palatino Linotype" w:cs="Arial"/>
        </w:rPr>
        <w:t xml:space="preserve"> área de adscripción </w:t>
      </w:r>
      <w:r w:rsidR="0067340C" w:rsidRPr="00411692">
        <w:rPr>
          <w:rFonts w:ascii="Palatino Linotype" w:eastAsia="Calibri" w:hAnsi="Palatino Linotype" w:cs="Arial"/>
        </w:rPr>
        <w:t xml:space="preserve">de los servidores públicos </w:t>
      </w:r>
      <w:r w:rsidR="001C7B07" w:rsidRPr="00411692">
        <w:rPr>
          <w:rFonts w:ascii="Palatino Linotype" w:eastAsia="Calibri" w:hAnsi="Palatino Linotype" w:cs="Arial"/>
        </w:rPr>
        <w:t>a los que se les hayan iniciado procedimientos</w:t>
      </w:r>
      <w:r>
        <w:rPr>
          <w:rFonts w:ascii="Palatino Linotype" w:eastAsia="Calibri" w:hAnsi="Palatino Linotype" w:cs="Arial"/>
        </w:rPr>
        <w:t xml:space="preserve"> por faltas administrativas graves</w:t>
      </w:r>
      <w:r w:rsidR="001C7B07" w:rsidRPr="00411692">
        <w:rPr>
          <w:rFonts w:ascii="Palatino Linotype" w:eastAsia="Calibri" w:hAnsi="Palatino Linotype" w:cs="Arial"/>
        </w:rPr>
        <w:t>, si la resolución que pus</w:t>
      </w:r>
      <w:r w:rsidR="00861A61" w:rsidRPr="00411692">
        <w:rPr>
          <w:rFonts w:ascii="Palatino Linotype" w:eastAsia="Calibri" w:hAnsi="Palatino Linotype" w:cs="Arial"/>
        </w:rPr>
        <w:t xml:space="preserve">o fin al asunto fue </w:t>
      </w:r>
      <w:proofErr w:type="gramStart"/>
      <w:r w:rsidR="00861A61" w:rsidRPr="00411692">
        <w:rPr>
          <w:rFonts w:ascii="Palatino Linotype" w:eastAsia="Calibri" w:hAnsi="Palatino Linotype" w:cs="Arial"/>
        </w:rPr>
        <w:lastRenderedPageBreak/>
        <w:t>absolutoria</w:t>
      </w:r>
      <w:proofErr w:type="gramEnd"/>
      <w:r w:rsidR="00861A61" w:rsidRPr="00411692">
        <w:rPr>
          <w:rFonts w:ascii="Palatino Linotype" w:eastAsia="Calibri" w:hAnsi="Palatino Linotype" w:cs="Arial"/>
        </w:rPr>
        <w:t>, ya que entregar esa información transparenta la gestión pública y la rendición de cuentas, pues se observa, que los servidores públicos, han</w:t>
      </w:r>
      <w:r w:rsidR="00861A61" w:rsidRPr="00861A61">
        <w:rPr>
          <w:rFonts w:ascii="Palatino Linotype" w:hAnsi="Palatino Linotype" w:cs="Arial"/>
          <w:lang w:val="es-ES_tradnl"/>
        </w:rPr>
        <w:t xml:space="preserve"> cumplido con sus obligaciones </w:t>
      </w:r>
      <w:r w:rsidR="00861A61">
        <w:rPr>
          <w:rFonts w:ascii="Palatino Linotype" w:hAnsi="Palatino Linotype" w:cs="Arial"/>
          <w:lang w:val="es-ES_tradnl"/>
        </w:rPr>
        <w:t xml:space="preserve">y </w:t>
      </w:r>
      <w:r w:rsidR="00861A61" w:rsidRPr="00861A61">
        <w:rPr>
          <w:rFonts w:ascii="Palatino Linotype" w:hAnsi="Palatino Linotype" w:cs="Arial"/>
          <w:lang w:val="es-ES_tradnl"/>
        </w:rPr>
        <w:t>no ha cometido actos irregulares</w:t>
      </w:r>
      <w:r w:rsidR="00861A61">
        <w:rPr>
          <w:rFonts w:ascii="Palatino Linotype" w:hAnsi="Palatino Linotype" w:cs="Arial"/>
          <w:lang w:val="es-ES_tradnl"/>
        </w:rPr>
        <w:t xml:space="preserve">, </w:t>
      </w:r>
      <w:r w:rsidR="00861A61" w:rsidRPr="00861A61">
        <w:rPr>
          <w:rFonts w:ascii="Palatino Linotype" w:hAnsi="Palatino Linotype" w:cs="Arial"/>
          <w:lang w:val="es-ES_tradnl"/>
        </w:rPr>
        <w:t>actua</w:t>
      </w:r>
      <w:r w:rsidR="00861A61">
        <w:rPr>
          <w:rFonts w:ascii="Palatino Linotype" w:hAnsi="Palatino Linotype" w:cs="Arial"/>
          <w:lang w:val="es-ES_tradnl"/>
        </w:rPr>
        <w:t>n</w:t>
      </w:r>
      <w:r w:rsidR="00C85F1D">
        <w:rPr>
          <w:rFonts w:ascii="Palatino Linotype" w:hAnsi="Palatino Linotype" w:cs="Arial"/>
          <w:lang w:val="es-ES_tradnl"/>
        </w:rPr>
        <w:t>do conforme a la</w:t>
      </w:r>
      <w:r w:rsidR="00861A61" w:rsidRPr="00861A61">
        <w:rPr>
          <w:rFonts w:ascii="Palatino Linotype" w:hAnsi="Palatino Linotype" w:cs="Arial"/>
          <w:lang w:val="es-ES_tradnl"/>
        </w:rPr>
        <w:t xml:space="preserve"> normatividad aplicable. </w:t>
      </w:r>
    </w:p>
    <w:p w14:paraId="057E861F" w14:textId="77777777" w:rsidR="00861A61" w:rsidRDefault="00861A61" w:rsidP="00CF3F65">
      <w:pPr>
        <w:spacing w:line="360" w:lineRule="auto"/>
        <w:contextualSpacing/>
        <w:jc w:val="both"/>
        <w:rPr>
          <w:rFonts w:ascii="Palatino Linotype" w:hAnsi="Palatino Linotype" w:cs="Arial"/>
          <w:lang w:val="es-ES_tradnl"/>
        </w:rPr>
      </w:pPr>
    </w:p>
    <w:p w14:paraId="4EAB60DB" w14:textId="77777777" w:rsidR="007B1CFA" w:rsidRPr="00CF3F65" w:rsidRDefault="007B1CFA" w:rsidP="00CF3F65">
      <w:pPr>
        <w:pStyle w:val="Ttulo1"/>
        <w:numPr>
          <w:ilvl w:val="0"/>
          <w:numId w:val="2"/>
        </w:numPr>
        <w:spacing w:before="0" w:line="360" w:lineRule="auto"/>
        <w:rPr>
          <w:rFonts w:ascii="Palatino Linotype" w:hAnsi="Palatino Linotype"/>
          <w:color w:val="000000" w:themeColor="text1"/>
          <w:sz w:val="24"/>
          <w:szCs w:val="24"/>
        </w:rPr>
      </w:pPr>
      <w:bookmarkStart w:id="1" w:name="_Toc70345223"/>
      <w:r w:rsidRPr="00CF3F65">
        <w:rPr>
          <w:rFonts w:ascii="Palatino Linotype" w:hAnsi="Palatino Linotype"/>
          <w:color w:val="000000" w:themeColor="text1"/>
          <w:sz w:val="24"/>
          <w:szCs w:val="24"/>
        </w:rPr>
        <w:t>De los requerimientos planteados.</w:t>
      </w:r>
      <w:bookmarkEnd w:id="1"/>
    </w:p>
    <w:p w14:paraId="090D0BE9" w14:textId="112F7836" w:rsidR="005C481C" w:rsidRDefault="00861A61" w:rsidP="005C481C">
      <w:pPr>
        <w:spacing w:before="240" w:after="240" w:line="360" w:lineRule="auto"/>
        <w:jc w:val="both"/>
        <w:rPr>
          <w:rFonts w:ascii="Palatino Linotype" w:eastAsia="Palatino Linotype" w:hAnsi="Palatino Linotype" w:cs="Palatino Linotype"/>
        </w:rPr>
      </w:pPr>
      <w:r>
        <w:rPr>
          <w:rFonts w:ascii="Palatino Linotype" w:hAnsi="Palatino Linotype" w:cs="Arial"/>
        </w:rPr>
        <w:t xml:space="preserve">El </w:t>
      </w:r>
      <w:r w:rsidR="005C481C">
        <w:rPr>
          <w:rFonts w:ascii="Palatino Linotype" w:hAnsi="Palatino Linotype" w:cs="Arial"/>
        </w:rPr>
        <w:t>r</w:t>
      </w:r>
      <w:r w:rsidR="005C481C">
        <w:rPr>
          <w:rFonts w:ascii="Palatino Linotype" w:eastAsia="Palatino Linotype" w:hAnsi="Palatino Linotype" w:cs="Palatino Linotype"/>
          <w:b/>
        </w:rPr>
        <w:t>ecurrente</w:t>
      </w:r>
      <w:r w:rsidR="005C481C">
        <w:rPr>
          <w:rFonts w:ascii="Palatino Linotype" w:eastAsia="Palatino Linotype" w:hAnsi="Palatino Linotype" w:cs="Palatino Linotype"/>
        </w:rPr>
        <w:t xml:space="preserve"> formuló solicitudes de acceso a información pública a través del Sistema de Acc</w:t>
      </w:r>
      <w:r w:rsidR="0047213D">
        <w:rPr>
          <w:rFonts w:ascii="Palatino Linotype" w:eastAsia="Palatino Linotype" w:hAnsi="Palatino Linotype" w:cs="Palatino Linotype"/>
        </w:rPr>
        <w:t>eso a la Información Mexiquense</w:t>
      </w:r>
      <w:r w:rsidR="005C481C">
        <w:rPr>
          <w:rFonts w:ascii="Palatino Linotype" w:eastAsia="Palatino Linotype" w:hAnsi="Palatino Linotype" w:cs="Palatino Linotype"/>
        </w:rPr>
        <w:t xml:space="preserve"> </w:t>
      </w:r>
      <w:r w:rsidR="0047213D">
        <w:rPr>
          <w:rFonts w:ascii="Palatino Linotype" w:eastAsia="Palatino Linotype" w:hAnsi="Palatino Linotype" w:cs="Palatino Linotype"/>
        </w:rPr>
        <w:t>(</w:t>
      </w:r>
      <w:r w:rsidR="005C481C">
        <w:rPr>
          <w:rFonts w:ascii="Palatino Linotype" w:eastAsia="Palatino Linotype" w:hAnsi="Palatino Linotype" w:cs="Palatino Linotype"/>
          <w:b/>
        </w:rPr>
        <w:t>SAIMEX</w:t>
      </w:r>
      <w:r w:rsidR="0047213D">
        <w:rPr>
          <w:rFonts w:ascii="Palatino Linotype" w:eastAsia="Palatino Linotype" w:hAnsi="Palatino Linotype" w:cs="Palatino Linotype"/>
          <w:b/>
        </w:rPr>
        <w:t>)</w:t>
      </w:r>
      <w:r w:rsidR="005C481C">
        <w:rPr>
          <w:rFonts w:ascii="Palatino Linotype" w:eastAsia="Palatino Linotype" w:hAnsi="Palatino Linotype" w:cs="Palatino Linotype"/>
          <w:b/>
        </w:rPr>
        <w:t>,</w:t>
      </w:r>
      <w:r w:rsidR="005C481C">
        <w:rPr>
          <w:rFonts w:ascii="Palatino Linotype" w:eastAsia="Palatino Linotype" w:hAnsi="Palatino Linotype" w:cs="Palatino Linotype"/>
        </w:rPr>
        <w:t xml:space="preserve"> en la que requirió lo siguiente:</w:t>
      </w:r>
    </w:p>
    <w:p w14:paraId="60391290" w14:textId="77777777" w:rsidR="00261C4B" w:rsidRDefault="00261C4B" w:rsidP="00261C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-El número de denuncias interpuestas contra programas sociales mexiquenses y</w:t>
      </w:r>
    </w:p>
    <w:p w14:paraId="088A1347" w14:textId="77777777" w:rsidR="00261C4B" w:rsidRDefault="00261C4B" w:rsidP="00261C4B">
      <w:pPr>
        <w:spacing w:line="360" w:lineRule="auto"/>
        <w:jc w:val="both"/>
        <w:rPr>
          <w:rFonts w:ascii="Palatino Linotype" w:eastAsia="Palatino Linotype" w:hAnsi="Palatino Linotype" w:cs="Palatino Linotype"/>
        </w:rPr>
      </w:pPr>
      <w:proofErr w:type="gramStart"/>
      <w:r>
        <w:rPr>
          <w:rFonts w:ascii="Palatino Linotype" w:eastAsia="Palatino Linotype" w:hAnsi="Palatino Linotype" w:cs="Palatino Linotype"/>
          <w:color w:val="000000"/>
        </w:rPr>
        <w:t>contra</w:t>
      </w:r>
      <w:proofErr w:type="gramEnd"/>
      <w:r>
        <w:rPr>
          <w:rFonts w:ascii="Palatino Linotype" w:eastAsia="Palatino Linotype" w:hAnsi="Palatino Linotype" w:cs="Palatino Linotype"/>
          <w:color w:val="000000"/>
        </w:rPr>
        <w:t xml:space="preserve"> qué programa social </w:t>
      </w:r>
      <w:r>
        <w:rPr>
          <w:rFonts w:ascii="Palatino Linotype" w:eastAsia="Palatino Linotype" w:hAnsi="Palatino Linotype" w:cs="Palatino Linotype"/>
        </w:rPr>
        <w:t>en 2017, 2018, 2020 y 2021</w:t>
      </w:r>
    </w:p>
    <w:p w14:paraId="34125306" w14:textId="77777777" w:rsidR="00261C4B" w:rsidRDefault="00261C4B" w:rsidP="00261C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Qué se denunció.</w:t>
      </w:r>
    </w:p>
    <w:p w14:paraId="3E07EAEA" w14:textId="77777777" w:rsidR="00261C4B" w:rsidRDefault="00261C4B" w:rsidP="00261C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Contra quién o quiénes se denunció.</w:t>
      </w:r>
    </w:p>
    <w:p w14:paraId="50CBF5C3" w14:textId="77777777" w:rsidR="00261C4B" w:rsidRDefault="00261C4B" w:rsidP="00261C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Quién interpuso la denuncia (es decir un beneficiario, asociación, servidor público,</w:t>
      </w:r>
    </w:p>
    <w:p w14:paraId="3BA0231D" w14:textId="77777777" w:rsidR="00261C4B" w:rsidRDefault="00261C4B" w:rsidP="00261C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etc.)</w:t>
      </w:r>
      <w:r>
        <w:rPr>
          <w:rFonts w:ascii="Palatino Linotype" w:eastAsia="Palatino Linotype" w:hAnsi="Palatino Linotype" w:cs="Palatino Linotype"/>
          <w:color w:val="FF0000"/>
        </w:rPr>
        <w:t xml:space="preserve"> </w:t>
      </w:r>
    </w:p>
    <w:p w14:paraId="096FF13F" w14:textId="77777777" w:rsidR="00261C4B" w:rsidRDefault="00261C4B" w:rsidP="00261C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Medidas que se implementaron.</w:t>
      </w:r>
    </w:p>
    <w:p w14:paraId="2686ABF8" w14:textId="77777777" w:rsidR="00261C4B" w:rsidRDefault="00261C4B" w:rsidP="00261C4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Resultado de las medidas implementadas</w:t>
      </w:r>
    </w:p>
    <w:p w14:paraId="178017C5" w14:textId="7A8AF40D" w:rsidR="00261C4B" w:rsidRDefault="00261C4B" w:rsidP="00261C4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 </w:t>
      </w:r>
      <w:r>
        <w:rPr>
          <w:rFonts w:ascii="Palatino Linotype" w:eastAsia="Palatino Linotype" w:hAnsi="Palatino Linotype" w:cs="Palatino Linotype"/>
          <w:color w:val="000000"/>
        </w:rPr>
        <w:t>Sanciones aplicadas.</w:t>
      </w:r>
    </w:p>
    <w:p w14:paraId="0AC18D54" w14:textId="77777777" w:rsidR="0068101D" w:rsidRDefault="00524594" w:rsidP="0068101D">
      <w:pPr>
        <w:spacing w:before="240" w:after="240" w:line="360" w:lineRule="auto"/>
        <w:ind w:right="49"/>
        <w:jc w:val="both"/>
      </w:pPr>
      <w:r w:rsidRPr="005766FA">
        <w:rPr>
          <w:rFonts w:ascii="Palatino Linotype" w:eastAsia="Palatino Linotype" w:hAnsi="Palatino Linotype" w:cs="Palatino Linotype"/>
        </w:rPr>
        <w:t xml:space="preserve">En respuesta, el Sujeto Obligado </w:t>
      </w:r>
      <w:r w:rsidR="0068101D">
        <w:rPr>
          <w:rFonts w:ascii="Palatino Linotype" w:eastAsia="Palatino Linotype" w:hAnsi="Palatino Linotype" w:cs="Palatino Linotype"/>
        </w:rPr>
        <w:t>adjuntó dos documento</w:t>
      </w:r>
      <w:r w:rsidR="0068101D">
        <w:t xml:space="preserve">s, </w:t>
      </w:r>
      <w:r w:rsidR="0068101D">
        <w:rPr>
          <w:rFonts w:ascii="Palatino Linotype" w:eastAsia="Palatino Linotype" w:hAnsi="Palatino Linotype" w:cs="Palatino Linotype"/>
        </w:rPr>
        <w:t xml:space="preserve">los cuales se refieren a </w:t>
      </w:r>
      <w:proofErr w:type="gramStart"/>
      <w:r w:rsidR="0068101D">
        <w:rPr>
          <w:rFonts w:ascii="Palatino Linotype" w:eastAsia="Palatino Linotype" w:hAnsi="Palatino Linotype" w:cs="Palatino Linotype"/>
        </w:rPr>
        <w:t>continuación</w:t>
      </w:r>
      <w:proofErr w:type="gramEnd"/>
      <w:r w:rsidR="0068101D">
        <w:t>:</w:t>
      </w:r>
    </w:p>
    <w:p w14:paraId="0F7F0145" w14:textId="77777777" w:rsidR="00261C4B" w:rsidRDefault="00261C4B" w:rsidP="00261C4B">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color w:val="000000"/>
        </w:rPr>
        <w:lastRenderedPageBreak/>
        <w:t>“</w:t>
      </w:r>
      <w:hyperlink r:id="rId8" w:history="1">
        <w:r>
          <w:rPr>
            <w:rStyle w:val="Hipervnculo"/>
            <w:rFonts w:ascii="Palatino Linotype" w:eastAsia="Palatino Linotype" w:hAnsi="Palatino Linotype" w:cs="Palatino Linotype"/>
            <w:b/>
            <w:i/>
            <w:color w:val="000000"/>
          </w:rPr>
          <w:t>OFICIO DE RESPUESTA UT_1.PDF</w:t>
        </w:r>
      </w:hyperlink>
      <w:r>
        <w:rPr>
          <w:rFonts w:ascii="Palatino Linotype" w:eastAsia="Palatino Linotype" w:hAnsi="Palatino Linotype" w:cs="Palatino Linotype"/>
          <w:i/>
          <w:color w:val="000000"/>
        </w:rPr>
        <w:t xml:space="preserve">”: </w:t>
      </w:r>
      <w:r>
        <w:rPr>
          <w:rFonts w:ascii="Palatino Linotype" w:eastAsia="Palatino Linotype" w:hAnsi="Palatino Linotype" w:cs="Palatino Linotype"/>
          <w:color w:val="000000"/>
        </w:rPr>
        <w:t xml:space="preserve">Oficio de fecha once de febrero de dos mil veintidós signado por el C. Marco Antonio Becerril </w:t>
      </w:r>
      <w:proofErr w:type="spellStart"/>
      <w:r>
        <w:rPr>
          <w:rFonts w:ascii="Palatino Linotype" w:eastAsia="Palatino Linotype" w:hAnsi="Palatino Linotype" w:cs="Palatino Linotype"/>
          <w:color w:val="000000"/>
        </w:rPr>
        <w:t>Garces</w:t>
      </w:r>
      <w:proofErr w:type="spellEnd"/>
      <w:r>
        <w:rPr>
          <w:rFonts w:ascii="Palatino Linotype" w:eastAsia="Palatino Linotype" w:hAnsi="Palatino Linotype" w:cs="Palatino Linotype"/>
          <w:color w:val="000000"/>
        </w:rPr>
        <w:t xml:space="preserve">, Jefe de la Unidad y Responsable de la Unidad de Transparencia, mediante el cual menciona que adjunta el oficio de respuesta del servidor público habilitado que atendió lo requerido en la solicitud de acceso a la información pública. </w:t>
      </w:r>
    </w:p>
    <w:p w14:paraId="16607DB0" w14:textId="77777777" w:rsidR="00261C4B" w:rsidRDefault="00261C4B" w:rsidP="00261C4B">
      <w:pPr>
        <w:spacing w:line="360" w:lineRule="auto"/>
        <w:jc w:val="both"/>
        <w:rPr>
          <w:rFonts w:ascii="Palatino Linotype" w:eastAsia="Palatino Linotype" w:hAnsi="Palatino Linotype" w:cs="Palatino Linotype"/>
          <w:color w:val="000000"/>
        </w:rPr>
      </w:pPr>
    </w:p>
    <w:p w14:paraId="04EAB560" w14:textId="77777777" w:rsidR="00261C4B" w:rsidRDefault="00261C4B" w:rsidP="00261C4B">
      <w:pPr>
        <w:spacing w:line="360" w:lineRule="auto"/>
        <w:jc w:val="both"/>
        <w:rPr>
          <w:rFonts w:ascii="Palatino Linotype" w:eastAsia="Palatino Linotype" w:hAnsi="Palatino Linotype" w:cs="Palatino Linotype"/>
          <w:lang w:val="es-MX"/>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u w:val="single"/>
        </w:rPr>
        <w:t>OFICIO DE RESPUESTA SPH_1.PDF</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rPr>
        <w:t xml:space="preserve">Oficio 21800001A000000/204/2021 </w:t>
      </w:r>
      <w:r>
        <w:rPr>
          <w:rFonts w:ascii="Palatino Linotype" w:eastAsia="Palatino Linotype" w:hAnsi="Palatino Linotype" w:cs="Palatino Linotype"/>
          <w:color w:val="000000"/>
        </w:rPr>
        <w:t xml:space="preserve">de fecha nueve de febrero de dos mil veintidós, signado por el Maestro Antonio Contreras Valdés, Director General de Investigación, mediante el cual menciona que en </w:t>
      </w:r>
      <w:r>
        <w:rPr>
          <w:rFonts w:ascii="Palatino Linotype" w:eastAsia="Palatino Linotype" w:hAnsi="Palatino Linotype" w:cs="Palatino Linotype"/>
        </w:rPr>
        <w:t xml:space="preserve">el Sistema de Atención Mexiquense constituye el medio por el cual pueden presentarse denuncias, sugerencias o reconocimientos de servidores públicos, ciudadanos o empresas relacionadas con el Gobierno del Estado de México por lo cual, se llevó a cabo una consulta en la base de datos del Sistema de Atención Mexiquense el cual arroja los datos registrados por los usuarios, por lo tanto esto implica que puede haber imprecisiones si el usuario no hace una identificación correcta del programa social, lo que puede arrojar resultados de denuncias no relacionadas con programas sociales, pero que fueron registradas como tales por los usuarios del sistema. La obtención de información respecto a qué se denunció y contra qué programa social, requiere el procesamiento y resumen de cada uno de los registros efectuados por los usuarios del Sistema de Atención Mexiquense para en su caso poder presentarla conforme al interés del denunciante. Los programas y asistencia social mexiquense son consultables en las direcciones </w:t>
      </w:r>
      <w:hyperlink r:id="rId9" w:history="1">
        <w:r>
          <w:rPr>
            <w:rStyle w:val="Hipervnculo"/>
            <w:rFonts w:ascii="Palatino Linotype" w:eastAsia="Palatino Linotype" w:hAnsi="Palatino Linotype" w:cs="Palatino Linotype"/>
            <w:color w:val="0000FF"/>
          </w:rPr>
          <w:t>https://edomex.gob.mx/programa_asistencia_social</w:t>
        </w:r>
      </w:hyperlink>
      <w:r>
        <w:rPr>
          <w:rFonts w:ascii="Palatino Linotype" w:eastAsia="Palatino Linotype" w:hAnsi="Palatino Linotype" w:cs="Palatino Linotype"/>
        </w:rPr>
        <w:t xml:space="preserve"> y </w:t>
      </w:r>
      <w:hyperlink r:id="rId10" w:history="1">
        <w:r>
          <w:rPr>
            <w:rStyle w:val="Hipervnculo"/>
            <w:rFonts w:ascii="Palatino Linotype" w:eastAsia="Palatino Linotype" w:hAnsi="Palatino Linotype" w:cs="Palatino Linotype"/>
            <w:color w:val="0000FF"/>
          </w:rPr>
          <w:t>https://sedesem.edomex.gob.mx/programas_sociales</w:t>
        </w:r>
      </w:hyperlink>
      <w:r>
        <w:rPr>
          <w:rFonts w:ascii="Palatino Linotype" w:eastAsia="Palatino Linotype" w:hAnsi="Palatino Linotype" w:cs="Palatino Linotype"/>
        </w:rPr>
        <w:t xml:space="preserve"> mediante el cual se obtuvo lo siguiente:</w:t>
      </w:r>
    </w:p>
    <w:p w14:paraId="55F3B2B3" w14:textId="1E229B5C" w:rsidR="00261C4B" w:rsidRDefault="00261C4B" w:rsidP="00261C4B">
      <w:pPr>
        <w:spacing w:before="240" w:after="240" w:line="360" w:lineRule="auto"/>
        <w:jc w:val="both"/>
        <w:rPr>
          <w:rFonts w:ascii="Palatino Linotype" w:eastAsia="Palatino Linotype" w:hAnsi="Palatino Linotype" w:cs="Palatino Linotype"/>
        </w:rPr>
      </w:pPr>
      <w:r>
        <w:rPr>
          <w:noProof/>
          <w:lang w:val="es-MX" w:eastAsia="es-MX"/>
        </w:rPr>
        <w:drawing>
          <wp:inline distT="0" distB="0" distL="0" distR="0" wp14:anchorId="30AEDCAF" wp14:editId="7F8EC21F">
            <wp:extent cx="5612130" cy="2785110"/>
            <wp:effectExtent l="0" t="0" r="7620" b="0"/>
            <wp:docPr id="21" name="image9.png"/>
            <wp:cNvGraphicFramePr/>
            <a:graphic xmlns:a="http://schemas.openxmlformats.org/drawingml/2006/main">
              <a:graphicData uri="http://schemas.openxmlformats.org/drawingml/2006/picture">
                <pic:pic xmlns:pic="http://schemas.openxmlformats.org/drawingml/2006/picture">
                  <pic:nvPicPr>
                    <pic:cNvPr id="21" name="image9.png"/>
                    <pic:cNvPicPr/>
                  </pic:nvPicPr>
                  <pic:blipFill>
                    <a:blip r:embed="rId11"/>
                    <a:srcRect l="25459" t="12673" r="8180" b="19735"/>
                    <a:stretch>
                      <a:fillRect/>
                    </a:stretch>
                  </pic:blipFill>
                  <pic:spPr>
                    <a:xfrm>
                      <a:off x="0" y="0"/>
                      <a:ext cx="5612130" cy="2785110"/>
                    </a:xfrm>
                    <a:prstGeom prst="rect">
                      <a:avLst/>
                    </a:prstGeom>
                    <a:ln/>
                  </pic:spPr>
                </pic:pic>
              </a:graphicData>
            </a:graphic>
          </wp:inline>
        </w:drawing>
      </w:r>
    </w:p>
    <w:p w14:paraId="6C7AAF03" w14:textId="13FCF2B0" w:rsidR="0047213D" w:rsidRPr="005766FA" w:rsidRDefault="00524594" w:rsidP="00261C4B">
      <w:pPr>
        <w:spacing w:before="240" w:after="240" w:line="360" w:lineRule="auto"/>
        <w:jc w:val="both"/>
        <w:rPr>
          <w:rFonts w:ascii="Palatino Linotype" w:eastAsia="Palatino Linotype" w:hAnsi="Palatino Linotype" w:cs="Palatino Linotype"/>
        </w:rPr>
      </w:pPr>
      <w:r w:rsidRPr="005766FA">
        <w:rPr>
          <w:rFonts w:ascii="Palatino Linotype" w:eastAsia="Palatino Linotype" w:hAnsi="Palatino Linotype" w:cs="Palatino Linotype"/>
        </w:rPr>
        <w:t>Inconforme con la respuesta</w:t>
      </w:r>
      <w:r w:rsidR="009E155A" w:rsidRPr="005766FA">
        <w:rPr>
          <w:rFonts w:ascii="Palatino Linotype" w:eastAsia="Palatino Linotype" w:hAnsi="Palatino Linotype" w:cs="Palatino Linotype"/>
        </w:rPr>
        <w:t>, el Recurrente interpuso el recurso</w:t>
      </w:r>
      <w:r w:rsidRPr="005766FA">
        <w:rPr>
          <w:rFonts w:ascii="Palatino Linotype" w:eastAsia="Palatino Linotype" w:hAnsi="Palatino Linotype" w:cs="Palatino Linotype"/>
        </w:rPr>
        <w:t xml:space="preserve"> de revisión </w:t>
      </w:r>
      <w:r w:rsidR="0047213D" w:rsidRPr="005766FA">
        <w:rPr>
          <w:rFonts w:ascii="Palatino Linotype" w:eastAsia="Palatino Linotype" w:hAnsi="Palatino Linotype" w:cs="Palatino Linotype"/>
        </w:rPr>
        <w:t xml:space="preserve">en los siguientes términos: </w:t>
      </w:r>
    </w:p>
    <w:p w14:paraId="7C1AA337" w14:textId="77777777" w:rsidR="00261C4B" w:rsidRDefault="00261C4B" w:rsidP="00261C4B">
      <w:pPr>
        <w:numPr>
          <w:ilvl w:val="0"/>
          <w:numId w:val="16"/>
        </w:numPr>
        <w:spacing w:before="240" w:after="240" w:line="360" w:lineRule="auto"/>
        <w:jc w:val="both"/>
        <w:rPr>
          <w:rFonts w:ascii="Palatino Linotype" w:eastAsia="Palatino Linotype" w:hAnsi="Palatino Linotype" w:cs="Palatino Linotype"/>
          <w:b/>
          <w:i/>
          <w:color w:val="000000"/>
          <w:lang w:val="es-MX"/>
        </w:rPr>
      </w:pPr>
      <w:r>
        <w:rPr>
          <w:rFonts w:ascii="Palatino Linotype" w:eastAsia="Palatino Linotype" w:hAnsi="Palatino Linotype" w:cs="Palatino Linotype"/>
          <w:b/>
          <w:i/>
          <w:color w:val="000000"/>
        </w:rPr>
        <w:t>Acto Impugnado:</w:t>
      </w:r>
    </w:p>
    <w:p w14:paraId="24F47735" w14:textId="77777777" w:rsidR="00261C4B" w:rsidRDefault="00261C4B" w:rsidP="00261C4B">
      <w:pPr>
        <w:spacing w:before="240" w:after="240" w:line="276" w:lineRule="auto"/>
        <w:ind w:lef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i/>
          <w:color w:val="000000"/>
        </w:rPr>
        <w:t>Respuesta incompleta</w:t>
      </w:r>
      <w:r>
        <w:rPr>
          <w:rFonts w:ascii="Palatino Linotype" w:eastAsia="Palatino Linotype" w:hAnsi="Palatino Linotype" w:cs="Palatino Linotype"/>
          <w:i/>
        </w:rPr>
        <w:t>” [sic]</w:t>
      </w:r>
    </w:p>
    <w:p w14:paraId="518DFA67" w14:textId="77777777" w:rsidR="00261C4B" w:rsidRDefault="00261C4B" w:rsidP="00261C4B">
      <w:pPr>
        <w:numPr>
          <w:ilvl w:val="0"/>
          <w:numId w:val="16"/>
        </w:numPr>
        <w:spacing w:before="240" w:after="240" w:line="360" w:lineRule="auto"/>
        <w:rPr>
          <w:rFonts w:ascii="Palatino Linotype" w:eastAsia="Palatino Linotype" w:hAnsi="Palatino Linotype" w:cs="Palatino Linotype"/>
          <w:i/>
          <w:color w:val="000000"/>
        </w:rPr>
      </w:pPr>
      <w:r>
        <w:rPr>
          <w:rFonts w:ascii="Palatino Linotype" w:eastAsia="Palatino Linotype" w:hAnsi="Palatino Linotype" w:cs="Palatino Linotype"/>
          <w:b/>
          <w:i/>
          <w:color w:val="000000"/>
        </w:rPr>
        <w:t>Razones o Motivos de Inconformidad</w:t>
      </w:r>
      <w:r>
        <w:rPr>
          <w:rFonts w:ascii="Palatino Linotype" w:eastAsia="Palatino Linotype" w:hAnsi="Palatino Linotype" w:cs="Palatino Linotype"/>
          <w:i/>
          <w:color w:val="000000"/>
        </w:rPr>
        <w:t>:</w:t>
      </w:r>
    </w:p>
    <w:p w14:paraId="4ECC2C91" w14:textId="77777777" w:rsidR="00261C4B" w:rsidRDefault="00261C4B" w:rsidP="00261C4B">
      <w:pPr>
        <w:spacing w:before="240" w:after="240" w:line="276" w:lineRule="auto"/>
        <w:ind w:lef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color w:val="000000"/>
        </w:rPr>
        <w:t xml:space="preserve">“Adjunto recurso de revisión” </w:t>
      </w:r>
      <w:r>
        <w:rPr>
          <w:rFonts w:ascii="Palatino Linotype" w:eastAsia="Palatino Linotype" w:hAnsi="Palatino Linotype" w:cs="Palatino Linotype"/>
          <w:i/>
        </w:rPr>
        <w:t>[sic]</w:t>
      </w:r>
    </w:p>
    <w:p w14:paraId="4BCA5B99" w14:textId="66BA03E0" w:rsidR="00F75892" w:rsidRDefault="00BB11DB" w:rsidP="00F75892">
      <w:pPr>
        <w:spacing w:before="240" w:after="240" w:line="360" w:lineRule="auto"/>
        <w:jc w:val="both"/>
        <w:rPr>
          <w:rFonts w:ascii="Palatino Linotype" w:eastAsia="Palatino Linotype" w:hAnsi="Palatino Linotype" w:cs="Palatino Linotype"/>
          <w:color w:val="000000"/>
        </w:rPr>
      </w:pPr>
      <w:r w:rsidRPr="0047213D">
        <w:rPr>
          <w:rFonts w:ascii="Palatino Linotype" w:eastAsia="Palatino Linotype" w:hAnsi="Palatino Linotype" w:cs="Palatino Linotype"/>
        </w:rPr>
        <w:t>P</w:t>
      </w:r>
      <w:r w:rsidR="00524594" w:rsidRPr="0047213D">
        <w:rPr>
          <w:rFonts w:ascii="Palatino Linotype" w:eastAsia="Palatino Linotype" w:hAnsi="Palatino Linotype" w:cs="Palatino Linotype"/>
        </w:rPr>
        <w:t xml:space="preserve">revia sustanciación del recurso, se determinó </w:t>
      </w:r>
      <w:r w:rsidR="00F75892">
        <w:rPr>
          <w:rFonts w:ascii="Palatino Linotype" w:eastAsia="Palatino Linotype" w:hAnsi="Palatino Linotype" w:cs="Palatino Linotype"/>
          <w:b/>
        </w:rPr>
        <w:t xml:space="preserve">modificar </w:t>
      </w:r>
      <w:r w:rsidR="00F75892">
        <w:rPr>
          <w:rFonts w:ascii="Palatino Linotype" w:eastAsia="Palatino Linotype" w:hAnsi="Palatino Linotype" w:cs="Palatino Linotype"/>
        </w:rPr>
        <w:t xml:space="preserve">la respuesta entregada por </w:t>
      </w:r>
      <w:r w:rsidR="00F75892">
        <w:rPr>
          <w:rFonts w:ascii="Palatino Linotype" w:eastAsia="Palatino Linotype" w:hAnsi="Palatino Linotype" w:cs="Palatino Linotype"/>
          <w:b/>
        </w:rPr>
        <w:t xml:space="preserve">EL SUJETO OBLIGADO </w:t>
      </w:r>
      <w:r w:rsidR="00F75892">
        <w:rPr>
          <w:rFonts w:ascii="Palatino Linotype" w:eastAsia="Palatino Linotype" w:hAnsi="Palatino Linotype" w:cs="Palatino Linotype"/>
        </w:rPr>
        <w:t>y</w:t>
      </w:r>
      <w:r w:rsidR="00F75892">
        <w:rPr>
          <w:rFonts w:ascii="Palatino Linotype" w:eastAsia="Palatino Linotype" w:hAnsi="Palatino Linotype" w:cs="Palatino Linotype"/>
          <w:color w:val="000000"/>
        </w:rPr>
        <w:t xml:space="preserve"> </w:t>
      </w:r>
      <w:r w:rsidR="00F75892">
        <w:rPr>
          <w:rFonts w:ascii="Palatino Linotype" w:eastAsia="Palatino Linotype" w:hAnsi="Palatino Linotype" w:cs="Palatino Linotype"/>
          <w:b/>
          <w:color w:val="000000"/>
        </w:rPr>
        <w:t>ordenar</w:t>
      </w:r>
      <w:r w:rsidR="00F75892">
        <w:rPr>
          <w:rFonts w:ascii="Palatino Linotype" w:eastAsia="Palatino Linotype" w:hAnsi="Palatino Linotype" w:cs="Palatino Linotype"/>
          <w:color w:val="000000"/>
        </w:rPr>
        <w:t xml:space="preserve"> haga entrega, vía SAIMEX, lo siguiente:</w:t>
      </w:r>
    </w:p>
    <w:p w14:paraId="2D28E389" w14:textId="77777777" w:rsidR="00F75892" w:rsidRDefault="00F75892" w:rsidP="00F75892">
      <w:pPr>
        <w:spacing w:line="360" w:lineRule="auto"/>
        <w:ind w:right="-93"/>
        <w:jc w:val="both"/>
        <w:rPr>
          <w:rFonts w:ascii="Palatino Linotype" w:eastAsia="Palatino Linotype" w:hAnsi="Palatino Linotype" w:cs="Palatino Linotype"/>
          <w:color w:val="000000"/>
        </w:rPr>
      </w:pPr>
    </w:p>
    <w:p w14:paraId="20BDF3CC" w14:textId="77777777" w:rsidR="00261C4B" w:rsidRDefault="00261C4B" w:rsidP="00261C4B">
      <w:pPr>
        <w:spacing w:line="36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El nombre o denominación del programa social que se denunció, y en su caso las sanciones impuestas, de las denuncias señaladas por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su respuesta referente a los años 2017, 2018, 2020 y 2021, conforme a lo siguiente: </w:t>
      </w:r>
    </w:p>
    <w:p w14:paraId="323E9F51" w14:textId="77777777" w:rsidR="00261C4B" w:rsidRDefault="00261C4B" w:rsidP="00261C4B">
      <w:pPr>
        <w:spacing w:line="36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1.</w:t>
      </w:r>
      <w:r>
        <w:rPr>
          <w:rFonts w:ascii="Palatino Linotype" w:eastAsia="Palatino Linotype" w:hAnsi="Palatino Linotype" w:cs="Palatino Linotype"/>
        </w:rPr>
        <w:tab/>
        <w:t>Relacionados con procedimientos concluidos por faltas graves condenatorias y que hayan causado estado.</w:t>
      </w:r>
    </w:p>
    <w:p w14:paraId="2772C7D6" w14:textId="77777777" w:rsidR="00261C4B" w:rsidRDefault="00261C4B" w:rsidP="00261C4B">
      <w:pPr>
        <w:spacing w:line="36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2.</w:t>
      </w:r>
      <w:r>
        <w:rPr>
          <w:rFonts w:ascii="Palatino Linotype" w:eastAsia="Palatino Linotype" w:hAnsi="Palatino Linotype" w:cs="Palatino Linotype"/>
        </w:rPr>
        <w:tab/>
        <w:t>Relacionados con procedimientos por faltas graves absolutorias y que hayan causado estado (clasificando como confidencial el nombre y cargo).</w:t>
      </w:r>
    </w:p>
    <w:p w14:paraId="7969154F" w14:textId="77777777" w:rsidR="00261C4B" w:rsidRDefault="00261C4B" w:rsidP="00261C4B">
      <w:pPr>
        <w:spacing w:line="36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3.</w:t>
      </w:r>
      <w:r>
        <w:rPr>
          <w:rFonts w:ascii="Palatino Linotype" w:eastAsia="Palatino Linotype" w:hAnsi="Palatino Linotype" w:cs="Palatino Linotype"/>
        </w:rPr>
        <w:tab/>
        <w:t>Relacionados con procedimientos concluidos por faltas no graves (clasificando como confidencial el nombre,  cargo y sanción).</w:t>
      </w:r>
    </w:p>
    <w:p w14:paraId="6B5B7EE4" w14:textId="77777777" w:rsidR="00261C4B" w:rsidRDefault="00261C4B" w:rsidP="00261C4B">
      <w:pPr>
        <w:spacing w:line="36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Debiendo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301FD6F5" w14:textId="77777777" w:rsidR="00261C4B" w:rsidRDefault="00261C4B" w:rsidP="00261C4B">
      <w:pPr>
        <w:spacing w:line="36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4.</w:t>
      </w:r>
      <w:r>
        <w:rPr>
          <w:rFonts w:ascii="Palatino Linotype" w:eastAsia="Palatino Linotype" w:hAnsi="Palatino Linotype" w:cs="Palatino Linotype"/>
        </w:rPr>
        <w:tab/>
        <w:t>Acuerdo mediante el cual se clasifiquen como reservados los documentos donde conste lo solicitado relacionado con procedimientos por faltas no graves en trámite.</w:t>
      </w:r>
    </w:p>
    <w:p w14:paraId="50863EA8" w14:textId="77777777" w:rsidR="00261C4B" w:rsidRDefault="00261C4B" w:rsidP="00261C4B">
      <w:pPr>
        <w:spacing w:line="360" w:lineRule="auto"/>
        <w:ind w:left="993"/>
        <w:jc w:val="both"/>
        <w:rPr>
          <w:rFonts w:ascii="Palatino Linotype" w:eastAsia="Palatino Linotype" w:hAnsi="Palatino Linotype" w:cs="Palatino Linotype"/>
        </w:rPr>
      </w:pPr>
      <w:r>
        <w:rPr>
          <w:rFonts w:ascii="Palatino Linotype" w:eastAsia="Palatino Linotype" w:hAnsi="Palatino Linotype" w:cs="Palatino Linotype"/>
        </w:rPr>
        <w:t xml:space="preserve">5. Acuerdo mediante el cual se clasifique(n) como reservado(s), el o los acuerdos de los procedimientos por faltas graves que no hayan causado estado, siempre y cuando no se configure alguno de los supuestos </w:t>
      </w:r>
      <w:r>
        <w:rPr>
          <w:rFonts w:ascii="Palatino Linotype" w:eastAsia="Palatino Linotype" w:hAnsi="Palatino Linotype" w:cs="Palatino Linotype"/>
        </w:rPr>
        <w:lastRenderedPageBreak/>
        <w:t>contemplados en el artículo 142 de la Ley de la materia, en caso contrario deberá hacer entrega de los mismos en versión pública, conforme a lo establecido en considerando quinto de la presente resolución.</w:t>
      </w:r>
    </w:p>
    <w:p w14:paraId="4F637D39" w14:textId="77777777" w:rsidR="00261C4B" w:rsidRDefault="00261C4B" w:rsidP="007A0EB7">
      <w:pPr>
        <w:spacing w:line="360" w:lineRule="auto"/>
        <w:ind w:right="49"/>
        <w:jc w:val="both"/>
        <w:rPr>
          <w:rFonts w:ascii="Palatino Linotype" w:eastAsia="Palatino Linotype" w:hAnsi="Palatino Linotype" w:cs="Palatino Linotype"/>
        </w:rPr>
      </w:pPr>
    </w:p>
    <w:p w14:paraId="6803F9D5" w14:textId="17AAB0B6" w:rsidR="007A0EB7" w:rsidRDefault="00BB11DB" w:rsidP="007A0EB7">
      <w:pPr>
        <w:spacing w:line="360" w:lineRule="auto"/>
        <w:ind w:right="49"/>
        <w:jc w:val="both"/>
        <w:rPr>
          <w:rFonts w:ascii="Palatino Linotype" w:eastAsia="Palatino Linotype" w:hAnsi="Palatino Linotype" w:cs="Palatino Linotype"/>
          <w:lang w:val="es-MX"/>
        </w:rPr>
      </w:pPr>
      <w:r w:rsidRPr="00BB11DB">
        <w:rPr>
          <w:rFonts w:ascii="Palatino Linotype" w:eastAsia="Palatino Linotype" w:hAnsi="Palatino Linotype" w:cs="Palatino Linotype"/>
        </w:rPr>
        <w:t>Al analizar los</w:t>
      </w:r>
      <w:r w:rsidRPr="007E2D4F">
        <w:rPr>
          <w:rFonts w:ascii="Palatino Linotype" w:eastAsia="Palatino Linotype" w:hAnsi="Palatino Linotype" w:cs="Palatino Linotype"/>
        </w:rPr>
        <w:t xml:space="preserve"> </w:t>
      </w:r>
      <w:r w:rsidRPr="007E2D4F">
        <w:rPr>
          <w:rFonts w:ascii="Palatino Linotype" w:eastAsia="Palatino Linotype" w:hAnsi="Palatino Linotype" w:cs="Palatino Linotype"/>
          <w:b/>
        </w:rPr>
        <w:t>Procedimientos d</w:t>
      </w:r>
      <w:r w:rsidR="007A0EB7">
        <w:rPr>
          <w:rFonts w:ascii="Palatino Linotype" w:eastAsia="Palatino Linotype" w:hAnsi="Palatino Linotype" w:cs="Palatino Linotype"/>
          <w:b/>
        </w:rPr>
        <w:t xml:space="preserve">e sanciones graves absolutorias </w:t>
      </w:r>
      <w:r w:rsidRPr="007E2D4F">
        <w:rPr>
          <w:rFonts w:ascii="Palatino Linotype" w:eastAsia="Palatino Linotype" w:hAnsi="Palatino Linotype" w:cs="Palatino Linotype"/>
        </w:rPr>
        <w:t xml:space="preserve">concluidos, </w:t>
      </w:r>
      <w:r w:rsidR="007A0EB7">
        <w:rPr>
          <w:rFonts w:ascii="Palatino Linotype" w:eastAsia="Palatino Linotype" w:hAnsi="Palatino Linotype" w:cs="Palatino Linotype"/>
        </w:rPr>
        <w:t>refiere que si los procedimientos administrativos requeridos por el particular, están contenidos en expedientes que encuadran en el presente caso se procederá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26194DF1" w14:textId="77777777" w:rsidR="00BB11DB" w:rsidRDefault="00BB11DB" w:rsidP="00CF3F65">
      <w:pPr>
        <w:spacing w:line="360" w:lineRule="auto"/>
        <w:ind w:right="49"/>
        <w:contextualSpacing/>
        <w:jc w:val="both"/>
        <w:rPr>
          <w:rFonts w:ascii="Palatino Linotype" w:eastAsiaTheme="minorEastAsia" w:hAnsi="Palatino Linotype"/>
          <w:lang w:val="es-MX" w:eastAsia="es-MX"/>
        </w:rPr>
      </w:pPr>
    </w:p>
    <w:p w14:paraId="078AB369" w14:textId="6F62FBBA" w:rsidR="00524594" w:rsidRDefault="00216C06" w:rsidP="00CF3F65">
      <w:pPr>
        <w:spacing w:line="360" w:lineRule="auto"/>
        <w:ind w:right="49"/>
        <w:contextualSpacing/>
        <w:jc w:val="both"/>
        <w:rPr>
          <w:rFonts w:ascii="Palatino Linotype" w:eastAsia="Calibri" w:hAnsi="Palatino Linotype" w:cs="Tahoma"/>
          <w:iCs/>
          <w:lang w:eastAsia="es-ES_tradnl"/>
        </w:rPr>
      </w:pPr>
      <w:r>
        <w:rPr>
          <w:rFonts w:ascii="Palatino Linotype" w:eastAsiaTheme="minorEastAsia" w:hAnsi="Palatino Linotype"/>
          <w:lang w:val="es-MX" w:eastAsia="es-MX"/>
        </w:rPr>
        <w:t xml:space="preserve">Al respecto, se considera que </w:t>
      </w:r>
      <w:r w:rsidR="00BB11DB">
        <w:rPr>
          <w:rFonts w:ascii="Palatino Linotype" w:eastAsiaTheme="minorEastAsia" w:hAnsi="Palatino Linotype"/>
          <w:lang w:val="es-MX" w:eastAsia="es-MX"/>
        </w:rPr>
        <w:t xml:space="preserve">no se debe clasificar </w:t>
      </w:r>
      <w:r w:rsidR="00524594" w:rsidRPr="00CF3F65">
        <w:rPr>
          <w:rFonts w:ascii="Palatino Linotype" w:hAnsi="Palatino Linotype"/>
        </w:rPr>
        <w:t xml:space="preserve"> el nombre, cargo y área de adscripción del Servidor Público absuelto, </w:t>
      </w:r>
      <w:r w:rsidR="00524594" w:rsidRPr="00CF3F65">
        <w:rPr>
          <w:rFonts w:ascii="Palatino Linotype" w:hAnsi="Palatino Linotype"/>
          <w:bCs/>
        </w:rPr>
        <w:t xml:space="preserve">toda vez que la información solicitada, </w:t>
      </w:r>
      <w:r>
        <w:rPr>
          <w:rFonts w:ascii="Palatino Linotype" w:hAnsi="Palatino Linotype"/>
          <w:bCs/>
        </w:rPr>
        <w:t>no</w:t>
      </w:r>
      <w:r w:rsidR="00524594" w:rsidRPr="00CF3F65">
        <w:rPr>
          <w:rFonts w:ascii="Palatino Linotype" w:eastAsia="Calibri" w:hAnsi="Palatino Linotype" w:cs="Tahoma"/>
          <w:b/>
          <w:iCs/>
          <w:lang w:eastAsia="es-ES_tradnl"/>
        </w:rPr>
        <w:t xml:space="preserve"> </w:t>
      </w:r>
      <w:r w:rsidR="00524594" w:rsidRPr="00CF3F65">
        <w:rPr>
          <w:rFonts w:ascii="Palatino Linotype" w:eastAsia="Calibri" w:hAnsi="Palatino Linotype" w:cs="Tahoma"/>
          <w:iCs/>
          <w:lang w:eastAsia="es-ES_tradnl"/>
        </w:rPr>
        <w:t>podría afectar su</w:t>
      </w:r>
      <w:r>
        <w:rPr>
          <w:rFonts w:ascii="Palatino Linotype" w:eastAsia="Calibri" w:hAnsi="Palatino Linotype" w:cs="Tahoma"/>
          <w:iCs/>
          <w:lang w:eastAsia="es-ES_tradnl"/>
        </w:rPr>
        <w:t xml:space="preserve"> honor, buen nombre y su imagen, por no haber resultado responsable.</w:t>
      </w:r>
    </w:p>
    <w:p w14:paraId="1D999F88" w14:textId="77777777" w:rsidR="007E2D4F" w:rsidRPr="00CF3F65" w:rsidRDefault="007E2D4F" w:rsidP="00CF3F65">
      <w:pPr>
        <w:spacing w:line="360" w:lineRule="auto"/>
        <w:ind w:right="49"/>
        <w:contextualSpacing/>
        <w:jc w:val="both"/>
        <w:rPr>
          <w:rFonts w:ascii="Palatino Linotype" w:eastAsia="Calibri" w:hAnsi="Palatino Linotype" w:cs="Tahoma"/>
          <w:iCs/>
          <w:lang w:eastAsia="es-ES_tradnl"/>
        </w:rPr>
      </w:pPr>
    </w:p>
    <w:p w14:paraId="0C67FEC8" w14:textId="77BD616B" w:rsidR="00524594" w:rsidRPr="00CF3F65" w:rsidRDefault="00216C06" w:rsidP="00CF3F65">
      <w:pPr>
        <w:autoSpaceDE w:val="0"/>
        <w:autoSpaceDN w:val="0"/>
        <w:adjustRightInd w:val="0"/>
        <w:spacing w:line="360" w:lineRule="auto"/>
        <w:jc w:val="both"/>
        <w:rPr>
          <w:rFonts w:ascii="Palatino Linotype" w:hAnsi="Palatino Linotype"/>
        </w:rPr>
      </w:pPr>
      <w:r>
        <w:rPr>
          <w:rFonts w:ascii="Palatino Linotype" w:hAnsi="Palatino Linotype"/>
        </w:rPr>
        <w:t>E</w:t>
      </w:r>
      <w:r w:rsidR="00524594" w:rsidRPr="00CF3F65">
        <w:rPr>
          <w:rFonts w:ascii="Palatino Linotype" w:hAnsi="Palatino Linotype"/>
        </w:rPr>
        <w:t xml:space="preserve">sta Ponencia </w:t>
      </w:r>
      <w:r>
        <w:rPr>
          <w:rFonts w:ascii="Palatino Linotype" w:hAnsi="Palatino Linotype"/>
        </w:rPr>
        <w:t xml:space="preserve">sostiene </w:t>
      </w:r>
      <w:r w:rsidR="00524594" w:rsidRPr="00CF3F65">
        <w:rPr>
          <w:rFonts w:ascii="Palatino Linotype" w:hAnsi="Palatino Linotype"/>
        </w:rPr>
        <w:t xml:space="preserve">tal criterio, toda vez que las determinaciones en donde la conducta investigada no fue contraria en derecho; en las que se logra apreciar los elementos y las circunstancias que llevaron a concluir que a los servidores públicos, no le eran imputables las conductas que se le atribuían, permite la rendición de </w:t>
      </w:r>
      <w:r w:rsidR="00524594" w:rsidRPr="00CF3F65">
        <w:rPr>
          <w:rFonts w:ascii="Palatino Linotype" w:hAnsi="Palatino Linotype"/>
        </w:rPr>
        <w:lastRenderedPageBreak/>
        <w:t xml:space="preserve">cuentas del servidor público, pues se podría observar, que dicho servidor público, ha cumplido con sus obligaciones y no ha cometido actos irregulares y ha actuado conforme a las normatividad aplicable. </w:t>
      </w:r>
    </w:p>
    <w:p w14:paraId="0CA5F6EE" w14:textId="77777777" w:rsidR="00524594" w:rsidRPr="00CF3F65" w:rsidRDefault="00524594" w:rsidP="00CF3F65">
      <w:pPr>
        <w:pStyle w:val="NormalWeb"/>
        <w:spacing w:before="0" w:beforeAutospacing="0" w:after="0" w:afterAutospacing="0" w:line="360" w:lineRule="auto"/>
        <w:ind w:left="567"/>
        <w:jc w:val="both"/>
        <w:rPr>
          <w:rFonts w:ascii="Palatino Linotype" w:hAnsi="Palatino Linotype"/>
        </w:rPr>
      </w:pPr>
    </w:p>
    <w:p w14:paraId="55FECBBF" w14:textId="19E74CD8" w:rsidR="00524594" w:rsidRPr="00CF3F65" w:rsidRDefault="00524594" w:rsidP="00CF3F65">
      <w:pPr>
        <w:pStyle w:val="NormalWeb"/>
        <w:spacing w:before="0" w:beforeAutospacing="0" w:after="0" w:afterAutospacing="0" w:line="360" w:lineRule="auto"/>
        <w:jc w:val="both"/>
        <w:rPr>
          <w:rFonts w:ascii="Palatino Linotype" w:hAnsi="Palatino Linotype"/>
        </w:rPr>
      </w:pPr>
      <w:r w:rsidRPr="00CF3F65">
        <w:rPr>
          <w:rFonts w:ascii="Palatino Linotype" w:hAnsi="Palatino Linotype"/>
        </w:rPr>
        <w:t xml:space="preserve">Además, proporcionar dicha información, no genera una afectación a su honor, intimidad o buena imagen, pues contrario a esto, a través de la resolución, es posible conocer que la actuación </w:t>
      </w:r>
      <w:r w:rsidR="00216C06" w:rsidRPr="00CF3F65">
        <w:rPr>
          <w:rFonts w:ascii="Palatino Linotype" w:hAnsi="Palatino Linotype"/>
        </w:rPr>
        <w:t>del servidor</w:t>
      </w:r>
      <w:r w:rsidRPr="00CF3F65">
        <w:rPr>
          <w:rFonts w:ascii="Palatino Linotype" w:hAnsi="Palatino Linotype"/>
        </w:rPr>
        <w:t xml:space="preserve"> público, fue apegada a la normatividad aplicable, esto es, que ha ejercido su cargo, de manera honesta, responsable y conforme a lo establecido en las diversas disposiciones. </w:t>
      </w:r>
    </w:p>
    <w:p w14:paraId="2ADB3C93" w14:textId="77777777" w:rsidR="00524594" w:rsidRPr="00CF3F65" w:rsidRDefault="00524594" w:rsidP="00CF3F65">
      <w:pPr>
        <w:pStyle w:val="NormalWeb"/>
        <w:spacing w:before="0" w:beforeAutospacing="0" w:after="0" w:afterAutospacing="0" w:line="360" w:lineRule="auto"/>
        <w:ind w:left="567"/>
        <w:jc w:val="both"/>
        <w:rPr>
          <w:rFonts w:ascii="Palatino Linotype" w:hAnsi="Palatino Linotype"/>
        </w:rPr>
      </w:pPr>
    </w:p>
    <w:p w14:paraId="37AF933E" w14:textId="77777777" w:rsidR="00524594" w:rsidRPr="00CF3F65" w:rsidRDefault="00524594" w:rsidP="00CF3F65">
      <w:pPr>
        <w:pStyle w:val="NormalWeb"/>
        <w:spacing w:before="0" w:beforeAutospacing="0" w:after="0" w:afterAutospacing="0" w:line="360" w:lineRule="auto"/>
        <w:jc w:val="both"/>
        <w:rPr>
          <w:rFonts w:ascii="Palatino Linotype" w:hAnsi="Palatino Linotype"/>
        </w:rPr>
      </w:pPr>
      <w:r w:rsidRPr="00CF3F65">
        <w:rPr>
          <w:rFonts w:ascii="Palatino Linotype" w:hAnsi="Palatino Linotype"/>
        </w:rPr>
        <w:t xml:space="preserve">En ese orden de ideas, dar a conocer la información relativa a las resoluciones absolutorias por responsabilidades administrativas graves, esto es, </w:t>
      </w:r>
      <w:r w:rsidRPr="00CF3F65">
        <w:rPr>
          <w:rFonts w:ascii="Palatino Linotype" w:hAnsi="Palatino Linotype"/>
          <w:b/>
        </w:rPr>
        <w:t>que no hayan decretado alguna responsabilidad o culpabilidad</w:t>
      </w:r>
      <w:r w:rsidRPr="00CF3F65">
        <w:rPr>
          <w:rFonts w:ascii="Palatino Linotype" w:hAnsi="Palatino Linotype"/>
        </w:rPr>
        <w:t xml:space="preserve">, en caso de su existencia, en relación con un servidor público no implica una vulneración a su honor o intimidad, ya que dichos procedimientos determinan la falta de elementos para sancionarlo. </w:t>
      </w:r>
    </w:p>
    <w:p w14:paraId="3F7AD07E" w14:textId="77777777" w:rsidR="00524594" w:rsidRPr="00CF3F65" w:rsidRDefault="00524594" w:rsidP="00CF3F65">
      <w:pPr>
        <w:pStyle w:val="NormalWeb"/>
        <w:spacing w:before="0" w:beforeAutospacing="0" w:after="0" w:afterAutospacing="0" w:line="360" w:lineRule="auto"/>
        <w:jc w:val="both"/>
        <w:rPr>
          <w:rFonts w:ascii="Palatino Linotype" w:hAnsi="Palatino Linotype"/>
        </w:rPr>
      </w:pPr>
      <w:r w:rsidRPr="00CF3F65">
        <w:rPr>
          <w:rFonts w:ascii="Palatino Linotype" w:hAnsi="Palatino Linotype"/>
        </w:rPr>
        <w:t xml:space="preserve">Lo anterior de conformidad con la jurisprudencia con el rubro </w:t>
      </w:r>
      <w:r w:rsidRPr="00CF3F65">
        <w:rPr>
          <w:rFonts w:ascii="Palatino Linotype" w:hAnsi="Palatino Linotype"/>
          <w:b/>
        </w:rPr>
        <w:t>LIBERTAD DE EXPRESIÓN Y DERECHO AL HONOR. EXPRESIONES QUE SE ENCUENTRAN PROTEGIDAS CONSTITUCIONALMENTE</w:t>
      </w:r>
      <w:r w:rsidRPr="00CF3F65">
        <w:rPr>
          <w:rFonts w:ascii="Palatino Linotype" w:hAnsi="Palatino Linotype"/>
        </w:rPr>
        <w:t xml:space="preserve">, de la que se desprende que la Suprema Corte de Justicia de la Nación, considera que existe una presunción general de cobertura constitucional de todo discurso expresivo cuando las ideas expresadas tienen por objeto exteriorizar un sentir positivo o favorable hacia una persona, por lo que resulta indiscutible que no habría una intromisión al derecho al honor de la persona sobre la cual se vierten ideas u opiniones cuando son de esa naturaleza. </w:t>
      </w:r>
      <w:r w:rsidRPr="00CF3F65">
        <w:rPr>
          <w:rFonts w:ascii="Palatino Linotype" w:hAnsi="Palatino Linotype"/>
        </w:rPr>
        <w:lastRenderedPageBreak/>
        <w:t xml:space="preserve">Asimismo, prevé que el estándar de constitucionalidad de las opiniones emitidas en ejercicio de la libertad de expresión es el de relevancia pública, el cual depende del interés general por la materia y por las personas que en ella intervienen, cuando las noticias comunicadas o las expresiones proferidas redunden en descrédito del afectado, pues en caso contrario ni siquiera existiría un conflicto entre derechos fundamentales, al no observarse una intromisión al derecho al honor. </w:t>
      </w:r>
    </w:p>
    <w:p w14:paraId="659D5773" w14:textId="77777777" w:rsidR="00524594" w:rsidRPr="00CF3F65" w:rsidRDefault="00524594" w:rsidP="00CF3F65">
      <w:pPr>
        <w:pStyle w:val="NormalWeb"/>
        <w:spacing w:before="0" w:beforeAutospacing="0" w:after="0" w:afterAutospacing="0" w:line="360" w:lineRule="auto"/>
        <w:ind w:left="357"/>
        <w:jc w:val="both"/>
        <w:rPr>
          <w:rFonts w:ascii="Palatino Linotype" w:hAnsi="Palatino Linotype"/>
        </w:rPr>
      </w:pPr>
    </w:p>
    <w:p w14:paraId="1F8E5C37" w14:textId="77777777" w:rsidR="0003360D" w:rsidRDefault="00524594" w:rsidP="0003360D">
      <w:pPr>
        <w:pStyle w:val="NormalWeb"/>
        <w:spacing w:before="0" w:beforeAutospacing="0" w:after="0" w:afterAutospacing="0" w:line="360" w:lineRule="auto"/>
        <w:jc w:val="both"/>
        <w:rPr>
          <w:rFonts w:ascii="Palatino Linotype" w:hAnsi="Palatino Linotype"/>
        </w:rPr>
      </w:pPr>
      <w:r w:rsidRPr="00CF3F65">
        <w:rPr>
          <w:rFonts w:ascii="Palatino Linotype" w:hAnsi="Palatino Linotype"/>
        </w:rPr>
        <w:t xml:space="preserve">Por otro lado, en la tesis aislada con el rubro </w:t>
      </w:r>
      <w:r w:rsidRPr="00CF3F65">
        <w:rPr>
          <w:rFonts w:ascii="Palatino Linotype" w:hAnsi="Palatino Linotype"/>
          <w:b/>
        </w:rPr>
        <w:t>DERECHO A SER INFORMADO Y DERECHO AL HONOR. ESTÁNDAR PARA DETERMINAR SU PREVALENCIA</w:t>
      </w:r>
      <w:r w:rsidRPr="00CF3F65">
        <w:rPr>
          <w:rFonts w:ascii="Palatino Linotype" w:hAnsi="Palatino Linotype"/>
        </w:rPr>
        <w:t xml:space="preserve">, la Suprema Corte de Justicia de la Nación ha señalado que el derecho a la información no es absoluto, pues si bien el Estado tiene la obligación de informar a la población sobre temas de relevancia pública, también debe proteger y garantizar el derecho al honor a la reputación de las personas; por lo que, para que la autoridad pueda difundir ciertos datos, debe cerciorarse que los mismos sean de relevancia pública o interés general, o bien, versen sobre personas con un impacto público o social. Además, la información debe constituir una certera aproximación a la realidad, lo cual puede derivar de que la autoridad emisora de la información la obtenga de investigaciones, informes o estadísticas propios o de otras autoridades, así como, de hechos notorios para la sociedad. Finalmente, debe carecer de toda intervención de juicios o valoraciones subjetivas que no tengan como fin informar a la sociedad, sino que pretendan establecer una postura, opinión o crítica hacia la persona. </w:t>
      </w:r>
    </w:p>
    <w:p w14:paraId="134336E5" w14:textId="77777777" w:rsidR="0003360D" w:rsidRDefault="0003360D" w:rsidP="0003360D">
      <w:pPr>
        <w:pStyle w:val="NormalWeb"/>
        <w:spacing w:before="0" w:beforeAutospacing="0" w:after="0" w:afterAutospacing="0" w:line="360" w:lineRule="auto"/>
        <w:jc w:val="both"/>
        <w:rPr>
          <w:rFonts w:ascii="Palatino Linotype" w:hAnsi="Palatino Linotype"/>
        </w:rPr>
      </w:pPr>
    </w:p>
    <w:p w14:paraId="6BBDD2A2" w14:textId="33746493" w:rsidR="0003360D" w:rsidRDefault="0003360D" w:rsidP="0003360D">
      <w:pPr>
        <w:pStyle w:val="NormalWeb"/>
        <w:spacing w:before="0" w:beforeAutospacing="0" w:after="0" w:afterAutospacing="0" w:line="360" w:lineRule="auto"/>
        <w:jc w:val="both"/>
        <w:rPr>
          <w:rFonts w:ascii="Palatino Linotype" w:hAnsi="Palatino Linotype"/>
        </w:rPr>
      </w:pPr>
      <w:r w:rsidRPr="0028544C">
        <w:rPr>
          <w:rFonts w:ascii="Palatino Linotype" w:hAnsi="Palatino Linotype"/>
        </w:rPr>
        <w:lastRenderedPageBreak/>
        <w:t xml:space="preserve">Lo anterior tomando en consideración la trascendencia de las conductas investigadas en tales procedimientos, toda vez resultan relevantes por su impacto social o consecuencias jurídicas ya que de conformidad con lo establecido por el artículo 52 de la Ley de Responsabilidades Administrativas del Estado de México y Municipios se consideran faltas administrativas graves de los servidores públicos, mediante cualquier acto u omisión, las siguientes: </w:t>
      </w:r>
    </w:p>
    <w:p w14:paraId="6C4677BA" w14:textId="77777777" w:rsidR="0003360D" w:rsidRPr="0028544C" w:rsidRDefault="0003360D" w:rsidP="0003360D">
      <w:pPr>
        <w:pStyle w:val="NormalWeb"/>
        <w:spacing w:before="0" w:beforeAutospacing="0" w:after="0" w:afterAutospacing="0" w:line="360" w:lineRule="auto"/>
        <w:ind w:left="567"/>
        <w:jc w:val="both"/>
        <w:rPr>
          <w:rFonts w:ascii="Palatino Linotype" w:hAnsi="Palatino Linotype"/>
        </w:rPr>
      </w:pPr>
    </w:p>
    <w:p w14:paraId="666C038B" w14:textId="77777777" w:rsidR="0003360D" w:rsidRDefault="0003360D" w:rsidP="0003360D">
      <w:pPr>
        <w:pStyle w:val="Default"/>
        <w:ind w:left="567"/>
        <w:rPr>
          <w:rFonts w:cs="Times New Roman"/>
          <w:color w:val="auto"/>
          <w:lang w:eastAsia="es-MX"/>
        </w:rPr>
      </w:pPr>
      <w:r w:rsidRPr="0028544C">
        <w:rPr>
          <w:rFonts w:cs="Times New Roman"/>
          <w:color w:val="auto"/>
          <w:lang w:eastAsia="es-MX"/>
        </w:rPr>
        <w:t xml:space="preserve">I. El cohecho. </w:t>
      </w:r>
    </w:p>
    <w:p w14:paraId="149D9A5A" w14:textId="77777777" w:rsidR="0003360D" w:rsidRDefault="0003360D" w:rsidP="0003360D">
      <w:pPr>
        <w:pStyle w:val="Default"/>
        <w:ind w:left="567"/>
        <w:rPr>
          <w:rFonts w:cs="Times New Roman"/>
          <w:color w:val="auto"/>
          <w:lang w:eastAsia="es-MX"/>
        </w:rPr>
      </w:pPr>
    </w:p>
    <w:p w14:paraId="58D0D7C4" w14:textId="77777777" w:rsidR="0003360D" w:rsidRDefault="0003360D" w:rsidP="0003360D">
      <w:pPr>
        <w:pStyle w:val="Default"/>
        <w:ind w:left="567"/>
        <w:rPr>
          <w:rFonts w:cs="Times New Roman"/>
          <w:color w:val="auto"/>
          <w:lang w:eastAsia="es-MX"/>
        </w:rPr>
      </w:pPr>
      <w:r w:rsidRPr="0028544C">
        <w:rPr>
          <w:rFonts w:cs="Times New Roman"/>
          <w:color w:val="auto"/>
          <w:lang w:eastAsia="es-MX"/>
        </w:rPr>
        <w:t xml:space="preserve">II. El peculado. </w:t>
      </w:r>
    </w:p>
    <w:p w14:paraId="5EF26619" w14:textId="77777777" w:rsidR="0003360D" w:rsidRPr="0028544C" w:rsidRDefault="0003360D" w:rsidP="0003360D">
      <w:pPr>
        <w:pStyle w:val="Default"/>
        <w:ind w:left="567"/>
        <w:rPr>
          <w:rFonts w:cs="Times New Roman"/>
          <w:color w:val="auto"/>
          <w:lang w:eastAsia="es-MX"/>
        </w:rPr>
      </w:pPr>
    </w:p>
    <w:p w14:paraId="1443BC81" w14:textId="77777777" w:rsidR="0003360D" w:rsidRDefault="0003360D" w:rsidP="0003360D">
      <w:pPr>
        <w:pStyle w:val="Default"/>
        <w:ind w:left="567"/>
        <w:rPr>
          <w:rFonts w:cs="Times New Roman"/>
          <w:color w:val="auto"/>
          <w:lang w:eastAsia="es-MX"/>
        </w:rPr>
      </w:pPr>
      <w:r w:rsidRPr="0028544C">
        <w:rPr>
          <w:rFonts w:cs="Times New Roman"/>
          <w:color w:val="auto"/>
          <w:lang w:eastAsia="es-MX"/>
        </w:rPr>
        <w:t xml:space="preserve">III. El desvío de recursos públicos. </w:t>
      </w:r>
    </w:p>
    <w:p w14:paraId="05A3582A" w14:textId="77777777" w:rsidR="0003360D" w:rsidRPr="0028544C" w:rsidRDefault="0003360D" w:rsidP="0003360D">
      <w:pPr>
        <w:pStyle w:val="Default"/>
        <w:ind w:left="567"/>
        <w:rPr>
          <w:rFonts w:cs="Times New Roman"/>
          <w:color w:val="auto"/>
          <w:lang w:eastAsia="es-MX"/>
        </w:rPr>
      </w:pPr>
    </w:p>
    <w:p w14:paraId="6679F8AE" w14:textId="77777777" w:rsidR="0003360D" w:rsidRDefault="0003360D" w:rsidP="0003360D">
      <w:pPr>
        <w:pStyle w:val="Default"/>
        <w:ind w:left="567"/>
        <w:rPr>
          <w:rFonts w:cs="Times New Roman"/>
          <w:color w:val="auto"/>
          <w:lang w:eastAsia="es-MX"/>
        </w:rPr>
      </w:pPr>
      <w:r w:rsidRPr="0028544C">
        <w:rPr>
          <w:rFonts w:cs="Times New Roman"/>
          <w:color w:val="auto"/>
          <w:lang w:eastAsia="es-MX"/>
        </w:rPr>
        <w:t xml:space="preserve">IV. La utilización indebida de información. </w:t>
      </w:r>
    </w:p>
    <w:p w14:paraId="7046189B" w14:textId="77777777" w:rsidR="0003360D" w:rsidRPr="0028544C" w:rsidRDefault="0003360D" w:rsidP="0003360D">
      <w:pPr>
        <w:pStyle w:val="Default"/>
        <w:ind w:left="567"/>
        <w:rPr>
          <w:rFonts w:cs="Times New Roman"/>
          <w:color w:val="auto"/>
          <w:lang w:eastAsia="es-MX"/>
        </w:rPr>
      </w:pPr>
    </w:p>
    <w:p w14:paraId="4C2AD3A4" w14:textId="77777777" w:rsidR="0003360D" w:rsidRDefault="0003360D" w:rsidP="0003360D">
      <w:pPr>
        <w:pStyle w:val="Default"/>
        <w:ind w:left="567"/>
        <w:rPr>
          <w:rFonts w:cs="Times New Roman"/>
          <w:color w:val="auto"/>
          <w:lang w:eastAsia="es-MX"/>
        </w:rPr>
      </w:pPr>
      <w:r w:rsidRPr="0028544C">
        <w:rPr>
          <w:rFonts w:cs="Times New Roman"/>
          <w:color w:val="auto"/>
          <w:lang w:eastAsia="es-MX"/>
        </w:rPr>
        <w:t xml:space="preserve">V. El abuso de funciones. </w:t>
      </w:r>
    </w:p>
    <w:p w14:paraId="2206129F" w14:textId="77777777" w:rsidR="0003360D" w:rsidRPr="0028544C" w:rsidRDefault="0003360D" w:rsidP="0003360D">
      <w:pPr>
        <w:pStyle w:val="Default"/>
        <w:ind w:left="567"/>
        <w:rPr>
          <w:rFonts w:cs="Times New Roman"/>
          <w:color w:val="auto"/>
          <w:lang w:eastAsia="es-MX"/>
        </w:rPr>
      </w:pPr>
    </w:p>
    <w:p w14:paraId="5E0521A5" w14:textId="77777777" w:rsidR="0003360D" w:rsidRDefault="0003360D" w:rsidP="0003360D">
      <w:pPr>
        <w:pStyle w:val="Default"/>
        <w:ind w:left="567"/>
        <w:rPr>
          <w:rFonts w:cs="Times New Roman"/>
          <w:color w:val="auto"/>
          <w:lang w:eastAsia="es-MX"/>
        </w:rPr>
      </w:pPr>
      <w:r w:rsidRPr="0028544C">
        <w:rPr>
          <w:rFonts w:cs="Times New Roman"/>
          <w:color w:val="auto"/>
          <w:lang w:eastAsia="es-MX"/>
        </w:rPr>
        <w:t xml:space="preserve">VI. Cometer o tolerar conductas de hostigamiento y acoso sexual. </w:t>
      </w:r>
    </w:p>
    <w:p w14:paraId="32FB01D8" w14:textId="77777777" w:rsidR="00FC6C29" w:rsidRDefault="00FC6C29" w:rsidP="0003360D">
      <w:pPr>
        <w:pStyle w:val="Default"/>
        <w:ind w:left="567"/>
        <w:rPr>
          <w:rFonts w:cs="Times New Roman"/>
          <w:color w:val="auto"/>
          <w:lang w:eastAsia="es-MX"/>
        </w:rPr>
      </w:pPr>
    </w:p>
    <w:p w14:paraId="4948B4D3" w14:textId="77777777" w:rsidR="0003360D" w:rsidRDefault="0003360D" w:rsidP="0003360D">
      <w:pPr>
        <w:pStyle w:val="Default"/>
        <w:ind w:left="567"/>
        <w:rPr>
          <w:rFonts w:cs="Times New Roman"/>
          <w:color w:val="auto"/>
          <w:lang w:eastAsia="es-MX"/>
        </w:rPr>
      </w:pPr>
      <w:r w:rsidRPr="0028544C">
        <w:rPr>
          <w:rFonts w:cs="Times New Roman"/>
          <w:color w:val="auto"/>
          <w:lang w:eastAsia="es-MX"/>
        </w:rPr>
        <w:t xml:space="preserve">VII. El actuar bajo conflicto de interés. </w:t>
      </w:r>
    </w:p>
    <w:p w14:paraId="054DD634" w14:textId="77777777" w:rsidR="0003360D" w:rsidRPr="0028544C" w:rsidRDefault="0003360D" w:rsidP="0003360D">
      <w:pPr>
        <w:pStyle w:val="Default"/>
        <w:ind w:left="567"/>
        <w:rPr>
          <w:rFonts w:cs="Times New Roman"/>
          <w:color w:val="auto"/>
          <w:lang w:eastAsia="es-MX"/>
        </w:rPr>
      </w:pPr>
    </w:p>
    <w:p w14:paraId="161F2A50" w14:textId="77777777" w:rsidR="0003360D" w:rsidRDefault="0003360D" w:rsidP="0003360D">
      <w:pPr>
        <w:pStyle w:val="Default"/>
        <w:ind w:left="567"/>
        <w:rPr>
          <w:rFonts w:cs="Times New Roman"/>
          <w:color w:val="auto"/>
          <w:lang w:eastAsia="es-MX"/>
        </w:rPr>
      </w:pPr>
      <w:r w:rsidRPr="0028544C">
        <w:rPr>
          <w:rFonts w:cs="Times New Roman"/>
          <w:color w:val="auto"/>
          <w:lang w:eastAsia="es-MX"/>
        </w:rPr>
        <w:t xml:space="preserve">VIII. La contratación indebida. </w:t>
      </w:r>
    </w:p>
    <w:p w14:paraId="44A6F2FD" w14:textId="77777777" w:rsidR="0003360D" w:rsidRDefault="0003360D" w:rsidP="0003360D">
      <w:pPr>
        <w:pStyle w:val="Default"/>
        <w:ind w:left="567"/>
        <w:rPr>
          <w:rFonts w:cs="Times New Roman"/>
          <w:color w:val="auto"/>
          <w:lang w:eastAsia="es-MX"/>
        </w:rPr>
      </w:pPr>
    </w:p>
    <w:p w14:paraId="53C4A907" w14:textId="77777777" w:rsidR="0003360D" w:rsidRDefault="0003360D" w:rsidP="0003360D">
      <w:pPr>
        <w:pStyle w:val="Default"/>
        <w:ind w:left="567"/>
        <w:rPr>
          <w:rFonts w:cs="Times New Roman"/>
          <w:color w:val="auto"/>
          <w:lang w:eastAsia="es-MX"/>
        </w:rPr>
      </w:pPr>
      <w:r w:rsidRPr="0028544C">
        <w:rPr>
          <w:rFonts w:cs="Times New Roman"/>
          <w:color w:val="auto"/>
          <w:lang w:eastAsia="es-MX"/>
        </w:rPr>
        <w:t xml:space="preserve">IX. El enriquecimiento oculto u ocultamiento de conflicto de interés. </w:t>
      </w:r>
    </w:p>
    <w:p w14:paraId="0E73A984" w14:textId="77777777" w:rsidR="0003360D" w:rsidRPr="00332FDF" w:rsidRDefault="0003360D" w:rsidP="0003360D">
      <w:pPr>
        <w:pStyle w:val="Default"/>
        <w:ind w:left="567"/>
        <w:rPr>
          <w:rFonts w:cs="Times New Roman"/>
          <w:color w:val="auto"/>
          <w:lang w:eastAsia="es-MX"/>
        </w:rPr>
      </w:pPr>
      <w:r w:rsidRPr="00332FDF">
        <w:rPr>
          <w:rFonts w:cs="Times New Roman"/>
          <w:color w:val="auto"/>
          <w:lang w:eastAsia="es-MX"/>
        </w:rPr>
        <w:t xml:space="preserve">X. El tráfico de influencias. </w:t>
      </w:r>
    </w:p>
    <w:p w14:paraId="063AE394" w14:textId="77777777" w:rsidR="0003360D" w:rsidRPr="00332FDF" w:rsidRDefault="0003360D" w:rsidP="0003360D">
      <w:pPr>
        <w:pStyle w:val="Default"/>
        <w:ind w:left="567"/>
        <w:rPr>
          <w:rFonts w:cs="Times New Roman"/>
          <w:color w:val="auto"/>
          <w:lang w:eastAsia="es-MX"/>
        </w:rPr>
      </w:pPr>
    </w:p>
    <w:p w14:paraId="1C396834" w14:textId="77777777" w:rsidR="0003360D" w:rsidRPr="00332FDF" w:rsidRDefault="0003360D" w:rsidP="0003360D">
      <w:pPr>
        <w:pStyle w:val="Default"/>
        <w:ind w:left="567"/>
        <w:rPr>
          <w:rFonts w:cs="Times New Roman"/>
          <w:color w:val="auto"/>
          <w:lang w:eastAsia="es-MX"/>
        </w:rPr>
      </w:pPr>
      <w:r w:rsidRPr="00332FDF">
        <w:rPr>
          <w:rFonts w:cs="Times New Roman"/>
          <w:color w:val="auto"/>
          <w:lang w:eastAsia="es-MX"/>
        </w:rPr>
        <w:t xml:space="preserve">XI. El encubrimiento. </w:t>
      </w:r>
    </w:p>
    <w:p w14:paraId="615F58A6" w14:textId="77777777" w:rsidR="0003360D" w:rsidRPr="00332FDF" w:rsidRDefault="0003360D" w:rsidP="0003360D">
      <w:pPr>
        <w:pStyle w:val="Default"/>
        <w:ind w:left="567"/>
        <w:rPr>
          <w:rFonts w:cs="Times New Roman"/>
          <w:color w:val="auto"/>
          <w:lang w:eastAsia="es-MX"/>
        </w:rPr>
      </w:pPr>
    </w:p>
    <w:p w14:paraId="21D8B644" w14:textId="77777777" w:rsidR="0003360D" w:rsidRDefault="0003360D" w:rsidP="0003360D">
      <w:pPr>
        <w:pStyle w:val="Default"/>
        <w:ind w:left="567"/>
        <w:rPr>
          <w:rFonts w:cs="Times New Roman"/>
          <w:color w:val="auto"/>
          <w:lang w:eastAsia="es-MX"/>
        </w:rPr>
      </w:pPr>
      <w:r w:rsidRPr="00332FDF">
        <w:rPr>
          <w:rFonts w:cs="Times New Roman"/>
          <w:color w:val="auto"/>
          <w:lang w:eastAsia="es-MX"/>
        </w:rPr>
        <w:t xml:space="preserve">XII. El desacato. </w:t>
      </w:r>
    </w:p>
    <w:p w14:paraId="11D52001" w14:textId="77777777" w:rsidR="0003360D" w:rsidRPr="00332FDF" w:rsidRDefault="0003360D" w:rsidP="0003360D">
      <w:pPr>
        <w:pStyle w:val="Default"/>
        <w:ind w:left="567"/>
        <w:rPr>
          <w:rFonts w:cs="Times New Roman"/>
          <w:color w:val="auto"/>
          <w:lang w:eastAsia="es-MX"/>
        </w:rPr>
      </w:pPr>
    </w:p>
    <w:p w14:paraId="38397CE9" w14:textId="77777777" w:rsidR="0003360D" w:rsidRPr="00332FDF" w:rsidRDefault="0003360D" w:rsidP="0003360D">
      <w:pPr>
        <w:pStyle w:val="Default"/>
        <w:ind w:left="567"/>
        <w:rPr>
          <w:rFonts w:cs="Times New Roman"/>
          <w:color w:val="auto"/>
          <w:lang w:eastAsia="es-MX"/>
        </w:rPr>
      </w:pPr>
      <w:r w:rsidRPr="00332FDF">
        <w:rPr>
          <w:rFonts w:cs="Times New Roman"/>
          <w:color w:val="auto"/>
          <w:lang w:eastAsia="es-MX"/>
        </w:rPr>
        <w:lastRenderedPageBreak/>
        <w:t>XIII. La obstrucción de la Justicia.</w:t>
      </w:r>
    </w:p>
    <w:p w14:paraId="18EAA13A" w14:textId="77777777" w:rsidR="0003360D" w:rsidRDefault="0003360D" w:rsidP="0003360D">
      <w:pPr>
        <w:pStyle w:val="NormalWeb"/>
        <w:spacing w:before="0" w:beforeAutospacing="0" w:after="0" w:afterAutospacing="0" w:line="360" w:lineRule="auto"/>
        <w:jc w:val="both"/>
        <w:rPr>
          <w:rFonts w:ascii="Palatino Linotype" w:hAnsi="Palatino Linotype"/>
        </w:rPr>
      </w:pPr>
    </w:p>
    <w:p w14:paraId="49C02EDE" w14:textId="15084142" w:rsidR="00524594" w:rsidRPr="00CF3F65" w:rsidRDefault="0003360D" w:rsidP="00FC6C29">
      <w:pPr>
        <w:pStyle w:val="NormalWeb"/>
        <w:spacing w:before="0" w:beforeAutospacing="0" w:after="0" w:afterAutospacing="0" w:line="360" w:lineRule="auto"/>
        <w:jc w:val="both"/>
        <w:rPr>
          <w:rFonts w:ascii="Palatino Linotype" w:eastAsia="Calibri" w:hAnsi="Palatino Linotype" w:cs="Arial"/>
        </w:rPr>
      </w:pPr>
      <w:r w:rsidRPr="009565F9">
        <w:rPr>
          <w:rFonts w:ascii="Palatino Linotype" w:hAnsi="Palatino Linotype"/>
        </w:rPr>
        <w:t>En ese orden de ideas, dar a conocer la información relativa a las resoluciones absolutorias</w:t>
      </w:r>
      <w:r>
        <w:rPr>
          <w:rFonts w:ascii="Palatino Linotype" w:hAnsi="Palatino Linotype"/>
        </w:rPr>
        <w:t xml:space="preserve"> por responsabilidades administrativas graves</w:t>
      </w:r>
      <w:r w:rsidRPr="009565F9">
        <w:rPr>
          <w:rFonts w:ascii="Palatino Linotype" w:hAnsi="Palatino Linotype"/>
        </w:rPr>
        <w:t xml:space="preserve">, </w:t>
      </w:r>
      <w:r w:rsidR="00524594" w:rsidRPr="00CF3F65">
        <w:rPr>
          <w:rFonts w:ascii="Palatino Linotype" w:hAnsi="Palatino Linotype"/>
        </w:rPr>
        <w:t xml:space="preserve">transparenta la gestión pública y la rendición de cuentas, pues da a conocer que se ha conducido conforme a Derecho, es decir, de conformidad a sus objetivos, atribuciones y obligaciones. </w:t>
      </w:r>
    </w:p>
    <w:p w14:paraId="6CD2DDB4" w14:textId="77777777" w:rsidR="00524594" w:rsidRPr="00CF3F65" w:rsidRDefault="00524594" w:rsidP="00CF3F65">
      <w:pPr>
        <w:pStyle w:val="Prrafodelista"/>
        <w:spacing w:line="360" w:lineRule="auto"/>
        <w:ind w:left="567"/>
        <w:jc w:val="both"/>
        <w:rPr>
          <w:rFonts w:ascii="Palatino Linotype" w:eastAsia="Calibri" w:hAnsi="Palatino Linotype" w:cs="Arial"/>
        </w:rPr>
      </w:pPr>
    </w:p>
    <w:p w14:paraId="7090212C" w14:textId="68DBA4CD" w:rsidR="00524594" w:rsidRDefault="00524594" w:rsidP="00CF3F65">
      <w:pPr>
        <w:pStyle w:val="Prrafodelista"/>
        <w:spacing w:line="360" w:lineRule="auto"/>
        <w:ind w:left="0"/>
        <w:jc w:val="both"/>
        <w:rPr>
          <w:rFonts w:ascii="Palatino Linotype" w:hAnsi="Palatino Linotype"/>
        </w:rPr>
      </w:pPr>
      <w:r w:rsidRPr="00CF3F65">
        <w:rPr>
          <w:rFonts w:ascii="Palatino Linotype" w:hAnsi="Palatino Linotype"/>
        </w:rPr>
        <w:t xml:space="preserve">Por lo anterior,  no actualiza la causal de clasificación prevista en el artículo 143, fracción I de la Ley de Transparencia y Acceso a la Información Pública del Estado de México y Municipios, pues como se precisó dicha información no afecta, su intimidad, honor y buen nombre. </w:t>
      </w:r>
    </w:p>
    <w:p w14:paraId="36285E3F" w14:textId="77777777" w:rsidR="00C85F1D" w:rsidRDefault="00C85F1D" w:rsidP="00CF3F65">
      <w:pPr>
        <w:pStyle w:val="Prrafodelista"/>
        <w:spacing w:line="360" w:lineRule="auto"/>
        <w:ind w:left="0"/>
        <w:jc w:val="both"/>
        <w:rPr>
          <w:rFonts w:ascii="Palatino Linotype" w:hAnsi="Palatino Linotype"/>
        </w:rPr>
      </w:pPr>
    </w:p>
    <w:p w14:paraId="410172ED" w14:textId="67DB0533" w:rsidR="00524594" w:rsidRPr="00CF3F65" w:rsidRDefault="00524594" w:rsidP="00CF3F65">
      <w:pPr>
        <w:pStyle w:val="Ttulo1"/>
        <w:numPr>
          <w:ilvl w:val="0"/>
          <w:numId w:val="2"/>
        </w:numPr>
        <w:spacing w:before="0" w:line="360" w:lineRule="auto"/>
        <w:rPr>
          <w:rFonts w:ascii="Palatino Linotype" w:eastAsia="Calibri" w:hAnsi="Palatino Linotype" w:cs="Arial"/>
          <w:color w:val="000000" w:themeColor="text1"/>
          <w:sz w:val="24"/>
          <w:szCs w:val="24"/>
        </w:rPr>
      </w:pPr>
      <w:bookmarkStart w:id="2" w:name="_Toc88136406"/>
      <w:r w:rsidRPr="00CF3F65">
        <w:rPr>
          <w:rFonts w:ascii="Palatino Linotype" w:eastAsia="Calibri" w:hAnsi="Palatino Linotype" w:cs="Arial"/>
          <w:color w:val="000000" w:themeColor="text1"/>
          <w:sz w:val="24"/>
          <w:szCs w:val="24"/>
        </w:rPr>
        <w:t>C</w:t>
      </w:r>
      <w:r w:rsidR="00CF3F65" w:rsidRPr="00CF3F65">
        <w:rPr>
          <w:rFonts w:ascii="Palatino Linotype" w:eastAsia="Calibri" w:hAnsi="Palatino Linotype" w:cs="Arial"/>
          <w:color w:val="000000" w:themeColor="text1"/>
          <w:sz w:val="24"/>
          <w:szCs w:val="24"/>
        </w:rPr>
        <w:t>onclusión</w:t>
      </w:r>
      <w:bookmarkEnd w:id="2"/>
    </w:p>
    <w:p w14:paraId="6FA2D7E5" w14:textId="77777777" w:rsidR="00524594" w:rsidRPr="00CF3F65" w:rsidRDefault="00524594" w:rsidP="00CF3F65">
      <w:pPr>
        <w:pStyle w:val="Prrafodelista"/>
        <w:spacing w:line="360" w:lineRule="auto"/>
        <w:ind w:left="567"/>
        <w:rPr>
          <w:rFonts w:ascii="Palatino Linotype" w:eastAsia="Calibri" w:hAnsi="Palatino Linotype" w:cs="Arial"/>
        </w:rPr>
      </w:pPr>
    </w:p>
    <w:p w14:paraId="098DAD29" w14:textId="3C6927E7" w:rsidR="007A0EB7" w:rsidRDefault="00524594" w:rsidP="007A0EB7">
      <w:pPr>
        <w:spacing w:before="240" w:after="240" w:line="360" w:lineRule="auto"/>
        <w:jc w:val="both"/>
        <w:rPr>
          <w:rFonts w:ascii="Palatino Linotype" w:eastAsia="Palatino Linotype" w:hAnsi="Palatino Linotype" w:cs="Palatino Linotype"/>
          <w:lang w:val="es-MX"/>
        </w:rPr>
      </w:pPr>
      <w:r w:rsidRPr="00CF3F65">
        <w:rPr>
          <w:rFonts w:ascii="Palatino Linotype" w:eastAsia="Calibri" w:hAnsi="Palatino Linotype" w:cs="Arial"/>
        </w:rPr>
        <w:t xml:space="preserve">No se comparte el criterio de que  </w:t>
      </w:r>
      <w:r w:rsidR="007A0EB7">
        <w:rPr>
          <w:rFonts w:ascii="Palatino Linotype" w:eastAsia="Calibri" w:hAnsi="Palatino Linotype" w:cs="Arial"/>
        </w:rPr>
        <w:t>s</w:t>
      </w:r>
      <w:r w:rsidR="007A0EB7">
        <w:rPr>
          <w:rFonts w:ascii="Palatino Linotype" w:eastAsia="Palatino Linotype" w:hAnsi="Palatino Linotype" w:cs="Palatino Linotype"/>
        </w:rPr>
        <w:t>i los procedimientos administrativos requeridos por el particular, están contenidos en expedientes que encuadran en el presente caso se proceda a su acceso en versión pública, protegiendo el nombre, cargo y área de adscripción del Servidor Público absuelto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w:t>
      </w:r>
    </w:p>
    <w:p w14:paraId="750CB1FE" w14:textId="5F9245D4" w:rsidR="00216C06" w:rsidRPr="00CF3F65" w:rsidRDefault="00216C06" w:rsidP="00CF3F65">
      <w:pPr>
        <w:spacing w:line="360" w:lineRule="auto"/>
        <w:jc w:val="both"/>
        <w:rPr>
          <w:rFonts w:ascii="Palatino Linotype" w:eastAsia="Calibri" w:hAnsi="Palatino Linotype" w:cs="Arial"/>
        </w:rPr>
      </w:pPr>
    </w:p>
    <w:p w14:paraId="5147D54B" w14:textId="7DF51186" w:rsidR="00685B0E" w:rsidRDefault="00524594" w:rsidP="00CF3F65">
      <w:pPr>
        <w:spacing w:line="360" w:lineRule="auto"/>
        <w:jc w:val="both"/>
        <w:rPr>
          <w:rFonts w:ascii="Palatino Linotype" w:eastAsia="Calibri" w:hAnsi="Palatino Linotype" w:cs="Arial"/>
        </w:rPr>
      </w:pPr>
      <w:r w:rsidRPr="00CF3F65">
        <w:rPr>
          <w:rFonts w:ascii="Palatino Linotype" w:eastAsia="Calibri" w:hAnsi="Palatino Linotype" w:cs="Arial"/>
        </w:rPr>
        <w:t>La publicidad del nombre de los servidores públicos en resoluciones absolutorias de procedimientos administrativos refleja que no existió una falta administrativa, es decir, que las no encontraron elementos suficientes para determinar que el servidor público sujeto a procedimiento, ejerció actos o acciones contrarias a la ley y a sus facultades, atribuciones y competencias, estando libre de cualquier investigación. Dicha publicidad, lejos de causar un daño o afectación, contribuye a que la ciudadanía deposite con mayor fuerza su confianza en las autoridades que los gobierna, pues demuestra que están actuando con rectitud y honradez.</w:t>
      </w:r>
    </w:p>
    <w:p w14:paraId="4BCE8113" w14:textId="77777777" w:rsidR="00685B0E" w:rsidRDefault="00685B0E" w:rsidP="00CF3F65">
      <w:pPr>
        <w:spacing w:line="360" w:lineRule="auto"/>
        <w:jc w:val="both"/>
        <w:rPr>
          <w:rFonts w:ascii="Palatino Linotype" w:eastAsia="Calibri" w:hAnsi="Palatino Linotype" w:cs="Arial"/>
        </w:rPr>
      </w:pPr>
    </w:p>
    <w:p w14:paraId="4C3AA625" w14:textId="77777777" w:rsidR="00685B0E" w:rsidRDefault="00685B0E" w:rsidP="00CF3F65">
      <w:pPr>
        <w:spacing w:line="360" w:lineRule="auto"/>
        <w:jc w:val="both"/>
        <w:rPr>
          <w:rFonts w:ascii="Palatino Linotype" w:eastAsia="Calibri" w:hAnsi="Palatino Linotype" w:cs="Arial"/>
        </w:rPr>
      </w:pPr>
    </w:p>
    <w:p w14:paraId="0104B708" w14:textId="77777777" w:rsidR="00685B0E" w:rsidRDefault="00685B0E" w:rsidP="00CF3F65">
      <w:pPr>
        <w:spacing w:line="360" w:lineRule="auto"/>
        <w:jc w:val="both"/>
        <w:rPr>
          <w:rFonts w:ascii="Palatino Linotype" w:eastAsia="Calibri" w:hAnsi="Palatino Linotype" w:cs="Arial"/>
        </w:rPr>
      </w:pPr>
    </w:p>
    <w:p w14:paraId="2CEE5C5D" w14:textId="77777777" w:rsidR="00685B0E" w:rsidRDefault="00685B0E" w:rsidP="00CF3F65">
      <w:pPr>
        <w:spacing w:line="360" w:lineRule="auto"/>
        <w:jc w:val="both"/>
        <w:rPr>
          <w:rFonts w:ascii="Palatino Linotype" w:eastAsia="Calibri" w:hAnsi="Palatino Linotype" w:cs="Arial"/>
        </w:rPr>
      </w:pPr>
    </w:p>
    <w:p w14:paraId="4F5A26F0" w14:textId="77777777" w:rsidR="00685B0E" w:rsidRDefault="00685B0E" w:rsidP="00CF3F65">
      <w:pPr>
        <w:spacing w:line="360" w:lineRule="auto"/>
        <w:jc w:val="both"/>
        <w:rPr>
          <w:rFonts w:ascii="Palatino Linotype" w:eastAsia="Calibri" w:hAnsi="Palatino Linotype" w:cs="Arial"/>
        </w:rPr>
      </w:pPr>
    </w:p>
    <w:p w14:paraId="5094B1A5" w14:textId="77777777" w:rsidR="00685B0E" w:rsidRDefault="00685B0E" w:rsidP="00CF3F65">
      <w:pPr>
        <w:spacing w:line="360" w:lineRule="auto"/>
        <w:jc w:val="both"/>
        <w:rPr>
          <w:rFonts w:ascii="Palatino Linotype" w:eastAsia="Calibri" w:hAnsi="Palatino Linotype" w:cs="Arial"/>
        </w:rPr>
      </w:pPr>
    </w:p>
    <w:p w14:paraId="736FF109" w14:textId="77777777" w:rsidR="00685B0E" w:rsidRDefault="00685B0E" w:rsidP="00CF3F65">
      <w:pPr>
        <w:spacing w:line="360" w:lineRule="auto"/>
        <w:jc w:val="both"/>
        <w:rPr>
          <w:rFonts w:ascii="Palatino Linotype" w:eastAsia="Calibri" w:hAnsi="Palatino Linotype" w:cs="Arial"/>
        </w:rPr>
      </w:pPr>
    </w:p>
    <w:p w14:paraId="287EEE44" w14:textId="77777777" w:rsidR="00685B0E" w:rsidRDefault="00685B0E" w:rsidP="00CF3F65">
      <w:pPr>
        <w:spacing w:line="360" w:lineRule="auto"/>
        <w:jc w:val="both"/>
        <w:rPr>
          <w:rFonts w:ascii="Palatino Linotype" w:eastAsia="Calibri" w:hAnsi="Palatino Linotype" w:cs="Arial"/>
        </w:rPr>
      </w:pPr>
    </w:p>
    <w:p w14:paraId="28877441" w14:textId="77777777" w:rsidR="00685B0E" w:rsidRDefault="00685B0E" w:rsidP="00CF3F65">
      <w:pPr>
        <w:spacing w:line="360" w:lineRule="auto"/>
        <w:jc w:val="both"/>
        <w:rPr>
          <w:rFonts w:ascii="Palatino Linotype" w:eastAsia="Calibri" w:hAnsi="Palatino Linotype" w:cs="Arial"/>
        </w:rPr>
      </w:pPr>
    </w:p>
    <w:p w14:paraId="6F83BB60" w14:textId="77777777" w:rsidR="00685B0E" w:rsidRDefault="00685B0E" w:rsidP="00CF3F65">
      <w:pPr>
        <w:spacing w:line="360" w:lineRule="auto"/>
        <w:jc w:val="both"/>
        <w:rPr>
          <w:rFonts w:ascii="Palatino Linotype" w:eastAsia="Calibri" w:hAnsi="Palatino Linotype" w:cs="Arial"/>
        </w:rPr>
      </w:pPr>
    </w:p>
    <w:p w14:paraId="2BB842F2" w14:textId="77777777" w:rsidR="00685B0E" w:rsidRDefault="00685B0E" w:rsidP="00CF3F65">
      <w:pPr>
        <w:spacing w:line="360" w:lineRule="auto"/>
        <w:jc w:val="both"/>
        <w:rPr>
          <w:rFonts w:ascii="Palatino Linotype" w:eastAsia="Calibri" w:hAnsi="Palatino Linotype" w:cs="Arial"/>
        </w:rPr>
      </w:pPr>
    </w:p>
    <w:p w14:paraId="56ECF523" w14:textId="77777777" w:rsidR="00685B0E" w:rsidRDefault="00685B0E" w:rsidP="00CF3F65">
      <w:pPr>
        <w:spacing w:line="360" w:lineRule="auto"/>
        <w:jc w:val="both"/>
        <w:rPr>
          <w:rFonts w:ascii="Palatino Linotype" w:eastAsia="Calibri" w:hAnsi="Palatino Linotype" w:cs="Arial"/>
        </w:rPr>
      </w:pPr>
    </w:p>
    <w:p w14:paraId="5B851488" w14:textId="77777777" w:rsidR="00685B0E" w:rsidRDefault="00685B0E" w:rsidP="00CF3F65">
      <w:pPr>
        <w:spacing w:line="360" w:lineRule="auto"/>
        <w:jc w:val="both"/>
        <w:rPr>
          <w:rFonts w:ascii="Palatino Linotype" w:eastAsia="Calibri" w:hAnsi="Palatino Linotype" w:cs="Arial"/>
        </w:rPr>
      </w:pPr>
    </w:p>
    <w:p w14:paraId="1B7196ED" w14:textId="77777777" w:rsidR="00685B0E" w:rsidRDefault="00685B0E" w:rsidP="00CF3F65">
      <w:pPr>
        <w:spacing w:line="360" w:lineRule="auto"/>
        <w:jc w:val="both"/>
        <w:rPr>
          <w:rFonts w:ascii="Palatino Linotype" w:eastAsia="Calibri" w:hAnsi="Palatino Linotype" w:cs="Arial"/>
        </w:rPr>
      </w:pPr>
    </w:p>
    <w:p w14:paraId="6FB7BCB0" w14:textId="77777777" w:rsidR="00685B0E" w:rsidRDefault="00685B0E" w:rsidP="00CF3F65">
      <w:pPr>
        <w:spacing w:line="360" w:lineRule="auto"/>
        <w:jc w:val="both"/>
        <w:rPr>
          <w:rFonts w:ascii="Palatino Linotype" w:eastAsia="Calibri" w:hAnsi="Palatino Linotype" w:cs="Arial"/>
        </w:rPr>
      </w:pPr>
    </w:p>
    <w:p w14:paraId="76CEADC9" w14:textId="77777777" w:rsidR="00685B0E" w:rsidRDefault="00685B0E" w:rsidP="00CF3F65">
      <w:pPr>
        <w:spacing w:line="360" w:lineRule="auto"/>
        <w:jc w:val="both"/>
        <w:rPr>
          <w:rFonts w:ascii="Palatino Linotype" w:eastAsia="Calibri" w:hAnsi="Palatino Linotype" w:cs="Arial"/>
        </w:rPr>
      </w:pPr>
    </w:p>
    <w:p w14:paraId="71EDEFFA" w14:textId="77777777" w:rsidR="00685B0E" w:rsidRDefault="00685B0E" w:rsidP="00CF3F65">
      <w:pPr>
        <w:spacing w:line="360" w:lineRule="auto"/>
        <w:jc w:val="both"/>
        <w:rPr>
          <w:rFonts w:ascii="Palatino Linotype" w:eastAsia="Calibri" w:hAnsi="Palatino Linotype" w:cs="Arial"/>
        </w:rPr>
      </w:pPr>
    </w:p>
    <w:p w14:paraId="501C42AE" w14:textId="77777777" w:rsidR="00685B0E" w:rsidRDefault="00685B0E" w:rsidP="00CF3F65">
      <w:pPr>
        <w:spacing w:line="360" w:lineRule="auto"/>
        <w:jc w:val="both"/>
        <w:rPr>
          <w:rFonts w:ascii="Palatino Linotype" w:eastAsia="Calibri" w:hAnsi="Palatino Linotype" w:cs="Arial"/>
        </w:rPr>
      </w:pPr>
    </w:p>
    <w:p w14:paraId="6736E699" w14:textId="77777777" w:rsidR="00685B0E" w:rsidRDefault="00685B0E" w:rsidP="00CF3F65">
      <w:pPr>
        <w:spacing w:line="360" w:lineRule="auto"/>
        <w:jc w:val="both"/>
        <w:rPr>
          <w:rFonts w:ascii="Palatino Linotype" w:eastAsia="Calibri" w:hAnsi="Palatino Linotype" w:cs="Arial"/>
        </w:rPr>
      </w:pPr>
    </w:p>
    <w:p w14:paraId="4039702C" w14:textId="77777777" w:rsidR="00685B0E" w:rsidRDefault="00685B0E" w:rsidP="00CF3F65">
      <w:pPr>
        <w:spacing w:line="360" w:lineRule="auto"/>
        <w:jc w:val="both"/>
        <w:rPr>
          <w:rFonts w:ascii="Palatino Linotype" w:eastAsia="Calibri" w:hAnsi="Palatino Linotype" w:cs="Arial"/>
        </w:rPr>
      </w:pPr>
    </w:p>
    <w:p w14:paraId="769113BC" w14:textId="77777777" w:rsidR="00685B0E" w:rsidRDefault="00685B0E" w:rsidP="00CF3F65">
      <w:pPr>
        <w:spacing w:line="360" w:lineRule="auto"/>
        <w:jc w:val="both"/>
        <w:rPr>
          <w:rFonts w:ascii="Palatino Linotype" w:eastAsia="Calibri" w:hAnsi="Palatino Linotype" w:cs="Arial"/>
        </w:rPr>
      </w:pPr>
    </w:p>
    <w:p w14:paraId="36AF05A3" w14:textId="77777777" w:rsidR="00685B0E" w:rsidRDefault="00685B0E" w:rsidP="00CF3F65">
      <w:pPr>
        <w:spacing w:line="360" w:lineRule="auto"/>
        <w:jc w:val="both"/>
        <w:rPr>
          <w:rFonts w:ascii="Palatino Linotype" w:eastAsia="Calibri" w:hAnsi="Palatino Linotype" w:cs="Arial"/>
        </w:rPr>
      </w:pPr>
    </w:p>
    <w:p w14:paraId="73781F3F" w14:textId="77777777" w:rsidR="00685B0E" w:rsidRDefault="00685B0E" w:rsidP="00CF3F65">
      <w:pPr>
        <w:spacing w:line="360" w:lineRule="auto"/>
        <w:jc w:val="both"/>
        <w:rPr>
          <w:rFonts w:ascii="Palatino Linotype" w:eastAsia="Calibri" w:hAnsi="Palatino Linotype" w:cs="Arial"/>
        </w:rPr>
      </w:pPr>
    </w:p>
    <w:p w14:paraId="62539657" w14:textId="77777777" w:rsidR="00685B0E" w:rsidRDefault="00685B0E" w:rsidP="00CF3F65">
      <w:pPr>
        <w:spacing w:line="360" w:lineRule="auto"/>
        <w:jc w:val="both"/>
        <w:rPr>
          <w:rFonts w:ascii="Palatino Linotype" w:eastAsia="Calibri" w:hAnsi="Palatino Linotype" w:cs="Arial"/>
        </w:rPr>
      </w:pPr>
    </w:p>
    <w:p w14:paraId="3BBB7B85" w14:textId="77777777" w:rsidR="00685B0E" w:rsidRDefault="00685B0E" w:rsidP="00CF3F65">
      <w:pPr>
        <w:spacing w:line="360" w:lineRule="auto"/>
        <w:jc w:val="both"/>
        <w:rPr>
          <w:rFonts w:ascii="Palatino Linotype" w:eastAsia="Calibri" w:hAnsi="Palatino Linotype" w:cs="Arial"/>
        </w:rPr>
      </w:pPr>
    </w:p>
    <w:p w14:paraId="227E7715" w14:textId="77777777" w:rsidR="00685B0E" w:rsidRDefault="00685B0E" w:rsidP="00CF3F65">
      <w:pPr>
        <w:spacing w:line="360" w:lineRule="auto"/>
        <w:jc w:val="both"/>
        <w:rPr>
          <w:rFonts w:ascii="Palatino Linotype" w:eastAsia="Calibri" w:hAnsi="Palatino Linotype" w:cs="Arial"/>
        </w:rPr>
      </w:pPr>
    </w:p>
    <w:p w14:paraId="68AB2B55" w14:textId="77777777" w:rsidR="00685B0E" w:rsidRDefault="00685B0E" w:rsidP="00CF3F65">
      <w:pPr>
        <w:spacing w:line="360" w:lineRule="auto"/>
        <w:jc w:val="both"/>
        <w:rPr>
          <w:rFonts w:ascii="Palatino Linotype" w:eastAsia="Calibri" w:hAnsi="Palatino Linotype" w:cs="Arial"/>
        </w:rPr>
      </w:pPr>
    </w:p>
    <w:p w14:paraId="09AA3965" w14:textId="77777777" w:rsidR="00685B0E" w:rsidRDefault="00685B0E" w:rsidP="00CF3F65">
      <w:pPr>
        <w:spacing w:line="360" w:lineRule="auto"/>
        <w:jc w:val="both"/>
        <w:rPr>
          <w:rFonts w:ascii="Palatino Linotype" w:eastAsia="Calibri" w:hAnsi="Palatino Linotype" w:cs="Arial"/>
        </w:rPr>
      </w:pPr>
    </w:p>
    <w:p w14:paraId="62687F2D" w14:textId="77777777" w:rsidR="00685B0E" w:rsidRPr="00CF3F65" w:rsidRDefault="00685B0E" w:rsidP="00CF3F65">
      <w:pPr>
        <w:spacing w:line="360" w:lineRule="auto"/>
        <w:jc w:val="both"/>
        <w:rPr>
          <w:rFonts w:ascii="Palatino Linotype" w:eastAsia="Calibri" w:hAnsi="Palatino Linotype" w:cs="Arial"/>
        </w:rPr>
      </w:pPr>
    </w:p>
    <w:p w14:paraId="2AC4B520" w14:textId="77777777" w:rsidR="00524594" w:rsidRPr="00CF3F65" w:rsidRDefault="00524594" w:rsidP="00CF3F65">
      <w:pPr>
        <w:pStyle w:val="Prrafodelista"/>
        <w:spacing w:line="360" w:lineRule="auto"/>
        <w:rPr>
          <w:rFonts w:ascii="Palatino Linotype" w:eastAsia="Calibri" w:hAnsi="Palatino Linotype" w:cs="Arial"/>
        </w:rPr>
      </w:pPr>
    </w:p>
    <w:p w14:paraId="5765498A" w14:textId="77777777" w:rsidR="00524594" w:rsidRPr="00CF3F65" w:rsidRDefault="00524594" w:rsidP="00CF3F65">
      <w:pPr>
        <w:pStyle w:val="Prrafodelista"/>
        <w:spacing w:line="360" w:lineRule="auto"/>
        <w:rPr>
          <w:rFonts w:ascii="Palatino Linotype" w:eastAsia="Calibri" w:hAnsi="Palatino Linotype" w:cs="Arial"/>
        </w:rPr>
      </w:pPr>
    </w:p>
    <w:p w14:paraId="5BE23A3F" w14:textId="77777777" w:rsidR="00820022" w:rsidRPr="00CF3F65" w:rsidRDefault="00820022" w:rsidP="00CF3F65">
      <w:pPr>
        <w:spacing w:line="360" w:lineRule="auto"/>
        <w:rPr>
          <w:rFonts w:ascii="Palatino Linotype" w:hAnsi="Palatino Linotype"/>
        </w:rPr>
      </w:pPr>
    </w:p>
    <w:p w14:paraId="10E16306" w14:textId="77777777" w:rsidR="00820022" w:rsidRPr="00CF3F65" w:rsidRDefault="00820022" w:rsidP="00CF3F65">
      <w:pPr>
        <w:spacing w:line="360" w:lineRule="auto"/>
        <w:rPr>
          <w:rFonts w:ascii="Palatino Linotype" w:hAnsi="Palatino Linotype" w:cs="Arial"/>
          <w:bCs/>
        </w:rPr>
      </w:pPr>
    </w:p>
    <w:p w14:paraId="667FD2E9" w14:textId="77777777" w:rsidR="00502EE6" w:rsidRPr="00CF3F65" w:rsidRDefault="00502EE6" w:rsidP="00CF3F65">
      <w:pPr>
        <w:spacing w:line="360" w:lineRule="auto"/>
        <w:rPr>
          <w:rFonts w:ascii="Palatino Linotype" w:hAnsi="Palatino Linotype"/>
        </w:rPr>
      </w:pPr>
    </w:p>
    <w:p w14:paraId="5B1A3365" w14:textId="77777777" w:rsidR="00430304" w:rsidRDefault="00430304" w:rsidP="00CF3F65">
      <w:pPr>
        <w:spacing w:line="360" w:lineRule="auto"/>
        <w:rPr>
          <w:rFonts w:ascii="Palatino Linotype" w:hAnsi="Palatino Linotype"/>
        </w:rPr>
      </w:pPr>
      <w:bookmarkStart w:id="3" w:name="_GoBack"/>
      <w:bookmarkEnd w:id="3"/>
    </w:p>
    <w:sectPr w:rsidR="00430304" w:rsidSect="00430304">
      <w:headerReference w:type="even" r:id="rId12"/>
      <w:headerReference w:type="default" r:id="rId13"/>
      <w:footerReference w:type="even" r:id="rId14"/>
      <w:footerReference w:type="default" r:id="rId15"/>
      <w:headerReference w:type="first" r:id="rId16"/>
      <w:footerReference w:type="first" r:id="rId17"/>
      <w:pgSz w:w="12240" w:h="15840"/>
      <w:pgMar w:top="2410" w:right="1701" w:bottom="24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583A6" w14:textId="77777777" w:rsidR="00A558C6" w:rsidRDefault="00A558C6" w:rsidP="00C80F8C">
      <w:r>
        <w:separator/>
      </w:r>
    </w:p>
  </w:endnote>
  <w:endnote w:type="continuationSeparator" w:id="0">
    <w:p w14:paraId="072F391A" w14:textId="77777777" w:rsidR="00A558C6" w:rsidRDefault="00A558C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AC92E" w14:textId="77777777" w:rsidR="001112E6" w:rsidRDefault="001112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35751" w14:textId="77777777" w:rsidR="006F30F8" w:rsidRDefault="006F30F8" w:rsidP="006F30F8">
    <w:pPr>
      <w:pStyle w:val="Piedepgina"/>
      <w:ind w:firstLine="708"/>
    </w:pPr>
  </w:p>
  <w:p w14:paraId="38ED859D" w14:textId="77777777" w:rsidR="006F30F8" w:rsidRDefault="006F30F8" w:rsidP="006F30F8">
    <w:pPr>
      <w:pStyle w:val="Piedepgina"/>
      <w:ind w:firstLine="708"/>
    </w:pPr>
  </w:p>
  <w:p w14:paraId="0B2BAE82" w14:textId="77777777" w:rsidR="006F30F8" w:rsidRDefault="006F30F8" w:rsidP="006F30F8">
    <w:pPr>
      <w:pStyle w:val="Piedepgina"/>
      <w:ind w:firstLine="708"/>
    </w:pPr>
  </w:p>
  <w:p w14:paraId="25D26CDF" w14:textId="77777777" w:rsidR="006F30F8" w:rsidRDefault="006F30F8" w:rsidP="006F30F8">
    <w:pPr>
      <w:pStyle w:val="Piedepgina"/>
      <w:ind w:firstLine="708"/>
    </w:pPr>
  </w:p>
  <w:p w14:paraId="14A770F8" w14:textId="77777777" w:rsidR="006F30F8" w:rsidRDefault="006F30F8" w:rsidP="006F30F8">
    <w:pPr>
      <w:pStyle w:val="Piedepgina"/>
      <w:ind w:firstLine="70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BED4C" w14:textId="77777777" w:rsidR="001112E6" w:rsidRDefault="001112E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22ACF2" w14:textId="77777777" w:rsidR="00A558C6" w:rsidRDefault="00A558C6" w:rsidP="00C80F8C">
      <w:r>
        <w:separator/>
      </w:r>
    </w:p>
  </w:footnote>
  <w:footnote w:type="continuationSeparator" w:id="0">
    <w:p w14:paraId="44E84038" w14:textId="77777777" w:rsidR="00A558C6" w:rsidRDefault="00A558C6"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8EB71" w14:textId="4D1910B5" w:rsidR="001112E6" w:rsidRDefault="00A558C6">
    <w:pPr>
      <w:pStyle w:val="Encabezado"/>
    </w:pPr>
    <w:r>
      <w:rPr>
        <w:noProof/>
      </w:rPr>
      <w:pict w14:anchorId="528B82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7" o:spid="_x0000_s2050" type="#_x0000_t136" style="position:absolute;margin-left:0;margin-top:0;width:620.2pt;height:82.65pt;rotation:315;z-index:-251654144;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BC56B" w14:textId="7C9563CB" w:rsidR="00634485" w:rsidRPr="00A81140" w:rsidRDefault="00A558C6" w:rsidP="00C80F8C">
    <w:pPr>
      <w:pStyle w:val="Encabezado"/>
      <w:tabs>
        <w:tab w:val="clear" w:pos="4252"/>
        <w:tab w:val="clear" w:pos="8504"/>
        <w:tab w:val="left" w:pos="2326"/>
      </w:tabs>
      <w:rPr>
        <w:rFonts w:ascii="Palatino Linotype" w:hAnsi="Palatino Linotype"/>
      </w:rPr>
    </w:pPr>
    <w:r>
      <w:rPr>
        <w:noProof/>
      </w:rPr>
      <w:pict w14:anchorId="634C2E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8" o:spid="_x0000_s2051" type="#_x0000_t136" style="position:absolute;margin-left:0;margin-top:0;width:620.2pt;height:82.65pt;rotation:315;z-index:-251652096;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r w:rsidR="00B53290">
      <w:rPr>
        <w:rFonts w:ascii="Palatino Linotype" w:hAnsi="Palatino Linotype"/>
        <w:noProof/>
        <w:lang w:val="es-MX" w:eastAsia="es-MX"/>
      </w:rPr>
      <w:drawing>
        <wp:anchor distT="0" distB="0" distL="114300" distR="114300" simplePos="0" relativeHeight="251658240" behindDoc="1" locked="0" layoutInCell="1" allowOverlap="1" wp14:anchorId="46D381A4" wp14:editId="0AC9934B">
          <wp:simplePos x="0" y="0"/>
          <wp:positionH relativeFrom="column">
            <wp:posOffset>-631825</wp:posOffset>
          </wp:positionH>
          <wp:positionV relativeFrom="paragraph">
            <wp:posOffset>-357505</wp:posOffset>
          </wp:positionV>
          <wp:extent cx="7604125" cy="9903677"/>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677"/>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0F9141D0" w14:textId="05149624" w:rsidR="00634485" w:rsidRDefault="006F30F8" w:rsidP="006F30F8">
    <w:pPr>
      <w:pStyle w:val="Encabezado"/>
      <w:tabs>
        <w:tab w:val="clear" w:pos="4252"/>
        <w:tab w:val="clear" w:pos="8504"/>
        <w:tab w:val="left" w:pos="2326"/>
      </w:tabs>
    </w:pPr>
    <w:r>
      <w:tab/>
    </w:r>
  </w:p>
  <w:p w14:paraId="01D08E3E" w14:textId="77777777" w:rsidR="006F30F8" w:rsidRDefault="006F30F8" w:rsidP="006F30F8">
    <w:pPr>
      <w:pStyle w:val="Encabezado"/>
      <w:tabs>
        <w:tab w:val="clear" w:pos="4252"/>
        <w:tab w:val="clear" w:pos="8504"/>
        <w:tab w:val="left" w:pos="2326"/>
      </w:tabs>
    </w:pPr>
  </w:p>
  <w:p w14:paraId="529674EB" w14:textId="77777777" w:rsidR="00634485" w:rsidRDefault="00634485" w:rsidP="00C80F8C">
    <w:pPr>
      <w:pStyle w:val="Encabezado"/>
      <w:tabs>
        <w:tab w:val="clear" w:pos="4252"/>
        <w:tab w:val="clear" w:pos="8504"/>
        <w:tab w:val="left" w:pos="2326"/>
      </w:tabs>
    </w:pPr>
  </w:p>
  <w:p w14:paraId="71104997" w14:textId="77777777" w:rsidR="00634485" w:rsidRDefault="00634485" w:rsidP="00C80F8C">
    <w:pPr>
      <w:pStyle w:val="Encabezado"/>
      <w:tabs>
        <w:tab w:val="clear" w:pos="4252"/>
        <w:tab w:val="clear" w:pos="8504"/>
        <w:tab w:val="left" w:pos="232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106B" w14:textId="6EC0913B" w:rsidR="001112E6" w:rsidRDefault="00A558C6">
    <w:pPr>
      <w:pStyle w:val="Encabezado"/>
    </w:pPr>
    <w:r>
      <w:rPr>
        <w:noProof/>
      </w:rPr>
      <w:pict w14:anchorId="0C31D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34156" o:spid="_x0000_s2049" type="#_x0000_t136" style="position:absolute;margin-left:0;margin-top:0;width:620.2pt;height:82.65pt;rotation:315;z-index:-251656192;mso-position-horizontal:center;mso-position-horizontal-relative:margin;mso-position-vertical:center;mso-position-vertical-relative:margin" o:allowincell="f" fillcolor="silver" stroked="f">
          <v:fill opacity=".5"/>
          <v:textpath style="font-family:&quot;Times New Roman&quot;;font-size:1pt" string="VOTO PARTICULAR"/>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957EE"/>
    <w:multiLevelType w:val="multilevel"/>
    <w:tmpl w:val="06DEC88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0014C7"/>
    <w:multiLevelType w:val="multilevel"/>
    <w:tmpl w:val="914C7EE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88446B2"/>
    <w:multiLevelType w:val="hybridMultilevel"/>
    <w:tmpl w:val="ABCC5C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8F74690"/>
    <w:multiLevelType w:val="hybridMultilevel"/>
    <w:tmpl w:val="83D2900A"/>
    <w:lvl w:ilvl="0" w:tplc="DBB656BE">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2B8E2722"/>
    <w:multiLevelType w:val="hybridMultilevel"/>
    <w:tmpl w:val="90E4DF46"/>
    <w:lvl w:ilvl="0" w:tplc="15F01DA2">
      <w:start w:val="1"/>
      <w:numFmt w:val="decimal"/>
      <w:lvlText w:val="%1."/>
      <w:lvlJc w:val="left"/>
      <w:pPr>
        <w:ind w:left="72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E8673F3"/>
    <w:multiLevelType w:val="hybridMultilevel"/>
    <w:tmpl w:val="A83A3F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9507BA0"/>
    <w:multiLevelType w:val="hybridMultilevel"/>
    <w:tmpl w:val="23003D02"/>
    <w:lvl w:ilvl="0" w:tplc="CC5A2DF2">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4B06866"/>
    <w:multiLevelType w:val="multilevel"/>
    <w:tmpl w:val="C62E7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77202FA"/>
    <w:multiLevelType w:val="hybridMultilevel"/>
    <w:tmpl w:val="F65A62FC"/>
    <w:lvl w:ilvl="0" w:tplc="FCA01E7E">
      <w:start w:val="1"/>
      <w:numFmt w:val="decimal"/>
      <w:lvlText w:val="%1."/>
      <w:lvlJc w:val="left"/>
      <w:pPr>
        <w:ind w:left="502" w:hanging="360"/>
      </w:pPr>
      <w:rPr>
        <w:rFonts w:ascii="Palatino Linotype" w:eastAsia="Times New Roman" w:hAnsi="Palatino Linotype" w:hint="default"/>
        <w:b/>
        <w:i w:val="0"/>
        <w:strike w:val="0"/>
        <w:color w:val="0D0D0D" w:themeColor="text1" w:themeTint="F2"/>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632F3D9A"/>
    <w:multiLevelType w:val="multilevel"/>
    <w:tmpl w:val="E7927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653860EA"/>
    <w:multiLevelType w:val="hybridMultilevel"/>
    <w:tmpl w:val="8C74C37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EF2122C"/>
    <w:multiLevelType w:val="hybridMultilevel"/>
    <w:tmpl w:val="0B46D1F6"/>
    <w:lvl w:ilvl="0" w:tplc="080A0015">
      <w:start w:val="6"/>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5A50FB4"/>
    <w:multiLevelType w:val="hybridMultilevel"/>
    <w:tmpl w:val="4D7E3554"/>
    <w:lvl w:ilvl="0" w:tplc="52AAAC06">
      <w:start w:val="5"/>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BE43C81"/>
    <w:multiLevelType w:val="hybridMultilevel"/>
    <w:tmpl w:val="CE90225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7F1F2E41"/>
    <w:multiLevelType w:val="hybridMultilevel"/>
    <w:tmpl w:val="2F509C7A"/>
    <w:lvl w:ilvl="0" w:tplc="79427BDE">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4"/>
  </w:num>
  <w:num w:numId="4">
    <w:abstractNumId w:val="6"/>
  </w:num>
  <w:num w:numId="5">
    <w:abstractNumId w:val="11"/>
  </w:num>
  <w:num w:numId="6">
    <w:abstractNumId w:val="10"/>
  </w:num>
  <w:num w:numId="7">
    <w:abstractNumId w:val="8"/>
  </w:num>
  <w:num w:numId="8">
    <w:abstractNumId w:val="12"/>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7"/>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3360D"/>
    <w:rsid w:val="00043D11"/>
    <w:rsid w:val="00055D60"/>
    <w:rsid w:val="0008542A"/>
    <w:rsid w:val="000B3FFD"/>
    <w:rsid w:val="000C43E5"/>
    <w:rsid w:val="000C4453"/>
    <w:rsid w:val="001112E6"/>
    <w:rsid w:val="0018216B"/>
    <w:rsid w:val="001B3D11"/>
    <w:rsid w:val="001C7B07"/>
    <w:rsid w:val="00216C06"/>
    <w:rsid w:val="002378AC"/>
    <w:rsid w:val="00261C4B"/>
    <w:rsid w:val="00284217"/>
    <w:rsid w:val="00294490"/>
    <w:rsid w:val="002D5B21"/>
    <w:rsid w:val="0030433C"/>
    <w:rsid w:val="00312863"/>
    <w:rsid w:val="003D1F47"/>
    <w:rsid w:val="00411692"/>
    <w:rsid w:val="00430304"/>
    <w:rsid w:val="0047213D"/>
    <w:rsid w:val="004D0A26"/>
    <w:rsid w:val="004E305D"/>
    <w:rsid w:val="004E7984"/>
    <w:rsid w:val="00502EE6"/>
    <w:rsid w:val="0050559A"/>
    <w:rsid w:val="00513782"/>
    <w:rsid w:val="00524594"/>
    <w:rsid w:val="00575235"/>
    <w:rsid w:val="005766FA"/>
    <w:rsid w:val="005C481C"/>
    <w:rsid w:val="005D1946"/>
    <w:rsid w:val="005F3A48"/>
    <w:rsid w:val="00621357"/>
    <w:rsid w:val="00634485"/>
    <w:rsid w:val="0067340C"/>
    <w:rsid w:val="0068101D"/>
    <w:rsid w:val="00685B0E"/>
    <w:rsid w:val="006B2674"/>
    <w:rsid w:val="006E6389"/>
    <w:rsid w:val="006F0A6E"/>
    <w:rsid w:val="006F30F8"/>
    <w:rsid w:val="0071093C"/>
    <w:rsid w:val="00736C06"/>
    <w:rsid w:val="00760037"/>
    <w:rsid w:val="007617C8"/>
    <w:rsid w:val="00762C20"/>
    <w:rsid w:val="007A0EB7"/>
    <w:rsid w:val="007A1C9F"/>
    <w:rsid w:val="007B1CFA"/>
    <w:rsid w:val="007C766E"/>
    <w:rsid w:val="007D4251"/>
    <w:rsid w:val="007E2D4F"/>
    <w:rsid w:val="007E70F8"/>
    <w:rsid w:val="00820022"/>
    <w:rsid w:val="00820034"/>
    <w:rsid w:val="00861A61"/>
    <w:rsid w:val="00892AFC"/>
    <w:rsid w:val="008D1526"/>
    <w:rsid w:val="008F67BC"/>
    <w:rsid w:val="00961995"/>
    <w:rsid w:val="00975EB9"/>
    <w:rsid w:val="009E155A"/>
    <w:rsid w:val="009F0D8D"/>
    <w:rsid w:val="00A16950"/>
    <w:rsid w:val="00A303B0"/>
    <w:rsid w:val="00A53363"/>
    <w:rsid w:val="00A558C6"/>
    <w:rsid w:val="00A610D3"/>
    <w:rsid w:val="00A74BB7"/>
    <w:rsid w:val="00A81140"/>
    <w:rsid w:val="00AC0680"/>
    <w:rsid w:val="00AE7763"/>
    <w:rsid w:val="00B014D8"/>
    <w:rsid w:val="00B53290"/>
    <w:rsid w:val="00BB11DB"/>
    <w:rsid w:val="00BC1756"/>
    <w:rsid w:val="00BD07E6"/>
    <w:rsid w:val="00BD7483"/>
    <w:rsid w:val="00BF68F0"/>
    <w:rsid w:val="00BF6974"/>
    <w:rsid w:val="00C27236"/>
    <w:rsid w:val="00C65950"/>
    <w:rsid w:val="00C80F8C"/>
    <w:rsid w:val="00C85F1D"/>
    <w:rsid w:val="00C8760D"/>
    <w:rsid w:val="00CF3F65"/>
    <w:rsid w:val="00D20156"/>
    <w:rsid w:val="00D36ABC"/>
    <w:rsid w:val="00DD5CD5"/>
    <w:rsid w:val="00DE1629"/>
    <w:rsid w:val="00DE5C27"/>
    <w:rsid w:val="00F05A30"/>
    <w:rsid w:val="00F614DA"/>
    <w:rsid w:val="00F717F4"/>
    <w:rsid w:val="00F75892"/>
    <w:rsid w:val="00F9546D"/>
    <w:rsid w:val="00FB48D6"/>
    <w:rsid w:val="00FC6C2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E8CC70D"/>
  <w14:defaultImageDpi w14:val="330"/>
  <w15:docId w15:val="{5D8D9115-10DB-4B94-8BD1-9EA11293F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11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7B1CF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7B1CFA"/>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B2674"/>
    <w:pPr>
      <w:ind w:left="720"/>
      <w:contextualSpacing/>
    </w:pPr>
  </w:style>
  <w:style w:type="character" w:styleId="Hipervnculo">
    <w:name w:val="Hyperlink"/>
    <w:basedOn w:val="Fuentedeprrafopredeter"/>
    <w:uiPriority w:val="99"/>
    <w:unhideWhenUsed/>
    <w:rsid w:val="001112E6"/>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112E6"/>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12E6"/>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112E6"/>
    <w:rPr>
      <w:vertAlign w:val="superscript"/>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1112E6"/>
    <w:rPr>
      <w:rFonts w:ascii="Times New Roman" w:eastAsia="Times New Roman" w:hAnsi="Times New Roman" w:cs="Times New Roman"/>
      <w:lang w:val="es-ES"/>
    </w:rPr>
  </w:style>
  <w:style w:type="character" w:customStyle="1" w:styleId="Ttulo1Car">
    <w:name w:val="Título 1 Car"/>
    <w:basedOn w:val="Fuentedeprrafopredeter"/>
    <w:link w:val="Ttulo1"/>
    <w:uiPriority w:val="9"/>
    <w:rsid w:val="001112E6"/>
    <w:rPr>
      <w:rFonts w:asciiTheme="majorHAnsi" w:eastAsiaTheme="majorEastAsia" w:hAnsiTheme="majorHAnsi" w:cstheme="majorBidi"/>
      <w:b/>
      <w:bCs/>
      <w:color w:val="365F91" w:themeColor="accent1" w:themeShade="BF"/>
      <w:sz w:val="28"/>
      <w:szCs w:val="28"/>
      <w:lang w:val="es-ES"/>
    </w:rPr>
  </w:style>
  <w:style w:type="paragraph" w:styleId="TtulodeTDC">
    <w:name w:val="TOC Heading"/>
    <w:basedOn w:val="Ttulo1"/>
    <w:next w:val="Normal"/>
    <w:uiPriority w:val="39"/>
    <w:unhideWhenUsed/>
    <w:qFormat/>
    <w:rsid w:val="001112E6"/>
    <w:pPr>
      <w:spacing w:before="240" w:line="259" w:lineRule="auto"/>
      <w:outlineLvl w:val="9"/>
    </w:pPr>
    <w:rPr>
      <w:b w:val="0"/>
      <w:bCs w:val="0"/>
      <w:sz w:val="32"/>
      <w:szCs w:val="32"/>
      <w:lang w:val="es-MX" w:eastAsia="es-MX"/>
    </w:rPr>
  </w:style>
  <w:style w:type="paragraph" w:styleId="TDC1">
    <w:name w:val="toc 1"/>
    <w:basedOn w:val="Normal"/>
    <w:next w:val="Normal"/>
    <w:autoRedefine/>
    <w:uiPriority w:val="39"/>
    <w:unhideWhenUsed/>
    <w:rsid w:val="001112E6"/>
    <w:pPr>
      <w:spacing w:after="100" w:line="259" w:lineRule="auto"/>
    </w:pPr>
    <w:rPr>
      <w:rFonts w:asciiTheme="minorHAnsi" w:eastAsiaTheme="minorHAnsi" w:hAnsiTheme="minorHAnsi" w:cstheme="minorBidi"/>
      <w:sz w:val="22"/>
      <w:szCs w:val="22"/>
      <w:lang w:val="es-MX" w:eastAsia="en-US"/>
    </w:rPr>
  </w:style>
  <w:style w:type="paragraph" w:styleId="TDC3">
    <w:name w:val="toc 3"/>
    <w:basedOn w:val="Normal"/>
    <w:next w:val="Normal"/>
    <w:autoRedefine/>
    <w:uiPriority w:val="39"/>
    <w:unhideWhenUsed/>
    <w:rsid w:val="001112E6"/>
    <w:pPr>
      <w:spacing w:after="100" w:line="259" w:lineRule="auto"/>
      <w:ind w:left="440"/>
    </w:pPr>
    <w:rPr>
      <w:rFonts w:asciiTheme="minorHAnsi" w:eastAsiaTheme="minorEastAsia" w:hAnsiTheme="minorHAnsi"/>
      <w:sz w:val="22"/>
      <w:szCs w:val="22"/>
      <w:lang w:val="es-MX" w:eastAsia="es-MX"/>
    </w:rPr>
  </w:style>
  <w:style w:type="character" w:customStyle="1" w:styleId="Ttulo2Car">
    <w:name w:val="Título 2 Car"/>
    <w:basedOn w:val="Fuentedeprrafopredeter"/>
    <w:link w:val="Ttulo2"/>
    <w:uiPriority w:val="9"/>
    <w:semiHidden/>
    <w:rsid w:val="007B1CFA"/>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semiHidden/>
    <w:rsid w:val="007B1CFA"/>
    <w:rPr>
      <w:rFonts w:asciiTheme="majorHAnsi" w:eastAsiaTheme="majorEastAsia" w:hAnsiTheme="majorHAnsi" w:cstheme="majorBidi"/>
      <w:b/>
      <w:bCs/>
      <w:color w:val="4F81BD" w:themeColor="accent1"/>
      <w:lang w:val="es-ES"/>
    </w:rPr>
  </w:style>
  <w:style w:type="paragraph" w:styleId="NormalWeb">
    <w:name w:val="Normal (Web)"/>
    <w:basedOn w:val="Normal"/>
    <w:uiPriority w:val="99"/>
    <w:unhideWhenUsed/>
    <w:rsid w:val="007B1CFA"/>
    <w:pPr>
      <w:spacing w:before="100" w:beforeAutospacing="1" w:after="100" w:afterAutospacing="1"/>
    </w:pPr>
    <w:rPr>
      <w:rFonts w:eastAsiaTheme="minorEastAsia"/>
      <w:lang w:val="es-MX" w:eastAsia="es-MX"/>
    </w:rPr>
  </w:style>
  <w:style w:type="paragraph" w:customStyle="1" w:styleId="j">
    <w:name w:val="j"/>
    <w:basedOn w:val="Normal"/>
    <w:rsid w:val="007B1CFA"/>
    <w:pPr>
      <w:spacing w:before="100" w:beforeAutospacing="1" w:after="100" w:afterAutospacing="1"/>
    </w:pPr>
    <w:rPr>
      <w:rFonts w:eastAsiaTheme="minorHAnsi"/>
      <w:lang w:val="es-ES_tradnl" w:eastAsia="es-ES_tradnl"/>
    </w:rPr>
  </w:style>
  <w:style w:type="paragraph" w:styleId="TDC2">
    <w:name w:val="toc 2"/>
    <w:basedOn w:val="Normal"/>
    <w:next w:val="Normal"/>
    <w:autoRedefine/>
    <w:uiPriority w:val="39"/>
    <w:unhideWhenUsed/>
    <w:rsid w:val="007B1CFA"/>
    <w:pPr>
      <w:spacing w:after="100" w:line="259" w:lineRule="auto"/>
      <w:ind w:left="220"/>
    </w:pPr>
    <w:rPr>
      <w:rFonts w:asciiTheme="minorHAnsi" w:eastAsiaTheme="minorHAnsi" w:hAnsiTheme="minorHAnsi" w:cstheme="minorBidi"/>
      <w:sz w:val="22"/>
      <w:szCs w:val="22"/>
      <w:lang w:val="es-MX" w:eastAsia="en-US"/>
    </w:rPr>
  </w:style>
  <w:style w:type="character" w:customStyle="1" w:styleId="TextoCar">
    <w:name w:val="Texto Car"/>
    <w:link w:val="Texto"/>
    <w:locked/>
    <w:rsid w:val="007B1CFA"/>
    <w:rPr>
      <w:rFonts w:ascii="Arial" w:eastAsia="Times New Roman" w:hAnsi="Arial" w:cs="Arial"/>
      <w:sz w:val="18"/>
      <w:szCs w:val="20"/>
      <w:lang w:val="es-ES"/>
    </w:rPr>
  </w:style>
  <w:style w:type="paragraph" w:customStyle="1" w:styleId="Texto">
    <w:name w:val="Texto"/>
    <w:basedOn w:val="Normal"/>
    <w:link w:val="TextoCar"/>
    <w:rsid w:val="007B1CFA"/>
    <w:pPr>
      <w:spacing w:after="101" w:line="216" w:lineRule="exact"/>
      <w:ind w:firstLine="288"/>
      <w:jc w:val="both"/>
    </w:pPr>
    <w:rPr>
      <w:rFonts w:ascii="Arial" w:hAnsi="Arial" w:cs="Arial"/>
      <w:sz w:val="18"/>
      <w:szCs w:val="20"/>
    </w:rPr>
  </w:style>
  <w:style w:type="character" w:customStyle="1" w:styleId="vidspn">
    <w:name w:val="vid_spn"/>
    <w:basedOn w:val="Fuentedeprrafopredeter"/>
    <w:rsid w:val="007B1CFA"/>
  </w:style>
  <w:style w:type="character" w:styleId="Textoennegrita">
    <w:name w:val="Strong"/>
    <w:basedOn w:val="Fuentedeprrafopredeter"/>
    <w:uiPriority w:val="22"/>
    <w:qFormat/>
    <w:rsid w:val="007B1CFA"/>
    <w:rPr>
      <w:b/>
      <w:bCs/>
    </w:rPr>
  </w:style>
  <w:style w:type="character" w:styleId="nfasis">
    <w:name w:val="Emphasis"/>
    <w:basedOn w:val="Fuentedeprrafopredeter"/>
    <w:uiPriority w:val="20"/>
    <w:qFormat/>
    <w:rsid w:val="007B1CFA"/>
    <w:rPr>
      <w:i/>
      <w:iCs/>
    </w:rPr>
  </w:style>
  <w:style w:type="paragraph" w:customStyle="1" w:styleId="Default">
    <w:name w:val="Default"/>
    <w:rsid w:val="0003360D"/>
    <w:pPr>
      <w:autoSpaceDE w:val="0"/>
      <w:autoSpaceDN w:val="0"/>
      <w:adjustRightInd w:val="0"/>
    </w:pPr>
    <w:rPr>
      <w:rFonts w:ascii="Palatino Linotype" w:hAnsi="Palatino Linotype" w:cs="Palatino Linotype"/>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821021">
      <w:bodyDiv w:val="1"/>
      <w:marLeft w:val="0"/>
      <w:marRight w:val="0"/>
      <w:marTop w:val="0"/>
      <w:marBottom w:val="0"/>
      <w:divBdr>
        <w:top w:val="none" w:sz="0" w:space="0" w:color="auto"/>
        <w:left w:val="none" w:sz="0" w:space="0" w:color="auto"/>
        <w:bottom w:val="none" w:sz="0" w:space="0" w:color="auto"/>
        <w:right w:val="none" w:sz="0" w:space="0" w:color="auto"/>
      </w:divBdr>
    </w:div>
    <w:div w:id="311371819">
      <w:bodyDiv w:val="1"/>
      <w:marLeft w:val="0"/>
      <w:marRight w:val="0"/>
      <w:marTop w:val="0"/>
      <w:marBottom w:val="0"/>
      <w:divBdr>
        <w:top w:val="none" w:sz="0" w:space="0" w:color="auto"/>
        <w:left w:val="none" w:sz="0" w:space="0" w:color="auto"/>
        <w:bottom w:val="none" w:sz="0" w:space="0" w:color="auto"/>
        <w:right w:val="none" w:sz="0" w:space="0" w:color="auto"/>
      </w:divBdr>
    </w:div>
    <w:div w:id="361832400">
      <w:bodyDiv w:val="1"/>
      <w:marLeft w:val="0"/>
      <w:marRight w:val="0"/>
      <w:marTop w:val="0"/>
      <w:marBottom w:val="0"/>
      <w:divBdr>
        <w:top w:val="none" w:sz="0" w:space="0" w:color="auto"/>
        <w:left w:val="none" w:sz="0" w:space="0" w:color="auto"/>
        <w:bottom w:val="none" w:sz="0" w:space="0" w:color="auto"/>
        <w:right w:val="none" w:sz="0" w:space="0" w:color="auto"/>
      </w:divBdr>
    </w:div>
    <w:div w:id="400182332">
      <w:bodyDiv w:val="1"/>
      <w:marLeft w:val="0"/>
      <w:marRight w:val="0"/>
      <w:marTop w:val="0"/>
      <w:marBottom w:val="0"/>
      <w:divBdr>
        <w:top w:val="none" w:sz="0" w:space="0" w:color="auto"/>
        <w:left w:val="none" w:sz="0" w:space="0" w:color="auto"/>
        <w:bottom w:val="none" w:sz="0" w:space="0" w:color="auto"/>
        <w:right w:val="none" w:sz="0" w:space="0" w:color="auto"/>
      </w:divBdr>
    </w:div>
    <w:div w:id="816072119">
      <w:bodyDiv w:val="1"/>
      <w:marLeft w:val="0"/>
      <w:marRight w:val="0"/>
      <w:marTop w:val="0"/>
      <w:marBottom w:val="0"/>
      <w:divBdr>
        <w:top w:val="none" w:sz="0" w:space="0" w:color="auto"/>
        <w:left w:val="none" w:sz="0" w:space="0" w:color="auto"/>
        <w:bottom w:val="none" w:sz="0" w:space="0" w:color="auto"/>
        <w:right w:val="none" w:sz="0" w:space="0" w:color="auto"/>
      </w:divBdr>
    </w:div>
    <w:div w:id="890535256">
      <w:bodyDiv w:val="1"/>
      <w:marLeft w:val="0"/>
      <w:marRight w:val="0"/>
      <w:marTop w:val="0"/>
      <w:marBottom w:val="0"/>
      <w:divBdr>
        <w:top w:val="none" w:sz="0" w:space="0" w:color="auto"/>
        <w:left w:val="none" w:sz="0" w:space="0" w:color="auto"/>
        <w:bottom w:val="none" w:sz="0" w:space="0" w:color="auto"/>
        <w:right w:val="none" w:sz="0" w:space="0" w:color="auto"/>
      </w:divBdr>
    </w:div>
    <w:div w:id="993292592">
      <w:bodyDiv w:val="1"/>
      <w:marLeft w:val="0"/>
      <w:marRight w:val="0"/>
      <w:marTop w:val="0"/>
      <w:marBottom w:val="0"/>
      <w:divBdr>
        <w:top w:val="none" w:sz="0" w:space="0" w:color="auto"/>
        <w:left w:val="none" w:sz="0" w:space="0" w:color="auto"/>
        <w:bottom w:val="none" w:sz="0" w:space="0" w:color="auto"/>
        <w:right w:val="none" w:sz="0" w:space="0" w:color="auto"/>
      </w:divBdr>
    </w:div>
    <w:div w:id="1121193278">
      <w:bodyDiv w:val="1"/>
      <w:marLeft w:val="0"/>
      <w:marRight w:val="0"/>
      <w:marTop w:val="0"/>
      <w:marBottom w:val="0"/>
      <w:divBdr>
        <w:top w:val="none" w:sz="0" w:space="0" w:color="auto"/>
        <w:left w:val="none" w:sz="0" w:space="0" w:color="auto"/>
        <w:bottom w:val="none" w:sz="0" w:space="0" w:color="auto"/>
        <w:right w:val="none" w:sz="0" w:space="0" w:color="auto"/>
      </w:divBdr>
    </w:div>
    <w:div w:id="1224216438">
      <w:bodyDiv w:val="1"/>
      <w:marLeft w:val="0"/>
      <w:marRight w:val="0"/>
      <w:marTop w:val="0"/>
      <w:marBottom w:val="0"/>
      <w:divBdr>
        <w:top w:val="none" w:sz="0" w:space="0" w:color="auto"/>
        <w:left w:val="none" w:sz="0" w:space="0" w:color="auto"/>
        <w:bottom w:val="none" w:sz="0" w:space="0" w:color="auto"/>
        <w:right w:val="none" w:sz="0" w:space="0" w:color="auto"/>
      </w:divBdr>
    </w:div>
    <w:div w:id="1240945566">
      <w:bodyDiv w:val="1"/>
      <w:marLeft w:val="0"/>
      <w:marRight w:val="0"/>
      <w:marTop w:val="0"/>
      <w:marBottom w:val="0"/>
      <w:divBdr>
        <w:top w:val="none" w:sz="0" w:space="0" w:color="auto"/>
        <w:left w:val="none" w:sz="0" w:space="0" w:color="auto"/>
        <w:bottom w:val="none" w:sz="0" w:space="0" w:color="auto"/>
        <w:right w:val="none" w:sz="0" w:space="0" w:color="auto"/>
      </w:divBdr>
    </w:div>
    <w:div w:id="1303848977">
      <w:bodyDiv w:val="1"/>
      <w:marLeft w:val="0"/>
      <w:marRight w:val="0"/>
      <w:marTop w:val="0"/>
      <w:marBottom w:val="0"/>
      <w:divBdr>
        <w:top w:val="none" w:sz="0" w:space="0" w:color="auto"/>
        <w:left w:val="none" w:sz="0" w:space="0" w:color="auto"/>
        <w:bottom w:val="none" w:sz="0" w:space="0" w:color="auto"/>
        <w:right w:val="none" w:sz="0" w:space="0" w:color="auto"/>
      </w:divBdr>
    </w:div>
    <w:div w:id="1360934898">
      <w:bodyDiv w:val="1"/>
      <w:marLeft w:val="0"/>
      <w:marRight w:val="0"/>
      <w:marTop w:val="0"/>
      <w:marBottom w:val="0"/>
      <w:divBdr>
        <w:top w:val="none" w:sz="0" w:space="0" w:color="auto"/>
        <w:left w:val="none" w:sz="0" w:space="0" w:color="auto"/>
        <w:bottom w:val="none" w:sz="0" w:space="0" w:color="auto"/>
        <w:right w:val="none" w:sz="0" w:space="0" w:color="auto"/>
      </w:divBdr>
    </w:div>
    <w:div w:id="1418748174">
      <w:bodyDiv w:val="1"/>
      <w:marLeft w:val="0"/>
      <w:marRight w:val="0"/>
      <w:marTop w:val="0"/>
      <w:marBottom w:val="0"/>
      <w:divBdr>
        <w:top w:val="none" w:sz="0" w:space="0" w:color="auto"/>
        <w:left w:val="none" w:sz="0" w:space="0" w:color="auto"/>
        <w:bottom w:val="none" w:sz="0" w:space="0" w:color="auto"/>
        <w:right w:val="none" w:sz="0" w:space="0" w:color="auto"/>
      </w:divBdr>
    </w:div>
    <w:div w:id="1589004368">
      <w:bodyDiv w:val="1"/>
      <w:marLeft w:val="0"/>
      <w:marRight w:val="0"/>
      <w:marTop w:val="0"/>
      <w:marBottom w:val="0"/>
      <w:divBdr>
        <w:top w:val="none" w:sz="0" w:space="0" w:color="auto"/>
        <w:left w:val="none" w:sz="0" w:space="0" w:color="auto"/>
        <w:bottom w:val="none" w:sz="0" w:space="0" w:color="auto"/>
        <w:right w:val="none" w:sz="0" w:space="0" w:color="auto"/>
      </w:divBdr>
    </w:div>
    <w:div w:id="1736319274">
      <w:bodyDiv w:val="1"/>
      <w:marLeft w:val="0"/>
      <w:marRight w:val="0"/>
      <w:marTop w:val="0"/>
      <w:marBottom w:val="0"/>
      <w:divBdr>
        <w:top w:val="none" w:sz="0" w:space="0" w:color="auto"/>
        <w:left w:val="none" w:sz="0" w:space="0" w:color="auto"/>
        <w:bottom w:val="none" w:sz="0" w:space="0" w:color="auto"/>
        <w:right w:val="none" w:sz="0" w:space="0" w:color="auto"/>
      </w:divBdr>
    </w:div>
    <w:div w:id="1851217123">
      <w:bodyDiv w:val="1"/>
      <w:marLeft w:val="0"/>
      <w:marRight w:val="0"/>
      <w:marTop w:val="0"/>
      <w:marBottom w:val="0"/>
      <w:divBdr>
        <w:top w:val="none" w:sz="0" w:space="0" w:color="auto"/>
        <w:left w:val="none" w:sz="0" w:space="0" w:color="auto"/>
        <w:bottom w:val="none" w:sz="0" w:space="0" w:color="auto"/>
        <w:right w:val="none" w:sz="0" w:space="0" w:color="auto"/>
      </w:divBdr>
    </w:div>
    <w:div w:id="1854221088">
      <w:bodyDiv w:val="1"/>
      <w:marLeft w:val="0"/>
      <w:marRight w:val="0"/>
      <w:marTop w:val="0"/>
      <w:marBottom w:val="0"/>
      <w:divBdr>
        <w:top w:val="none" w:sz="0" w:space="0" w:color="auto"/>
        <w:left w:val="none" w:sz="0" w:space="0" w:color="auto"/>
        <w:bottom w:val="none" w:sz="0" w:space="0" w:color="auto"/>
        <w:right w:val="none" w:sz="0" w:space="0" w:color="auto"/>
      </w:divBdr>
    </w:div>
    <w:div w:id="2002661785">
      <w:bodyDiv w:val="1"/>
      <w:marLeft w:val="0"/>
      <w:marRight w:val="0"/>
      <w:marTop w:val="0"/>
      <w:marBottom w:val="0"/>
      <w:divBdr>
        <w:top w:val="none" w:sz="0" w:space="0" w:color="auto"/>
        <w:left w:val="none" w:sz="0" w:space="0" w:color="auto"/>
        <w:bottom w:val="none" w:sz="0" w:space="0" w:color="auto"/>
        <w:right w:val="none" w:sz="0" w:space="0" w:color="auto"/>
      </w:divBdr>
    </w:div>
    <w:div w:id="2031637038">
      <w:bodyDiv w:val="1"/>
      <w:marLeft w:val="0"/>
      <w:marRight w:val="0"/>
      <w:marTop w:val="0"/>
      <w:marBottom w:val="0"/>
      <w:divBdr>
        <w:top w:val="none" w:sz="0" w:space="0" w:color="auto"/>
        <w:left w:val="none" w:sz="0" w:space="0" w:color="auto"/>
        <w:bottom w:val="none" w:sz="0" w:space="0" w:color="auto"/>
        <w:right w:val="none" w:sz="0" w:space="0" w:color="auto"/>
      </w:divBdr>
    </w:div>
    <w:div w:id="2125732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332526.page"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sedesem.edomex.gob.mx/programas_social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omex.gob.mx/programa_asistencia_social"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D8D1B-B0CD-4993-AFAD-24E23908F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12</Pages>
  <Words>2117</Words>
  <Characters>11647</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14</cp:revision>
  <cp:lastPrinted>2022-05-02T20:45:00Z</cp:lastPrinted>
  <dcterms:created xsi:type="dcterms:W3CDTF">2022-03-08T21:48:00Z</dcterms:created>
  <dcterms:modified xsi:type="dcterms:W3CDTF">2022-05-09T17:21:00Z</dcterms:modified>
</cp:coreProperties>
</file>