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A5CD8" w14:textId="77777777" w:rsidR="000458CB" w:rsidRDefault="000458CB" w:rsidP="00553A37">
      <w:pPr>
        <w:spacing w:after="0" w:line="360" w:lineRule="auto"/>
        <w:jc w:val="both"/>
        <w:rPr>
          <w:rFonts w:ascii="Palatino Linotype" w:hAnsi="Palatino Linotype" w:cs="Tahoma"/>
          <w:b/>
        </w:rPr>
      </w:pPr>
    </w:p>
    <w:p w14:paraId="727738CE" w14:textId="5CD85C04" w:rsidR="0063602B" w:rsidRDefault="00D05444" w:rsidP="00553A37">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E56D4E">
        <w:rPr>
          <w:rFonts w:ascii="Palatino Linotype" w:hAnsi="Palatino Linotype" w:cs="Tahoma"/>
          <w:b/>
        </w:rPr>
        <w:t>PARTICULAR</w:t>
      </w:r>
      <w:r w:rsidRPr="00EF10FB">
        <w:rPr>
          <w:rFonts w:ascii="Palatino Linotype" w:hAnsi="Palatino Linotype" w:cs="Tahoma"/>
          <w:b/>
        </w:rPr>
        <w:t xml:space="preserve"> QUE FORMULA EL COMISIONADO LUIS GUSTAVO PARRA </w:t>
      </w:r>
      <w:r w:rsidR="00E56D4E">
        <w:rPr>
          <w:rFonts w:ascii="Palatino Linotype" w:hAnsi="Palatino Linotype" w:cs="Tahoma"/>
          <w:b/>
        </w:rPr>
        <w:t>|</w:t>
      </w:r>
      <w:r w:rsidRPr="00EF10FB">
        <w:rPr>
          <w:rFonts w:ascii="Palatino Linotype" w:hAnsi="Palatino Linotype" w:cs="Tahoma"/>
          <w:b/>
        </w:rPr>
        <w:t xml:space="preserve">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6C11B9">
        <w:rPr>
          <w:rFonts w:ascii="Palatino Linotype" w:hAnsi="Palatino Linotype" w:cs="Tahoma"/>
          <w:b/>
        </w:rPr>
        <w:t>05329</w:t>
      </w:r>
      <w:r w:rsidR="009A1596" w:rsidRPr="00EF10FB">
        <w:rPr>
          <w:rFonts w:ascii="Palatino Linotype" w:hAnsi="Palatino Linotype" w:cs="Tahoma"/>
          <w:b/>
        </w:rPr>
        <w:t>/INFOEM/IP/RR/</w:t>
      </w:r>
      <w:r w:rsidR="00441EA2">
        <w:rPr>
          <w:rFonts w:ascii="Palatino Linotype" w:hAnsi="Palatino Linotype" w:cs="Tahoma"/>
          <w:b/>
        </w:rPr>
        <w:t>202</w:t>
      </w:r>
      <w:r w:rsidR="00282687">
        <w:rPr>
          <w:rFonts w:ascii="Palatino Linotype" w:hAnsi="Palatino Linotype" w:cs="Tahoma"/>
          <w:b/>
        </w:rPr>
        <w:t>1</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4A129B">
        <w:rPr>
          <w:rFonts w:ascii="Palatino Linotype" w:hAnsi="Palatino Linotype" w:cs="Tahoma"/>
          <w:b/>
        </w:rPr>
        <w:t xml:space="preserve">DE LA SECRETARÍA DE LA CONTRALORÍA. </w:t>
      </w:r>
    </w:p>
    <w:p w14:paraId="5E35CBEE" w14:textId="77777777" w:rsidR="004A129B" w:rsidRPr="00EF10FB" w:rsidRDefault="004A129B" w:rsidP="00553A37">
      <w:pPr>
        <w:spacing w:after="0" w:line="360" w:lineRule="auto"/>
        <w:jc w:val="both"/>
        <w:rPr>
          <w:rFonts w:ascii="Palatino Linotype" w:hAnsi="Palatino Linotype" w:cs="Tahoma"/>
        </w:rPr>
      </w:pPr>
    </w:p>
    <w:p w14:paraId="62CB37DC" w14:textId="61F296A5" w:rsidR="00D05444" w:rsidRDefault="00441EA2" w:rsidP="00553A37">
      <w:pPr>
        <w:spacing w:after="0" w:line="360" w:lineRule="auto"/>
        <w:jc w:val="both"/>
        <w:rPr>
          <w:rFonts w:ascii="Palatino Linotype" w:hAnsi="Palatino Linotype" w:cs="Tahoma"/>
        </w:rPr>
      </w:pPr>
      <w:r w:rsidRPr="002B5249">
        <w:rPr>
          <w:rFonts w:ascii="Palatino Linotype" w:hAnsi="Palatino Linotype" w:cs="Tahoma"/>
        </w:rPr>
        <w:t>En términos de lo dispuesto por el artículo 189, párrafo primero, de la Ley de Transparencia y Acceso a la Información Pública del Estado de México y Municipios</w:t>
      </w:r>
      <w:r>
        <w:rPr>
          <w:rFonts w:ascii="Palatino Linotype" w:hAnsi="Palatino Linotype" w:cs="Tahoma"/>
        </w:rPr>
        <w:t>,</w:t>
      </w:r>
      <w:r w:rsidRPr="00EF10FB">
        <w:rPr>
          <w:rFonts w:ascii="Palatino Linotype" w:hAnsi="Palatino Linotype" w:cs="Tahoma"/>
        </w:rPr>
        <w:t xml:space="preserve"> </w:t>
      </w:r>
      <w:r w:rsidR="00D05444" w:rsidRPr="00EF10FB">
        <w:rPr>
          <w:rFonts w:ascii="Palatino Linotype" w:hAnsi="Palatino Linotype" w:cs="Tahoma"/>
        </w:rPr>
        <w:t xml:space="preserve">14, fracción XI, del Reglamento Interior del Instituto de Transparencia, Acceso a la Información Pública y Protección de Datos Personales del Estado de México y Municipios; </w:t>
      </w:r>
      <w:r w:rsidR="0063602B" w:rsidRPr="0063602B">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00D05444" w:rsidRPr="00EF10FB">
        <w:rPr>
          <w:rFonts w:ascii="Palatino Linotype" w:hAnsi="Palatino Linotype" w:cs="Tahoma"/>
        </w:rPr>
        <w:t xml:space="preserve">, emito el presente </w:t>
      </w:r>
      <w:r w:rsidR="00EF10FB" w:rsidRPr="00A26864">
        <w:rPr>
          <w:rFonts w:ascii="Palatino Linotype" w:hAnsi="Palatino Linotype" w:cs="Tahoma"/>
          <w:b/>
        </w:rPr>
        <w:t>V</w:t>
      </w:r>
      <w:r w:rsidR="00D05444" w:rsidRPr="00A26864">
        <w:rPr>
          <w:rFonts w:ascii="Palatino Linotype" w:hAnsi="Palatino Linotype" w:cs="Tahoma"/>
          <w:b/>
        </w:rPr>
        <w:t xml:space="preserve">oto </w:t>
      </w:r>
      <w:r w:rsidR="004A129B">
        <w:rPr>
          <w:rFonts w:ascii="Palatino Linotype" w:hAnsi="Palatino Linotype" w:cs="Tahoma"/>
          <w:b/>
        </w:rPr>
        <w:t>Particular</w:t>
      </w:r>
      <w:r w:rsidR="00D05444" w:rsidRPr="00EF10FB">
        <w:rPr>
          <w:rFonts w:ascii="Palatino Linotype" w:hAnsi="Palatino Linotype" w:cs="Tahoma"/>
        </w:rPr>
        <w:t xml:space="preserve"> por no compartir</w:t>
      </w:r>
      <w:r w:rsidR="00596EE6">
        <w:rPr>
          <w:rFonts w:ascii="Palatino Linotype" w:hAnsi="Palatino Linotype" w:cs="Tahoma"/>
        </w:rPr>
        <w:t xml:space="preserve"> </w:t>
      </w:r>
      <w:r w:rsidR="00062A18">
        <w:rPr>
          <w:rFonts w:ascii="Palatino Linotype" w:hAnsi="Palatino Linotype" w:cs="Tahoma"/>
        </w:rPr>
        <w:t>completamente con las</w:t>
      </w:r>
      <w:r w:rsidR="004A129B">
        <w:rPr>
          <w:rFonts w:ascii="Palatino Linotype" w:hAnsi="Palatino Linotype" w:cs="Tahoma"/>
        </w:rPr>
        <w:t xml:space="preserve"> consideraciones y argumentos planteados </w:t>
      </w:r>
      <w:r w:rsidR="00062A18">
        <w:rPr>
          <w:rFonts w:ascii="Palatino Linotype" w:hAnsi="Palatino Linotype" w:cs="Tahoma"/>
        </w:rPr>
        <w:t xml:space="preserve">en la </w:t>
      </w:r>
      <w:r w:rsidR="00EF10FB" w:rsidRPr="00EF10FB">
        <w:rPr>
          <w:rFonts w:ascii="Palatino Linotype" w:hAnsi="Palatino Linotype" w:cs="Tahoma"/>
        </w:rPr>
        <w:t>R</w:t>
      </w:r>
      <w:r w:rsidR="00D05444" w:rsidRPr="00EF10FB">
        <w:rPr>
          <w:rFonts w:ascii="Palatino Linotype" w:hAnsi="Palatino Linotype" w:cs="Tahoma"/>
        </w:rPr>
        <w:t xml:space="preserve">esolución del </w:t>
      </w:r>
      <w:r w:rsidR="00EF10FB" w:rsidRPr="00EF10FB">
        <w:rPr>
          <w:rFonts w:ascii="Palatino Linotype" w:hAnsi="Palatino Linotype" w:cs="Tahoma"/>
        </w:rPr>
        <w:t>R</w:t>
      </w:r>
      <w:r w:rsidR="00D05444" w:rsidRPr="00EF10FB">
        <w:rPr>
          <w:rFonts w:ascii="Palatino Linotype" w:hAnsi="Palatino Linotype" w:cs="Tahoma"/>
        </w:rPr>
        <w:t xml:space="preserve">ecurso de </w:t>
      </w:r>
      <w:r w:rsidR="00EF10FB" w:rsidRPr="00EF10FB">
        <w:rPr>
          <w:rFonts w:ascii="Palatino Linotype" w:hAnsi="Palatino Linotype" w:cs="Tahoma"/>
        </w:rPr>
        <w:t>R</w:t>
      </w:r>
      <w:r w:rsidR="00D05444" w:rsidRPr="00EF10FB">
        <w:rPr>
          <w:rFonts w:ascii="Palatino Linotype" w:hAnsi="Palatino Linotype" w:cs="Tahoma"/>
        </w:rPr>
        <w:t xml:space="preserve">evisión </w:t>
      </w:r>
      <w:r w:rsidR="00062A18">
        <w:rPr>
          <w:rFonts w:ascii="Palatino Linotype" w:hAnsi="Palatino Linotype" w:cs="Tahoma"/>
          <w:b/>
        </w:rPr>
        <w:t>05329</w:t>
      </w:r>
      <w:r w:rsidR="00EF10FB" w:rsidRPr="00F42582">
        <w:rPr>
          <w:rFonts w:ascii="Palatino Linotype" w:hAnsi="Palatino Linotype" w:cs="Tahoma"/>
          <w:b/>
        </w:rPr>
        <w:t>/INFOEM/IP/RR/20</w:t>
      </w:r>
      <w:r>
        <w:rPr>
          <w:rFonts w:ascii="Palatino Linotype" w:hAnsi="Palatino Linotype" w:cs="Tahoma"/>
          <w:b/>
        </w:rPr>
        <w:t>2</w:t>
      </w:r>
      <w:r w:rsidR="00282687">
        <w:rPr>
          <w:rFonts w:ascii="Palatino Linotype" w:hAnsi="Palatino Linotype" w:cs="Tahoma"/>
          <w:b/>
        </w:rPr>
        <w:t>1</w:t>
      </w:r>
      <w:r w:rsidR="005A69E4">
        <w:rPr>
          <w:rFonts w:ascii="Palatino Linotype" w:hAnsi="Palatino Linotype"/>
        </w:rPr>
        <w:t>, respecto de lo siguiente:</w:t>
      </w:r>
      <w:r w:rsidR="00D21CCA">
        <w:rPr>
          <w:rFonts w:ascii="Palatino Linotype" w:hAnsi="Palatino Linotype" w:cs="Tahoma"/>
          <w:b/>
        </w:rPr>
        <w:t xml:space="preserve"> </w:t>
      </w:r>
    </w:p>
    <w:p w14:paraId="7596C466" w14:textId="77777777" w:rsidR="004A129B" w:rsidRPr="00EF10FB" w:rsidRDefault="004A129B" w:rsidP="00553A37">
      <w:pPr>
        <w:spacing w:after="0" w:line="360" w:lineRule="auto"/>
        <w:jc w:val="both"/>
        <w:rPr>
          <w:rFonts w:ascii="Palatino Linotype" w:hAnsi="Palatino Linotype" w:cs="Tahoma"/>
        </w:rPr>
      </w:pPr>
    </w:p>
    <w:p w14:paraId="6E877243" w14:textId="2D90FEAA" w:rsidR="004E7E21" w:rsidRDefault="00743EE0" w:rsidP="00553A37">
      <w:pPr>
        <w:spacing w:after="0" w:line="360" w:lineRule="auto"/>
        <w:jc w:val="both"/>
        <w:rPr>
          <w:rFonts w:ascii="Palatino Linotype" w:hAnsi="Palatino Linotype" w:cs="Tahoma"/>
        </w:rPr>
      </w:pPr>
      <w:r w:rsidRPr="00EF10FB">
        <w:rPr>
          <w:rFonts w:ascii="Palatino Linotype" w:hAnsi="Palatino Linotype" w:cs="Tahoma"/>
        </w:rPr>
        <w:t xml:space="preserve">Como se desprende de la Resolución </w:t>
      </w:r>
      <w:r w:rsidR="00EF10FB" w:rsidRPr="00EF10FB">
        <w:rPr>
          <w:rFonts w:ascii="Palatino Linotype" w:hAnsi="Palatino Linotype" w:cs="Tahoma"/>
        </w:rPr>
        <w:t>en comento</w:t>
      </w:r>
      <w:r w:rsidRPr="00EF10FB">
        <w:rPr>
          <w:rFonts w:ascii="Palatino Linotype" w:hAnsi="Palatino Linotype" w:cs="Tahoma"/>
        </w:rPr>
        <w:t xml:space="preserve">, </w:t>
      </w:r>
      <w:r w:rsidR="00A26864">
        <w:rPr>
          <w:rFonts w:ascii="Palatino Linotype" w:hAnsi="Palatino Linotype" w:cs="Tahoma"/>
        </w:rPr>
        <w:t xml:space="preserve">el Particular </w:t>
      </w:r>
      <w:r w:rsidR="00D21CCA" w:rsidRPr="00D21CCA">
        <w:rPr>
          <w:rFonts w:ascii="Palatino Linotype" w:hAnsi="Palatino Linotype" w:cs="Tahoma"/>
        </w:rPr>
        <w:t xml:space="preserve">requirió, </w:t>
      </w:r>
      <w:r w:rsidR="00062A18">
        <w:rPr>
          <w:rFonts w:ascii="Palatino Linotype" w:hAnsi="Palatino Linotype" w:cs="Tahoma"/>
        </w:rPr>
        <w:t xml:space="preserve">en versión pública, todas las declaraciones patrimoniales de la Presidenta Municipal de San Vicente Chicoloapan, del periodo comprendido entre el primero de enero del </w:t>
      </w:r>
      <w:r w:rsidR="002B34AF">
        <w:rPr>
          <w:rFonts w:ascii="Palatino Linotype" w:hAnsi="Palatino Linotype" w:cs="Tahoma"/>
        </w:rPr>
        <w:t>dos mil diecinueve</w:t>
      </w:r>
      <w:r w:rsidR="00062A18">
        <w:rPr>
          <w:rFonts w:ascii="Palatino Linotype" w:hAnsi="Palatino Linotype" w:cs="Tahoma"/>
        </w:rPr>
        <w:t xml:space="preserve"> </w:t>
      </w:r>
      <w:r w:rsidR="003C4F48">
        <w:rPr>
          <w:rFonts w:ascii="Palatino Linotype" w:hAnsi="Palatino Linotype" w:cs="Tahoma"/>
        </w:rPr>
        <w:t>al</w:t>
      </w:r>
      <w:r w:rsidR="00062A18">
        <w:rPr>
          <w:rFonts w:ascii="Palatino Linotype" w:hAnsi="Palatino Linotype" w:cs="Tahoma"/>
        </w:rPr>
        <w:t xml:space="preserve"> </w:t>
      </w:r>
      <w:r w:rsidR="002B34AF">
        <w:rPr>
          <w:rFonts w:ascii="Palatino Linotype" w:hAnsi="Palatino Linotype" w:cs="Tahoma"/>
        </w:rPr>
        <w:t>seis</w:t>
      </w:r>
      <w:r w:rsidR="00062A18">
        <w:rPr>
          <w:rFonts w:ascii="Palatino Linotype" w:hAnsi="Palatino Linotype" w:cs="Tahoma"/>
        </w:rPr>
        <w:t xml:space="preserve"> d</w:t>
      </w:r>
      <w:r w:rsidR="003C4F48">
        <w:rPr>
          <w:rFonts w:ascii="Palatino Linotype" w:hAnsi="Palatino Linotype" w:cs="Tahoma"/>
        </w:rPr>
        <w:t>e octubre del dos mil veintiuno;</w:t>
      </w:r>
      <w:r w:rsidR="00062A18">
        <w:rPr>
          <w:rFonts w:ascii="Palatino Linotype" w:hAnsi="Palatino Linotype" w:cs="Tahoma"/>
        </w:rPr>
        <w:t xml:space="preserve"> en respuesta, el Sujeto Obligado, consideró procedente clasificar en su totalidad la información </w:t>
      </w:r>
      <w:r w:rsidR="003C4F48">
        <w:rPr>
          <w:rFonts w:ascii="Palatino Linotype" w:hAnsi="Palatino Linotype" w:cs="Tahoma"/>
        </w:rPr>
        <w:t>con el</w:t>
      </w:r>
      <w:r w:rsidR="00062A18">
        <w:rPr>
          <w:rFonts w:ascii="Palatino Linotype" w:hAnsi="Palatino Linotype" w:cs="Tahoma"/>
        </w:rPr>
        <w:t xml:space="preserve"> carácter de confidencial</w:t>
      </w:r>
      <w:r w:rsidR="00D21CCA" w:rsidRPr="00D21CCA">
        <w:rPr>
          <w:rFonts w:ascii="Palatino Linotype" w:hAnsi="Palatino Linotype" w:cs="Tahoma"/>
        </w:rPr>
        <w:t>, toda vez que no existía un formato definitivo autorizado por la autoridad correspondiente, para brindar versión pública;</w:t>
      </w:r>
      <w:r w:rsidR="00062A18">
        <w:rPr>
          <w:rFonts w:ascii="Palatino Linotype" w:hAnsi="Palatino Linotype" w:cs="Tahoma"/>
        </w:rPr>
        <w:t xml:space="preserve"> </w:t>
      </w:r>
      <w:r w:rsidR="004E7E21">
        <w:rPr>
          <w:rFonts w:ascii="Palatino Linotype" w:hAnsi="Palatino Linotype" w:cs="Tahoma"/>
        </w:rPr>
        <w:t>razón por la cual</w:t>
      </w:r>
      <w:r w:rsidR="003C4F48">
        <w:rPr>
          <w:rFonts w:ascii="Palatino Linotype" w:hAnsi="Palatino Linotype" w:cs="Tahoma"/>
        </w:rPr>
        <w:t>,</w:t>
      </w:r>
      <w:r w:rsidR="004E7E21">
        <w:rPr>
          <w:rFonts w:ascii="Palatino Linotype" w:hAnsi="Palatino Linotype" w:cs="Tahoma"/>
        </w:rPr>
        <w:t xml:space="preserve"> el Particular </w:t>
      </w:r>
      <w:r w:rsidR="00D21CCA" w:rsidRPr="00D21CCA">
        <w:rPr>
          <w:rFonts w:ascii="Palatino Linotype" w:hAnsi="Palatino Linotype" w:cs="Tahoma"/>
        </w:rPr>
        <w:t xml:space="preserve">se inconformó con la falta de fundamentación y motivación que sustente la negativa a hacer pública la situación patrimonial </w:t>
      </w:r>
      <w:r w:rsidR="00062A18">
        <w:rPr>
          <w:rFonts w:ascii="Palatino Linotype" w:hAnsi="Palatino Linotype" w:cs="Tahoma"/>
        </w:rPr>
        <w:t>de la Presidenta Municipal, designada en ese periodo</w:t>
      </w:r>
      <w:r w:rsidR="00CB630F">
        <w:rPr>
          <w:rFonts w:ascii="Palatino Linotype" w:hAnsi="Palatino Linotype" w:cs="Tahoma"/>
        </w:rPr>
        <w:t>.</w:t>
      </w:r>
    </w:p>
    <w:p w14:paraId="5D3764CE" w14:textId="37915F3A" w:rsidR="004E7E21" w:rsidRDefault="00D21CCA" w:rsidP="00553A37">
      <w:pPr>
        <w:spacing w:after="0" w:line="360" w:lineRule="auto"/>
        <w:jc w:val="both"/>
        <w:rPr>
          <w:rFonts w:ascii="Palatino Linotype" w:hAnsi="Palatino Linotype" w:cs="Tahoma"/>
        </w:rPr>
      </w:pPr>
      <w:r>
        <w:rPr>
          <w:rFonts w:ascii="Palatino Linotype" w:hAnsi="Palatino Linotype" w:cs="Tahoma"/>
        </w:rPr>
        <w:t xml:space="preserve"> </w:t>
      </w:r>
    </w:p>
    <w:p w14:paraId="0EA7EDC3" w14:textId="77777777" w:rsidR="003C4F48" w:rsidRDefault="003C4F48" w:rsidP="003C4F48">
      <w:pPr>
        <w:spacing w:after="0" w:line="360" w:lineRule="auto"/>
        <w:ind w:right="-93"/>
        <w:contextualSpacing/>
        <w:jc w:val="both"/>
        <w:rPr>
          <w:rFonts w:ascii="Palatino Linotype" w:hAnsi="Palatino Linotype" w:cs="Tahoma"/>
          <w:iCs/>
        </w:rPr>
      </w:pPr>
      <w:r>
        <w:rPr>
          <w:rFonts w:ascii="Palatino Linotype" w:eastAsia="Calibri" w:hAnsi="Palatino Linotype" w:cs="Arial"/>
        </w:rPr>
        <w:lastRenderedPageBreak/>
        <w:t>M</w:t>
      </w:r>
      <w:r w:rsidR="00D21CCA">
        <w:rPr>
          <w:rFonts w:ascii="Palatino Linotype" w:hAnsi="Palatino Linotype" w:cs="Tahoma"/>
          <w:bCs/>
          <w:iCs/>
        </w:rPr>
        <w:t>ediante Informe Justificado</w:t>
      </w:r>
      <w:r>
        <w:rPr>
          <w:rFonts w:ascii="Palatino Linotype" w:hAnsi="Palatino Linotype" w:cs="Tahoma"/>
          <w:bCs/>
          <w:iCs/>
        </w:rPr>
        <w:t>, la dependencia</w:t>
      </w:r>
      <w:r w:rsidR="00D21CCA">
        <w:rPr>
          <w:rFonts w:ascii="Palatino Linotype" w:hAnsi="Palatino Linotype" w:cs="Tahoma"/>
          <w:bCs/>
          <w:iCs/>
        </w:rPr>
        <w:t xml:space="preserve"> ratificó su respuesta primigenia y aclaró que no contaba</w:t>
      </w:r>
      <w:r w:rsidR="00D21CCA" w:rsidRPr="00382CE1">
        <w:rPr>
          <w:rFonts w:ascii="Palatino Linotype" w:hAnsi="Palatino Linotype" w:cs="Tahoma"/>
          <w:bCs/>
          <w:iCs/>
        </w:rPr>
        <w:t xml:space="preserve"> con la autorización expresa, previa y por escrito </w:t>
      </w:r>
      <w:r w:rsidR="00062A18">
        <w:rPr>
          <w:rFonts w:ascii="Palatino Linotype" w:hAnsi="Palatino Linotype" w:cs="Tahoma"/>
          <w:bCs/>
          <w:iCs/>
        </w:rPr>
        <w:t>de la señalada servidora pública</w:t>
      </w:r>
      <w:r w:rsidR="00D21CCA">
        <w:rPr>
          <w:rFonts w:ascii="Palatino Linotype" w:hAnsi="Palatino Linotype" w:cs="Tahoma"/>
          <w:bCs/>
          <w:iCs/>
        </w:rPr>
        <w:t xml:space="preserve">, </w:t>
      </w:r>
      <w:r w:rsidR="00D21CCA" w:rsidRPr="00382CE1">
        <w:rPr>
          <w:rFonts w:ascii="Palatino Linotype" w:hAnsi="Palatino Linotype" w:cs="Tahoma"/>
          <w:bCs/>
          <w:iCs/>
        </w:rPr>
        <w:t>para proporcionar su declaración de situa</w:t>
      </w:r>
      <w:r w:rsidR="002E228F">
        <w:rPr>
          <w:rFonts w:ascii="Palatino Linotype" w:hAnsi="Palatino Linotype" w:cs="Tahoma"/>
          <w:bCs/>
          <w:iCs/>
        </w:rPr>
        <w:t>ción patrimonial y de intereses</w:t>
      </w:r>
      <w:r>
        <w:rPr>
          <w:rFonts w:ascii="Palatino Linotype" w:hAnsi="Palatino Linotype" w:cs="Tahoma"/>
          <w:bCs/>
          <w:iCs/>
        </w:rPr>
        <w:t xml:space="preserve">. </w:t>
      </w:r>
      <w:r w:rsidR="00990001">
        <w:rPr>
          <w:rFonts w:ascii="Palatino Linotype" w:hAnsi="Palatino Linotype" w:cs="Tahoma"/>
        </w:rPr>
        <w:t>En ese sentido, la mayoría</w:t>
      </w:r>
      <w:r w:rsidR="00990001">
        <w:rPr>
          <w:rFonts w:ascii="Palatino Linotype" w:hAnsi="Palatino Linotype" w:cs="Tahoma"/>
          <w:lang w:val="x-none"/>
        </w:rPr>
        <w:t xml:space="preserve"> del Pleno de este Instituto, consideró procedente </w:t>
      </w:r>
      <w:r w:rsidR="00990001" w:rsidRPr="00E56D4E">
        <w:rPr>
          <w:rFonts w:ascii="Palatino Linotype" w:hAnsi="Palatino Linotype" w:cs="Tahoma"/>
          <w:b/>
        </w:rPr>
        <w:t>MODIFICAR</w:t>
      </w:r>
      <w:r w:rsidR="00990001">
        <w:rPr>
          <w:rFonts w:ascii="Palatino Linotype" w:hAnsi="Palatino Linotype" w:cs="Tahoma"/>
          <w:b/>
          <w:lang w:val="x-none"/>
        </w:rPr>
        <w:t xml:space="preserve"> </w:t>
      </w:r>
      <w:r w:rsidR="00990001">
        <w:rPr>
          <w:rFonts w:ascii="Palatino Linotype" w:hAnsi="Palatino Linotype" w:cs="Tahoma"/>
          <w:lang w:val="x-none"/>
        </w:rPr>
        <w:t>la respuesta</w:t>
      </w:r>
      <w:r w:rsidR="00990001">
        <w:rPr>
          <w:rFonts w:ascii="Palatino Linotype" w:hAnsi="Palatino Linotype" w:cs="Tahoma"/>
        </w:rPr>
        <w:t xml:space="preserve"> proporcionada por el Sujeto Obligado,</w:t>
      </w:r>
      <w:r w:rsidR="00990001">
        <w:rPr>
          <w:rFonts w:ascii="Palatino Linotype" w:hAnsi="Palatino Linotype" w:cs="Tahoma"/>
          <w:lang w:val="x-none"/>
        </w:rPr>
        <w:t xml:space="preserve"> a efecto de </w:t>
      </w:r>
      <w:r w:rsidR="002B34AF" w:rsidRPr="002B34AF">
        <w:rPr>
          <w:rFonts w:ascii="Palatino Linotype" w:hAnsi="Palatino Linotype" w:cs="Tahoma"/>
          <w:iCs/>
        </w:rPr>
        <w:t>entregue, a través del</w:t>
      </w:r>
      <w:r w:rsidR="00E56D4E">
        <w:rPr>
          <w:rFonts w:ascii="Palatino Linotype" w:hAnsi="Palatino Linotype" w:cs="Tahoma"/>
          <w:iCs/>
        </w:rPr>
        <w:t xml:space="preserve"> (Sistema de Acceso a la Información Mexiquense) </w:t>
      </w:r>
      <w:r w:rsidR="002B34AF" w:rsidRPr="002B34AF">
        <w:rPr>
          <w:rFonts w:ascii="Palatino Linotype" w:hAnsi="Palatino Linotype" w:cs="Tahoma"/>
          <w:iCs/>
        </w:rPr>
        <w:t xml:space="preserve">SAIMEX, </w:t>
      </w:r>
      <w:r w:rsidR="002B34AF">
        <w:rPr>
          <w:rFonts w:ascii="Palatino Linotype" w:hAnsi="Palatino Linotype" w:cs="Tahoma"/>
          <w:iCs/>
        </w:rPr>
        <w:t xml:space="preserve">la </w:t>
      </w:r>
      <w:r w:rsidR="00E56D4E">
        <w:rPr>
          <w:rFonts w:ascii="Palatino Linotype" w:hAnsi="Palatino Linotype" w:cs="Tahoma"/>
          <w:iCs/>
        </w:rPr>
        <w:t>v</w:t>
      </w:r>
      <w:r w:rsidR="002B34AF" w:rsidRPr="002B34AF">
        <w:rPr>
          <w:rFonts w:ascii="Palatino Linotype" w:hAnsi="Palatino Linotype" w:cs="Tahoma"/>
          <w:iCs/>
        </w:rPr>
        <w:t>ersión pública de la o las Declaraciones Patrimoniales presentadas del primero de mayo al seis de octubre de dos mil veintiuno, de</w:t>
      </w:r>
      <w:r w:rsidR="002B34AF">
        <w:rPr>
          <w:rFonts w:ascii="Palatino Linotype" w:hAnsi="Palatino Linotype" w:cs="Tahoma"/>
          <w:iCs/>
        </w:rPr>
        <w:t xml:space="preserve"> quien era </w:t>
      </w:r>
      <w:r w:rsidR="002B34AF" w:rsidRPr="002B34AF">
        <w:rPr>
          <w:rFonts w:ascii="Palatino Linotype" w:hAnsi="Palatino Linotype" w:cs="Tahoma"/>
          <w:iCs/>
        </w:rPr>
        <w:t xml:space="preserve">Presidenta Municipal </w:t>
      </w:r>
      <w:r w:rsidR="002B34AF">
        <w:rPr>
          <w:rFonts w:ascii="Palatino Linotype" w:hAnsi="Palatino Linotype" w:cs="Tahoma"/>
          <w:iCs/>
        </w:rPr>
        <w:t xml:space="preserve">en ese periodo </w:t>
      </w:r>
      <w:r w:rsidR="002B34AF" w:rsidRPr="002B34AF">
        <w:rPr>
          <w:rFonts w:ascii="Palatino Linotype" w:hAnsi="Palatino Linotype" w:cs="Tahoma"/>
          <w:iCs/>
        </w:rPr>
        <w:t>de San Vicente Chicoloapan</w:t>
      </w:r>
      <w:r w:rsidR="002B34AF">
        <w:rPr>
          <w:rFonts w:ascii="Palatino Linotype" w:hAnsi="Palatino Linotype" w:cs="Tahoma"/>
          <w:iCs/>
        </w:rPr>
        <w:t xml:space="preserve"> así como </w:t>
      </w:r>
      <w:r w:rsidR="00990001" w:rsidRPr="002B34AF">
        <w:rPr>
          <w:rFonts w:ascii="Palatino Linotype" w:hAnsi="Palatino Linotype" w:cs="Tahoma"/>
          <w:iCs/>
        </w:rPr>
        <w:t>el acuerdo emitido por el Comité de Transparencia, en donde de manera fundada y motivada, confirme la clasificación</w:t>
      </w:r>
      <w:r w:rsidR="002B34AF">
        <w:rPr>
          <w:rFonts w:ascii="Palatino Linotype" w:hAnsi="Palatino Linotype" w:cs="Tahoma"/>
          <w:iCs/>
        </w:rPr>
        <w:t xml:space="preserve"> de la información confidencial, asimismo validó la clasificación de la información del periodo comprendido del primero de enero del dos mil diecinueve al treinta de abril del dos mil veintiuno</w:t>
      </w:r>
      <w:r>
        <w:rPr>
          <w:rFonts w:ascii="Palatino Linotype" w:hAnsi="Palatino Linotype" w:cs="Tahoma"/>
          <w:iCs/>
        </w:rPr>
        <w:t>.</w:t>
      </w:r>
    </w:p>
    <w:p w14:paraId="02671801" w14:textId="77777777" w:rsidR="003C4F48" w:rsidRDefault="003C4F48" w:rsidP="003C4F48">
      <w:pPr>
        <w:spacing w:after="0" w:line="360" w:lineRule="auto"/>
        <w:ind w:right="-93"/>
        <w:contextualSpacing/>
        <w:jc w:val="both"/>
        <w:rPr>
          <w:rFonts w:ascii="Palatino Linotype" w:hAnsi="Palatino Linotype" w:cs="Tahoma"/>
          <w:iCs/>
        </w:rPr>
      </w:pPr>
    </w:p>
    <w:p w14:paraId="3CCB9ADE" w14:textId="0314748B" w:rsidR="00990001" w:rsidRPr="00A15C97" w:rsidRDefault="003C4F48" w:rsidP="003C4F48">
      <w:pPr>
        <w:spacing w:after="0" w:line="360" w:lineRule="auto"/>
        <w:ind w:right="-93"/>
        <w:contextualSpacing/>
        <w:jc w:val="both"/>
        <w:rPr>
          <w:rFonts w:ascii="Palatino Linotype" w:hAnsi="Palatino Linotype" w:cs="Tahoma"/>
        </w:rPr>
      </w:pPr>
      <w:r>
        <w:rPr>
          <w:rFonts w:ascii="Palatino Linotype" w:hAnsi="Palatino Linotype" w:cs="Tahoma"/>
        </w:rPr>
        <w:t>A</w:t>
      </w:r>
      <w:r w:rsidR="002B34AF">
        <w:rPr>
          <w:rFonts w:ascii="Palatino Linotype" w:hAnsi="Palatino Linotype" w:cs="Tahoma"/>
        </w:rPr>
        <w:t>l respecto</w:t>
      </w:r>
      <w:r w:rsidR="00990001">
        <w:rPr>
          <w:rFonts w:ascii="Palatino Linotype" w:hAnsi="Palatino Linotype" w:cs="Tahoma"/>
        </w:rPr>
        <w:t xml:space="preserve">, </w:t>
      </w:r>
      <w:r>
        <w:rPr>
          <w:rFonts w:ascii="Palatino Linotype" w:hAnsi="Palatino Linotype" w:cs="Tahoma"/>
        </w:rPr>
        <w:t xml:space="preserve">emito el presente voto Particular ya que </w:t>
      </w:r>
      <w:r w:rsidR="00990001">
        <w:rPr>
          <w:rFonts w:ascii="Palatino Linotype" w:hAnsi="Palatino Linotype" w:cs="Tahoma"/>
          <w:lang w:val="x-none"/>
        </w:rPr>
        <w:t xml:space="preserve">si bien concuerdo con el hecho de que </w:t>
      </w:r>
      <w:r w:rsidR="00990001">
        <w:rPr>
          <w:rFonts w:ascii="Palatino Linotype" w:hAnsi="Palatino Linotype" w:cs="Tahoma"/>
        </w:rPr>
        <w:t xml:space="preserve">las declaraciones patrimoniales </w:t>
      </w:r>
      <w:r w:rsidR="002B34AF">
        <w:rPr>
          <w:rFonts w:ascii="Palatino Linotype" w:hAnsi="Palatino Linotype" w:cs="Tahoma"/>
        </w:rPr>
        <w:t>del periodo comprendido del primero de mayo al seis de octubre del dos mil veintiuno sean entregadas en los términos planteados</w:t>
      </w:r>
      <w:r w:rsidR="00990001">
        <w:rPr>
          <w:rFonts w:ascii="Palatino Linotype" w:eastAsia="Calibri" w:hAnsi="Palatino Linotype" w:cs="Tahoma"/>
        </w:rPr>
        <w:t>,</w:t>
      </w:r>
      <w:r>
        <w:rPr>
          <w:rFonts w:ascii="Palatino Linotype" w:eastAsia="Calibri" w:hAnsi="Palatino Linotype" w:cs="Tahoma"/>
        </w:rPr>
        <w:t xml:space="preserve"> también o es que, por lo que refiere a </w:t>
      </w:r>
      <w:r w:rsidR="00990001">
        <w:rPr>
          <w:rFonts w:ascii="Palatino Linotype" w:eastAsia="Calibri" w:hAnsi="Palatino Linotype" w:cs="Tahoma"/>
        </w:rPr>
        <w:t xml:space="preserve">las declaraciones patrimoniales </w:t>
      </w:r>
      <w:r w:rsidR="00000100">
        <w:rPr>
          <w:rFonts w:ascii="Palatino Linotype" w:eastAsia="Calibri" w:hAnsi="Palatino Linotype" w:cs="Tahoma"/>
        </w:rPr>
        <w:t xml:space="preserve">y de intereses </w:t>
      </w:r>
      <w:r w:rsidR="00990001">
        <w:rPr>
          <w:rFonts w:ascii="Palatino Linotype" w:eastAsia="Calibri" w:hAnsi="Palatino Linotype" w:cs="Tahoma"/>
        </w:rPr>
        <w:t xml:space="preserve">de </w:t>
      </w:r>
      <w:r w:rsidR="00D80E64">
        <w:rPr>
          <w:rFonts w:ascii="Palatino Linotype" w:eastAsia="Calibri" w:hAnsi="Palatino Linotype" w:cs="Tahoma"/>
        </w:rPr>
        <w:t>l</w:t>
      </w:r>
      <w:r w:rsidR="00990001">
        <w:rPr>
          <w:rFonts w:ascii="Palatino Linotype" w:eastAsia="Calibri" w:hAnsi="Palatino Linotype" w:cs="Tahoma"/>
        </w:rPr>
        <w:t>os años dos mil diecisiete</w:t>
      </w:r>
      <w:r w:rsidR="00000100">
        <w:rPr>
          <w:rFonts w:ascii="Palatino Linotype" w:eastAsia="Calibri" w:hAnsi="Palatino Linotype" w:cs="Tahoma"/>
        </w:rPr>
        <w:t xml:space="preserve"> al </w:t>
      </w:r>
      <w:r w:rsidR="00D80E64">
        <w:rPr>
          <w:rFonts w:ascii="Palatino Linotype" w:eastAsia="Calibri" w:hAnsi="Palatino Linotype" w:cs="Tahoma"/>
        </w:rPr>
        <w:t xml:space="preserve">dos mil </w:t>
      </w:r>
      <w:r w:rsidR="00826485">
        <w:rPr>
          <w:rFonts w:ascii="Palatino Linotype" w:eastAsia="Calibri" w:hAnsi="Palatino Linotype" w:cs="Tahoma"/>
        </w:rPr>
        <w:t>treinta de abril del dos mil veintiuno</w:t>
      </w:r>
      <w:r w:rsidR="00D80E64">
        <w:rPr>
          <w:rFonts w:ascii="Palatino Linotype" w:eastAsia="Calibri" w:hAnsi="Palatino Linotype" w:cs="Tahoma"/>
        </w:rPr>
        <w:t>,</w:t>
      </w:r>
      <w:r>
        <w:rPr>
          <w:rFonts w:ascii="Palatino Linotype" w:eastAsia="Calibri" w:hAnsi="Palatino Linotype" w:cs="Tahoma"/>
        </w:rPr>
        <w:t xml:space="preserve"> considero que constituyen </w:t>
      </w:r>
      <w:r w:rsidR="00D80E64">
        <w:rPr>
          <w:rFonts w:ascii="Palatino Linotype" w:eastAsia="Calibri" w:hAnsi="Palatino Linotype" w:cs="Tahoma"/>
        </w:rPr>
        <w:t>son información de naturaleza pública, que deben</w:t>
      </w:r>
      <w:r w:rsidR="00990001">
        <w:rPr>
          <w:rFonts w:ascii="Palatino Linotype" w:eastAsia="Calibri" w:hAnsi="Palatino Linotype" w:cs="Tahoma"/>
        </w:rPr>
        <w:t xml:space="preserve"> entregarse en versión pública</w:t>
      </w:r>
      <w:r w:rsidR="00990001">
        <w:rPr>
          <w:rFonts w:ascii="Palatino Linotype" w:hAnsi="Palatino Linotype" w:cs="Tahoma"/>
          <w:lang w:val="x-none"/>
        </w:rPr>
        <w:t>.</w:t>
      </w:r>
    </w:p>
    <w:p w14:paraId="554C4F21" w14:textId="77777777" w:rsidR="00990001" w:rsidRDefault="00990001" w:rsidP="00D21CCA">
      <w:pPr>
        <w:tabs>
          <w:tab w:val="left" w:pos="0"/>
        </w:tabs>
        <w:spacing w:after="0" w:line="360" w:lineRule="auto"/>
        <w:ind w:right="49"/>
        <w:contextualSpacing/>
        <w:jc w:val="both"/>
        <w:rPr>
          <w:rFonts w:ascii="Palatino Linotype" w:eastAsia="Times New Roman" w:hAnsi="Palatino Linotype"/>
          <w:lang w:eastAsia="es-MX"/>
        </w:rPr>
      </w:pPr>
    </w:p>
    <w:p w14:paraId="5C404014" w14:textId="405F0E22" w:rsidR="008028AC" w:rsidRPr="008028AC" w:rsidRDefault="008028AC" w:rsidP="008028AC">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T</w:t>
      </w:r>
      <w:r w:rsidRPr="008028AC">
        <w:rPr>
          <w:rFonts w:ascii="Palatino Linotype" w:eastAsia="Calibri" w:hAnsi="Palatino Linotype" w:cs="Tahoma"/>
          <w:iCs/>
          <w:lang w:eastAsia="es-ES_tradnl"/>
        </w:rPr>
        <w:t xml:space="preserve">al como lo </w:t>
      </w:r>
      <w:r w:rsidR="00E56D4E">
        <w:rPr>
          <w:rFonts w:ascii="Palatino Linotype" w:eastAsia="Calibri" w:hAnsi="Palatino Linotype" w:cs="Tahoma"/>
          <w:iCs/>
          <w:lang w:eastAsia="es-ES_tradnl"/>
        </w:rPr>
        <w:t>expresó</w:t>
      </w:r>
      <w:r w:rsidR="003C4F48">
        <w:rPr>
          <w:rFonts w:ascii="Palatino Linotype" w:eastAsia="Calibri" w:hAnsi="Palatino Linotype" w:cs="Tahoma"/>
          <w:iCs/>
          <w:lang w:eastAsia="es-ES_tradnl"/>
        </w:rPr>
        <w:t>,</w:t>
      </w:r>
      <w:r w:rsidRPr="008028AC">
        <w:rPr>
          <w:rFonts w:ascii="Palatino Linotype" w:eastAsia="Calibri" w:hAnsi="Palatino Linotype" w:cs="Tahoma"/>
          <w:iCs/>
          <w:lang w:eastAsia="es-ES_tradnl"/>
        </w:rPr>
        <w:t xml:space="preserve"> el Sujeto Obligado, cuenta con las </w:t>
      </w:r>
      <w:r w:rsidRPr="008028AC">
        <w:rPr>
          <w:rFonts w:ascii="Palatino Linotype" w:eastAsia="Times New Roman" w:hAnsi="Palatino Linotype" w:cs="Tahoma"/>
          <w:bCs/>
          <w:color w:val="000000"/>
          <w:lang w:val="es-MX" w:eastAsia="es-ES"/>
        </w:rPr>
        <w:t xml:space="preserve">Declaraciones de Situación Patrimonial y de Intereses </w:t>
      </w:r>
      <w:r w:rsidRPr="008028AC">
        <w:rPr>
          <w:rFonts w:ascii="Palatino Linotype" w:eastAsia="Calibri" w:hAnsi="Palatino Linotype" w:cs="Tahoma"/>
          <w:iCs/>
          <w:lang w:eastAsia="es-ES_tradnl"/>
        </w:rPr>
        <w:t xml:space="preserve">de todos los servidores públicos que laboran en </w:t>
      </w:r>
      <w:r w:rsidR="00826485">
        <w:rPr>
          <w:rFonts w:ascii="Palatino Linotype" w:eastAsia="Calibri" w:hAnsi="Palatino Linotype" w:cs="Tahoma"/>
          <w:iCs/>
          <w:lang w:eastAsia="es-ES_tradnl"/>
        </w:rPr>
        <w:t>el Ayuntamiento de Chicoloapan</w:t>
      </w:r>
      <w:r w:rsidRPr="008028AC">
        <w:rPr>
          <w:rFonts w:ascii="Palatino Linotype" w:eastAsia="Calibri" w:hAnsi="Palatino Linotype" w:cs="Tahoma"/>
          <w:iCs/>
          <w:lang w:eastAsia="es-ES_tradnl"/>
        </w:rPr>
        <w:t xml:space="preserve">; no </w:t>
      </w:r>
      <w:r w:rsidR="00826485" w:rsidRPr="008028AC">
        <w:rPr>
          <w:rFonts w:ascii="Palatino Linotype" w:eastAsia="Calibri" w:hAnsi="Palatino Linotype" w:cs="Tahoma"/>
          <w:iCs/>
          <w:lang w:eastAsia="es-ES_tradnl"/>
        </w:rPr>
        <w:t>obstante,</w:t>
      </w:r>
      <w:r w:rsidRPr="008028AC">
        <w:rPr>
          <w:rFonts w:ascii="Palatino Linotype" w:eastAsia="Calibri" w:hAnsi="Palatino Linotype" w:cs="Tahoma"/>
          <w:iCs/>
          <w:lang w:eastAsia="es-ES_tradnl"/>
        </w:rPr>
        <w:t xml:space="preserve"> no </w:t>
      </w:r>
      <w:r w:rsidR="003C4F48">
        <w:rPr>
          <w:rFonts w:ascii="Palatino Linotype" w:eastAsia="Calibri" w:hAnsi="Palatino Linotype" w:cs="Tahoma"/>
          <w:iCs/>
          <w:lang w:eastAsia="es-ES_tradnl"/>
        </w:rPr>
        <w:t>las entregó</w:t>
      </w:r>
      <w:r w:rsidRPr="008028AC">
        <w:rPr>
          <w:rFonts w:ascii="Palatino Linotype" w:eastAsia="Calibri" w:hAnsi="Palatino Linotype" w:cs="Tahoma"/>
          <w:iCs/>
          <w:lang w:eastAsia="es-ES_tradnl"/>
        </w:rPr>
        <w:t xml:space="preserve"> debido a que señaló que</w:t>
      </w:r>
      <w:r w:rsidR="00826485">
        <w:rPr>
          <w:rFonts w:ascii="Palatino Linotype" w:eastAsia="Calibri" w:hAnsi="Palatino Linotype" w:cs="Tahoma"/>
          <w:iCs/>
          <w:lang w:eastAsia="es-ES_tradnl"/>
        </w:rPr>
        <w:t xml:space="preserve"> </w:t>
      </w:r>
      <w:r w:rsidR="003C4F48">
        <w:rPr>
          <w:rFonts w:ascii="Palatino Linotype" w:eastAsia="Calibri" w:hAnsi="Palatino Linotype" w:cs="Tahoma"/>
          <w:iCs/>
          <w:lang w:eastAsia="es-ES_tradnl"/>
        </w:rPr>
        <w:t>son</w:t>
      </w:r>
      <w:r w:rsidR="00826485">
        <w:rPr>
          <w:rFonts w:ascii="Palatino Linotype" w:eastAsia="Calibri" w:hAnsi="Palatino Linotype" w:cs="Tahoma"/>
          <w:iCs/>
          <w:lang w:eastAsia="es-ES_tradnl"/>
        </w:rPr>
        <w:t xml:space="preserve"> información confidencial, además de que no</w:t>
      </w:r>
      <w:r w:rsidRPr="008028AC">
        <w:rPr>
          <w:rFonts w:ascii="Palatino Linotype" w:eastAsia="Calibri" w:hAnsi="Palatino Linotype" w:cs="Tahoma"/>
          <w:iCs/>
          <w:lang w:eastAsia="es-ES_tradnl"/>
        </w:rPr>
        <w:t xml:space="preserve"> se </w:t>
      </w:r>
      <w:r w:rsidR="00826485">
        <w:rPr>
          <w:rFonts w:ascii="Palatino Linotype" w:eastAsia="Calibri" w:hAnsi="Palatino Linotype" w:cs="Tahoma"/>
          <w:iCs/>
          <w:lang w:eastAsia="es-ES_tradnl"/>
        </w:rPr>
        <w:t>cuenta con</w:t>
      </w:r>
      <w:r w:rsidRPr="008028AC">
        <w:rPr>
          <w:rFonts w:ascii="Palatino Linotype" w:eastAsia="Calibri" w:hAnsi="Palatino Linotype" w:cs="Tahoma"/>
          <w:iCs/>
          <w:lang w:eastAsia="es-ES_tradnl"/>
        </w:rPr>
        <w:t xml:space="preserve"> un formato para versión pública de lo solicitado y no se cuenta con la autorización de la persona de la cual se solicita la información.</w:t>
      </w:r>
    </w:p>
    <w:p w14:paraId="78979A3A" w14:textId="6F74C56C" w:rsidR="00A0681D" w:rsidRDefault="00A0681D" w:rsidP="00A0681D">
      <w:pPr>
        <w:spacing w:after="0" w:line="360" w:lineRule="auto"/>
        <w:jc w:val="both"/>
        <w:rPr>
          <w:rFonts w:ascii="Palatino Linotype" w:hAnsi="Palatino Linotype" w:cs="Tahoma"/>
          <w:b/>
        </w:rPr>
      </w:pPr>
      <w:r>
        <w:rPr>
          <w:rFonts w:ascii="Palatino Linotype" w:hAnsi="Palatino Linotype" w:cs="Tahoma"/>
        </w:rPr>
        <w:lastRenderedPageBreak/>
        <w:t xml:space="preserve">De </w:t>
      </w:r>
      <w:r w:rsidRPr="0092103D">
        <w:rPr>
          <w:rFonts w:ascii="Palatino Linotype" w:hAnsi="Palatino Linotype" w:cs="Tahoma"/>
        </w:rPr>
        <w:t xml:space="preserve">acuerdo con lo expuesto, </w:t>
      </w:r>
      <w:r w:rsidR="009F233C">
        <w:rPr>
          <w:rFonts w:ascii="Palatino Linotype" w:hAnsi="Palatino Linotype" w:cs="Tahoma"/>
        </w:rPr>
        <w:t xml:space="preserve">tal como fue comprobado a través del estudio realizado en la resolución en análisis, ya se cuenta con unos formatos aprobados </w:t>
      </w:r>
      <w:r w:rsidR="00E25CA9">
        <w:rPr>
          <w:rFonts w:ascii="Palatino Linotype" w:hAnsi="Palatino Linotype" w:cs="Tahoma"/>
        </w:rPr>
        <w:t xml:space="preserve">para la publicación de las declaraciones patrimoniales, en este sentido, considero que al ya existir los mismos, deben ser aplicados estos criterios incluso para la información generada </w:t>
      </w:r>
      <w:r w:rsidR="00447A4E">
        <w:rPr>
          <w:rFonts w:ascii="Palatino Linotype" w:hAnsi="Palatino Linotype" w:cs="Tahoma"/>
        </w:rPr>
        <w:t>antes de su emisión</w:t>
      </w:r>
      <w:r w:rsidR="00E25CA9">
        <w:rPr>
          <w:rFonts w:ascii="Palatino Linotype" w:hAnsi="Palatino Linotype" w:cs="Tahoma"/>
        </w:rPr>
        <w:t xml:space="preserve">, en atención a la </w:t>
      </w:r>
      <w:r w:rsidRPr="0092103D">
        <w:rPr>
          <w:rFonts w:ascii="Palatino Linotype" w:hAnsi="Palatino Linotype" w:cs="Tahoma"/>
        </w:rPr>
        <w:t>interpretación que debe darse a la norma</w:t>
      </w:r>
      <w:r w:rsidR="00E25CA9">
        <w:rPr>
          <w:rFonts w:ascii="Palatino Linotype" w:hAnsi="Palatino Linotype" w:cs="Tahoma"/>
        </w:rPr>
        <w:t xml:space="preserve">, pues </w:t>
      </w:r>
      <w:r w:rsidRPr="0092103D">
        <w:rPr>
          <w:rFonts w:ascii="Palatino Linotype" w:hAnsi="Palatino Linotype" w:cs="Tahoma"/>
        </w:rPr>
        <w:t>en conjunto de lo establecido en todas las disposiciones que rigen la presentación y acceso a las declaraciones</w:t>
      </w:r>
      <w:r>
        <w:rPr>
          <w:rFonts w:ascii="Palatino Linotype" w:hAnsi="Palatino Linotype" w:cs="Tahoma"/>
        </w:rPr>
        <w:t xml:space="preserve"> patrimoniales y de intereses, </w:t>
      </w:r>
      <w:r w:rsidR="00447A4E">
        <w:rPr>
          <w:rFonts w:ascii="Palatino Linotype" w:hAnsi="Palatino Linotype" w:cs="Tahoma"/>
        </w:rPr>
        <w:t>se debe</w:t>
      </w:r>
      <w:r>
        <w:rPr>
          <w:rFonts w:ascii="Palatino Linotype" w:hAnsi="Palatino Linotype" w:cs="Tahoma"/>
        </w:rPr>
        <w:t xml:space="preserve"> privilegi</w:t>
      </w:r>
      <w:r w:rsidR="00447A4E">
        <w:rPr>
          <w:rFonts w:ascii="Palatino Linotype" w:hAnsi="Palatino Linotype" w:cs="Tahoma"/>
        </w:rPr>
        <w:t>ar</w:t>
      </w:r>
      <w:r>
        <w:rPr>
          <w:rFonts w:ascii="Palatino Linotype" w:hAnsi="Palatino Linotype" w:cs="Tahoma"/>
        </w:rPr>
        <w:t xml:space="preserve"> el principio de máxima publicidad, pues los propios </w:t>
      </w:r>
      <w:r w:rsidRPr="000C22F3">
        <w:rPr>
          <w:rFonts w:ascii="Palatino Linotype" w:hAnsi="Palatino Linotype" w:cs="Tahoma"/>
          <w:b/>
        </w:rPr>
        <w:t>Artículo</w:t>
      </w:r>
      <w:r>
        <w:rPr>
          <w:rFonts w:ascii="Palatino Linotype" w:hAnsi="Palatino Linotype" w:cs="Tahoma"/>
          <w:b/>
        </w:rPr>
        <w:t>s</w:t>
      </w:r>
      <w:r w:rsidRPr="000C22F3">
        <w:rPr>
          <w:rFonts w:ascii="Palatino Linotype" w:hAnsi="Palatino Linotype" w:cs="Tahoma"/>
          <w:b/>
        </w:rPr>
        <w:t xml:space="preserve"> Transitorio</w:t>
      </w:r>
      <w:r>
        <w:rPr>
          <w:rFonts w:ascii="Palatino Linotype" w:hAnsi="Palatino Linotype" w:cs="Tahoma"/>
          <w:b/>
        </w:rPr>
        <w:t xml:space="preserve">s Tercero de la </w:t>
      </w:r>
      <w:r w:rsidRPr="009366AD">
        <w:rPr>
          <w:rFonts w:ascii="Palatino Linotype" w:hAnsi="Palatino Linotype" w:cs="Tahoma"/>
          <w:b/>
        </w:rPr>
        <w:t>Tercero de la Ley General de Responsabilidades</w:t>
      </w:r>
      <w:r>
        <w:rPr>
          <w:rFonts w:ascii="Palatino Linotype" w:hAnsi="Palatino Linotype" w:cs="Tahoma"/>
          <w:b/>
        </w:rPr>
        <w:t xml:space="preserve"> y </w:t>
      </w:r>
      <w:r w:rsidRPr="000C22F3">
        <w:rPr>
          <w:rFonts w:ascii="Palatino Linotype" w:hAnsi="Palatino Linotype" w:cs="Tahoma"/>
          <w:b/>
        </w:rPr>
        <w:t>Noveno de la Ley de Responsabilidades Administrativas del Estado de México y Municipios</w:t>
      </w:r>
      <w:r>
        <w:rPr>
          <w:rFonts w:ascii="Palatino Linotype" w:hAnsi="Palatino Linotype" w:cs="Tahoma"/>
          <w:b/>
        </w:rPr>
        <w:t xml:space="preserve">, </w:t>
      </w:r>
      <w:r w:rsidR="00447A4E">
        <w:rPr>
          <w:rFonts w:ascii="Palatino Linotype" w:hAnsi="Palatino Linotype" w:cs="Tahoma"/>
          <w:bCs/>
        </w:rPr>
        <w:t>establecen que la información, es de naturaleza pública, con las limitantes propias de la generación de unos formatos específicos para su publicación.</w:t>
      </w:r>
    </w:p>
    <w:p w14:paraId="6B04A85E" w14:textId="77777777" w:rsidR="00A0681D" w:rsidRDefault="00A0681D" w:rsidP="00A0681D">
      <w:pPr>
        <w:spacing w:after="0" w:line="360" w:lineRule="auto"/>
        <w:jc w:val="both"/>
        <w:rPr>
          <w:rFonts w:ascii="Palatino Linotype" w:hAnsi="Palatino Linotype" w:cs="Tahoma"/>
          <w:b/>
        </w:rPr>
      </w:pPr>
    </w:p>
    <w:p w14:paraId="2CBBFD62" w14:textId="033BB2D8" w:rsidR="00A0681D" w:rsidRPr="00205DF8" w:rsidRDefault="00E25CA9" w:rsidP="00A0681D">
      <w:pPr>
        <w:spacing w:after="0" w:line="360" w:lineRule="auto"/>
        <w:jc w:val="both"/>
        <w:rPr>
          <w:rFonts w:ascii="Palatino Linotype" w:hAnsi="Palatino Linotype" w:cs="Tahoma"/>
        </w:rPr>
      </w:pPr>
      <w:r>
        <w:rPr>
          <w:rFonts w:ascii="Palatino Linotype" w:hAnsi="Palatino Linotype" w:cs="Tahoma"/>
        </w:rPr>
        <w:t xml:space="preserve">Es por ello que </w:t>
      </w:r>
      <w:r w:rsidR="00A0681D">
        <w:rPr>
          <w:rFonts w:ascii="Palatino Linotype" w:hAnsi="Palatino Linotype" w:cs="Tahoma"/>
        </w:rPr>
        <w:t xml:space="preserve">se presenta un análisis del marco normativo, desde el cual considero, resulta procedente interpretar </w:t>
      </w:r>
      <w:r>
        <w:rPr>
          <w:rFonts w:ascii="Palatino Linotype" w:hAnsi="Palatino Linotype" w:cs="Tahoma"/>
        </w:rPr>
        <w:t>que al haberse aprobado ya estos formatos por el</w:t>
      </w:r>
      <w:r w:rsidR="00A0681D">
        <w:rPr>
          <w:rFonts w:ascii="Palatino Linotype" w:hAnsi="Palatino Linotype" w:cs="Tahoma"/>
        </w:rPr>
        <w:t xml:space="preserve"> </w:t>
      </w:r>
      <w:r w:rsidR="00A0681D" w:rsidRPr="000C22F3">
        <w:rPr>
          <w:rFonts w:ascii="Palatino Linotype" w:hAnsi="Palatino Linotype" w:cs="Tahoma"/>
        </w:rPr>
        <w:t>Comité Coordinador del Sistema Estatal Anticorrupción</w:t>
      </w:r>
      <w:r w:rsidR="00A0681D">
        <w:rPr>
          <w:rFonts w:ascii="Palatino Linotype" w:hAnsi="Palatino Linotype" w:cs="Tahoma"/>
        </w:rPr>
        <w:t xml:space="preserve">, </w:t>
      </w:r>
      <w:r>
        <w:rPr>
          <w:rFonts w:ascii="Palatino Linotype" w:hAnsi="Palatino Linotype" w:cs="Tahoma"/>
        </w:rPr>
        <w:t xml:space="preserve">estos son aplicables incluso a la información generada previamente </w:t>
      </w:r>
      <w:r w:rsidR="00447A4E">
        <w:rPr>
          <w:rFonts w:ascii="Palatino Linotype" w:hAnsi="Palatino Linotype" w:cs="Tahoma"/>
        </w:rPr>
        <w:t>su emisión,</w:t>
      </w:r>
      <w:r>
        <w:rPr>
          <w:rFonts w:ascii="Palatino Linotype" w:hAnsi="Palatino Linotype" w:cs="Tahoma"/>
        </w:rPr>
        <w:t xml:space="preserve"> por las siguientes consideraciones:</w:t>
      </w:r>
    </w:p>
    <w:p w14:paraId="42F46D58"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p>
    <w:p w14:paraId="3613B385"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Al respecto, es de mencionar que el artículo 30 de la Ley de Responsabilidades Administrativas del Estado de México y Municipios, establece lo siguiente:</w:t>
      </w:r>
    </w:p>
    <w:p w14:paraId="2CDAB408" w14:textId="77777777" w:rsidR="00A0681D" w:rsidRPr="000237AB" w:rsidRDefault="00A0681D" w:rsidP="00A0681D">
      <w:pPr>
        <w:tabs>
          <w:tab w:val="left" w:pos="4962"/>
        </w:tabs>
        <w:spacing w:after="0" w:line="360" w:lineRule="auto"/>
        <w:jc w:val="both"/>
        <w:rPr>
          <w:rFonts w:ascii="Palatino Linotype" w:eastAsia="Calibri" w:hAnsi="Palatino Linotype" w:cs="Tahoma"/>
          <w:iCs/>
          <w:sz w:val="20"/>
          <w:lang w:eastAsia="es-ES_tradnl"/>
        </w:rPr>
      </w:pPr>
    </w:p>
    <w:p w14:paraId="5D397205"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eastAsia="es-ES_tradnl"/>
        </w:rPr>
      </w:pPr>
      <w:r w:rsidRPr="000237AB">
        <w:rPr>
          <w:rFonts w:ascii="Palatino Linotype" w:eastAsia="Calibri" w:hAnsi="Palatino Linotype" w:cs="Tahoma"/>
          <w:b/>
          <w:i/>
          <w:iCs/>
          <w:sz w:val="20"/>
          <w:lang w:eastAsia="es-ES_tradnl"/>
        </w:rPr>
        <w:t>Artículo 30.</w:t>
      </w:r>
      <w:r w:rsidRPr="000237AB">
        <w:rPr>
          <w:rFonts w:ascii="Palatino Linotype" w:eastAsia="Calibri" w:hAnsi="Palatino Linotype" w:cs="Tahoma"/>
          <w:i/>
          <w:iCs/>
          <w:sz w:val="20"/>
          <w:lang w:eastAsia="es-ES_tradnl"/>
        </w:rPr>
        <w:t xml:space="preserve"> </w:t>
      </w:r>
      <w:r w:rsidRPr="000237AB">
        <w:rPr>
          <w:rFonts w:ascii="Palatino Linotype" w:eastAsia="Calibri" w:hAnsi="Palatino Linotype" w:cs="Tahoma"/>
          <w:b/>
          <w:i/>
          <w:iCs/>
          <w:sz w:val="20"/>
          <w:u w:val="single"/>
          <w:lang w:eastAsia="es-ES_tradnl"/>
        </w:rPr>
        <w:t>Las declaraciones patrimonial y de intereses</w:t>
      </w:r>
      <w:r w:rsidRPr="000237AB">
        <w:rPr>
          <w:rFonts w:ascii="Palatino Linotype" w:eastAsia="Calibri" w:hAnsi="Palatino Linotype" w:cs="Tahoma"/>
          <w:i/>
          <w:iCs/>
          <w:sz w:val="20"/>
          <w:u w:val="single"/>
          <w:lang w:eastAsia="es-ES_tradnl"/>
        </w:rPr>
        <w:t xml:space="preserve">, </w:t>
      </w:r>
      <w:r w:rsidRPr="000237AB">
        <w:rPr>
          <w:rFonts w:ascii="Palatino Linotype" w:eastAsia="Calibri" w:hAnsi="Palatino Linotype" w:cs="Tahoma"/>
          <w:b/>
          <w:i/>
          <w:iCs/>
          <w:sz w:val="20"/>
          <w:u w:val="single"/>
          <w:lang w:eastAsia="es-ES_tradnl"/>
        </w:rPr>
        <w:t>serán públicas</w:t>
      </w:r>
      <w:r w:rsidRPr="000237AB">
        <w:rPr>
          <w:rFonts w:ascii="Palatino Linotype" w:eastAsia="Calibri" w:hAnsi="Palatino Linotype" w:cs="Tahoma"/>
          <w:i/>
          <w:iCs/>
          <w:sz w:val="20"/>
          <w:lang w:eastAsia="es-ES_tradnl"/>
        </w:rPr>
        <w:t xml:space="preserve">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7FD7FEDB"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16"/>
          <w:lang w:eastAsia="es-ES_tradnl"/>
        </w:rPr>
      </w:pPr>
      <w:r w:rsidRPr="000237AB">
        <w:rPr>
          <w:rFonts w:ascii="Palatino Linotype" w:eastAsia="Calibri" w:hAnsi="Palatino Linotype" w:cs="Tahoma"/>
          <w:iCs/>
          <w:sz w:val="20"/>
          <w:lang w:val="es-ES_tradnl" w:eastAsia="es-ES_tradnl"/>
        </w:rPr>
        <w:lastRenderedPageBreak/>
        <w:t>(Énfasis añadido)</w:t>
      </w:r>
    </w:p>
    <w:p w14:paraId="1C591DFC" w14:textId="77777777" w:rsidR="00A0681D" w:rsidRPr="00F13E1D" w:rsidRDefault="00A0681D" w:rsidP="00A0681D">
      <w:pPr>
        <w:tabs>
          <w:tab w:val="left" w:pos="4962"/>
        </w:tabs>
        <w:spacing w:after="0" w:line="360" w:lineRule="auto"/>
        <w:ind w:left="567" w:right="567"/>
        <w:jc w:val="both"/>
        <w:rPr>
          <w:rFonts w:ascii="Palatino Linotype" w:eastAsia="Calibri" w:hAnsi="Palatino Linotype" w:cs="Tahoma"/>
          <w:i/>
          <w:iCs/>
          <w:lang w:eastAsia="es-ES_tradnl"/>
        </w:rPr>
      </w:pPr>
    </w:p>
    <w:p w14:paraId="21DFFAEE"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r>
        <w:rPr>
          <w:rFonts w:ascii="Palatino Linotype" w:eastAsia="Calibri" w:hAnsi="Palatino Linotype" w:cs="Tahoma"/>
          <w:iCs/>
          <w:lang w:val="es-ES_tradnl" w:eastAsia="es-ES_tradnl"/>
        </w:rPr>
        <w:t>Asimismo, el</w:t>
      </w:r>
      <w:r w:rsidRPr="00686394">
        <w:rPr>
          <w:rFonts w:ascii="Palatino Linotype" w:eastAsia="Calibri" w:hAnsi="Palatino Linotype" w:cs="Tahoma"/>
          <w:b/>
          <w:iCs/>
          <w:lang w:val="es-ES_tradnl" w:eastAsia="es-ES_tradnl"/>
        </w:rPr>
        <w:t xml:space="preserve"> </w:t>
      </w:r>
      <w:r w:rsidRPr="00686394">
        <w:rPr>
          <w:rFonts w:ascii="Palatino Linotype" w:eastAsia="Calibri" w:hAnsi="Palatino Linotype" w:cs="Tahoma"/>
          <w:iCs/>
          <w:lang w:val="es-ES_tradnl" w:eastAsia="es-ES_tradnl"/>
        </w:rPr>
        <w:t>Transitorio Noveno de la Ley de Responsabilidades Administrativas del Estado de México y Municipios</w:t>
      </w:r>
      <w:r>
        <w:rPr>
          <w:rFonts w:ascii="Palatino Linotype" w:eastAsia="Calibri" w:hAnsi="Palatino Linotype" w:cs="Tahoma"/>
          <w:iCs/>
          <w:lang w:val="es-ES_tradnl" w:eastAsia="es-ES_tradnl"/>
        </w:rPr>
        <w:t>, establece:</w:t>
      </w:r>
    </w:p>
    <w:p w14:paraId="28AA40A6"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p>
    <w:p w14:paraId="267EDF06"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b/>
          <w:i/>
          <w:iCs/>
          <w:sz w:val="20"/>
          <w:lang w:val="es-ES_tradnl" w:eastAsia="es-ES_tradnl"/>
        </w:rPr>
      </w:pPr>
      <w:r w:rsidRPr="000237AB">
        <w:rPr>
          <w:rFonts w:ascii="Palatino Linotype" w:eastAsia="Calibri" w:hAnsi="Palatino Linotype" w:cs="Tahoma"/>
          <w:b/>
          <w:i/>
          <w:iCs/>
          <w:sz w:val="20"/>
          <w:lang w:val="es-ES_tradnl" w:eastAsia="es-ES_tradnl"/>
        </w:rPr>
        <w:t xml:space="preserve">NOVENO. </w:t>
      </w:r>
      <w:r w:rsidRPr="000237AB">
        <w:rPr>
          <w:rFonts w:ascii="Palatino Linotype" w:eastAsia="Calibri" w:hAnsi="Palatino Linotype" w:cs="Tahoma"/>
          <w:i/>
          <w:iCs/>
          <w:sz w:val="20"/>
          <w:lang w:val="es-ES_tradnl" w:eastAsia="es-ES_tradnl"/>
        </w:rPr>
        <w:t>…</w:t>
      </w:r>
    </w:p>
    <w:p w14:paraId="6C3E9DED"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i/>
          <w:iCs/>
          <w:sz w:val="20"/>
          <w:lang w:val="es-ES_tradnl" w:eastAsia="es-ES_tradnl"/>
        </w:rPr>
        <w:t>Hasta en tanto el Comité Coordinador del Sistema Estatal Anticorrupción, determina los formatos para la presentación de las declaraciones patrimonial y de intereses, los servidores públicos estatales y municipales</w:t>
      </w:r>
      <w:r w:rsidRPr="000237AB">
        <w:rPr>
          <w:rFonts w:ascii="Palatino Linotype" w:eastAsia="Calibri" w:hAnsi="Palatino Linotype" w:cs="Tahoma"/>
          <w:b/>
          <w:i/>
          <w:iCs/>
          <w:sz w:val="20"/>
          <w:lang w:val="es-ES_tradnl" w:eastAsia="es-ES_tradnl"/>
        </w:rPr>
        <w:t>, presentarán sus declaraciones en los formatos que</w:t>
      </w:r>
      <w:r w:rsidRPr="000237AB">
        <w:rPr>
          <w:rFonts w:ascii="Palatino Linotype" w:eastAsia="Calibri" w:hAnsi="Palatino Linotype" w:cs="Tahoma"/>
          <w:i/>
          <w:iCs/>
          <w:sz w:val="20"/>
          <w:lang w:val="es-ES_tradnl" w:eastAsia="es-ES_tradnl"/>
        </w:rPr>
        <w:t xml:space="preserve">, a la entrada en vigor del presente Decreto, </w:t>
      </w:r>
      <w:r w:rsidRPr="000237AB">
        <w:rPr>
          <w:rFonts w:ascii="Palatino Linotype" w:eastAsia="Calibri" w:hAnsi="Palatino Linotype" w:cs="Tahoma"/>
          <w:b/>
          <w:i/>
          <w:iCs/>
          <w:sz w:val="20"/>
          <w:lang w:val="es-ES_tradnl" w:eastAsia="es-ES_tradnl"/>
        </w:rPr>
        <w:t>se utilicen en la Entidad</w:t>
      </w:r>
      <w:r w:rsidRPr="000237AB">
        <w:rPr>
          <w:rFonts w:ascii="Palatino Linotype" w:eastAsia="Calibri" w:hAnsi="Palatino Linotype" w:cs="Tahoma"/>
          <w:i/>
          <w:iCs/>
          <w:sz w:val="20"/>
          <w:lang w:val="es-ES_tradnl" w:eastAsia="es-ES_tradnl"/>
        </w:rPr>
        <w:t>.</w:t>
      </w:r>
    </w:p>
    <w:p w14:paraId="393D8881"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16"/>
          <w:lang w:eastAsia="es-ES_tradnl"/>
        </w:rPr>
      </w:pPr>
      <w:r w:rsidRPr="000237AB">
        <w:rPr>
          <w:rFonts w:ascii="Palatino Linotype" w:eastAsia="Calibri" w:hAnsi="Palatino Linotype" w:cs="Tahoma"/>
          <w:iCs/>
          <w:sz w:val="20"/>
          <w:lang w:val="es-ES_tradnl" w:eastAsia="es-ES_tradnl"/>
        </w:rPr>
        <w:t>(Énfasis añadido)</w:t>
      </w:r>
    </w:p>
    <w:p w14:paraId="08AA9D00"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p>
    <w:p w14:paraId="1455BE34"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r>
        <w:rPr>
          <w:rFonts w:ascii="Palatino Linotype" w:eastAsia="Calibri" w:hAnsi="Palatino Linotype" w:cs="Tahoma"/>
          <w:iCs/>
          <w:lang w:val="es-ES_tradnl" w:eastAsia="es-ES_tradnl"/>
        </w:rPr>
        <w:t xml:space="preserve">Por su parte, </w:t>
      </w:r>
      <w:r w:rsidRPr="00686394">
        <w:rPr>
          <w:rFonts w:ascii="Palatino Linotype" w:eastAsia="Calibri" w:hAnsi="Palatino Linotype" w:cs="Tahoma"/>
          <w:iCs/>
          <w:lang w:val="es-ES_tradnl" w:eastAsia="es-ES_tradnl"/>
        </w:rPr>
        <w:t>el Transitorio Tercero de la Ley General de Responsabilidades Administrativas,</w:t>
      </w:r>
      <w:r>
        <w:rPr>
          <w:rFonts w:ascii="Palatino Linotype" w:eastAsia="Calibri" w:hAnsi="Palatino Linotype" w:cs="Tahoma"/>
          <w:iCs/>
          <w:lang w:val="es-ES_tradnl" w:eastAsia="es-ES_tradnl"/>
        </w:rPr>
        <w:t xml:space="preserve"> determina:</w:t>
      </w:r>
      <w:r w:rsidRPr="00686394">
        <w:rPr>
          <w:rFonts w:ascii="Palatino Linotype" w:eastAsia="Calibri" w:hAnsi="Palatino Linotype" w:cs="Tahoma"/>
          <w:iCs/>
          <w:lang w:val="es-ES_tradnl" w:eastAsia="es-ES_tradnl"/>
        </w:rPr>
        <w:t xml:space="preserve"> </w:t>
      </w:r>
    </w:p>
    <w:p w14:paraId="386E8305"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p>
    <w:p w14:paraId="02A51E27"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b/>
          <w:i/>
          <w:iCs/>
          <w:sz w:val="20"/>
          <w:lang w:val="es-ES_tradnl" w:eastAsia="es-ES_tradnl"/>
        </w:rPr>
        <w:t>Tercero.</w:t>
      </w:r>
      <w:r w:rsidRPr="000237AB">
        <w:rPr>
          <w:rFonts w:ascii="Palatino Linotype" w:eastAsia="Calibri" w:hAnsi="Palatino Linotype" w:cs="Tahoma"/>
          <w:i/>
          <w:iCs/>
          <w:sz w:val="20"/>
          <w:lang w:val="es-ES_tradnl" w:eastAsia="es-ES_tradnl"/>
        </w:rPr>
        <w:t xml:space="preserve"> …</w:t>
      </w:r>
    </w:p>
    <w:p w14:paraId="13826EA6"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b/>
          <w:i/>
          <w:iCs/>
          <w:sz w:val="20"/>
          <w:lang w:val="es-ES_tradnl" w:eastAsia="es-ES_tradnl"/>
        </w:rPr>
        <w:t>El cumplimiento de las obligaciones</w:t>
      </w:r>
      <w:r w:rsidRPr="000237AB">
        <w:rPr>
          <w:rFonts w:ascii="Palatino Linotype" w:eastAsia="Calibri" w:hAnsi="Palatino Linotype" w:cs="Tahoma"/>
          <w:i/>
          <w:iCs/>
          <w:sz w:val="20"/>
          <w:lang w:val="es-ES_tradnl" w:eastAsia="es-ES_tradnl"/>
        </w:rPr>
        <w:t xml:space="preserve"> previstas en la Ley General de Responsabilidades Administrativas, una vez que ésta entre en vigor, </w:t>
      </w:r>
      <w:r w:rsidRPr="000237AB">
        <w:rPr>
          <w:rFonts w:ascii="Palatino Linotype" w:eastAsia="Calibri" w:hAnsi="Palatino Linotype" w:cs="Tahoma"/>
          <w:b/>
          <w:i/>
          <w:iCs/>
          <w:sz w:val="20"/>
          <w:lang w:val="es-ES_tradnl" w:eastAsia="es-ES_tradnl"/>
        </w:rPr>
        <w:t>serán exigibles, en lo que resulte aplicable, hasta en tanto el Comité Coordinador del Sistema Nacional Anticorrupción, de conformidad con la ley de la materia, emita los lineamientos, criterios y demás resoluciones conducentes de su competencia</w:t>
      </w:r>
      <w:r w:rsidRPr="000237AB">
        <w:rPr>
          <w:rFonts w:ascii="Palatino Linotype" w:eastAsia="Calibri" w:hAnsi="Palatino Linotype" w:cs="Tahoma"/>
          <w:i/>
          <w:iCs/>
          <w:sz w:val="20"/>
          <w:lang w:val="es-ES_tradnl" w:eastAsia="es-ES_tradnl"/>
        </w:rPr>
        <w:t>.</w:t>
      </w:r>
    </w:p>
    <w:p w14:paraId="0DDB9DCB"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i/>
          <w:iCs/>
          <w:sz w:val="20"/>
          <w:lang w:val="es-ES_tradnl" w:eastAsia="es-ES_tradnl"/>
        </w:rPr>
        <w:t>…</w:t>
      </w:r>
    </w:p>
    <w:p w14:paraId="3D4123CD"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16"/>
          <w:lang w:eastAsia="es-ES_tradnl"/>
        </w:rPr>
      </w:pPr>
      <w:r w:rsidRPr="000237AB">
        <w:rPr>
          <w:rFonts w:ascii="Palatino Linotype" w:eastAsia="Calibri" w:hAnsi="Palatino Linotype" w:cs="Tahoma"/>
          <w:iCs/>
          <w:sz w:val="20"/>
          <w:lang w:val="es-ES_tradnl" w:eastAsia="es-ES_tradnl"/>
        </w:rPr>
        <w:t>(Énfasis añadido)</w:t>
      </w:r>
    </w:p>
    <w:p w14:paraId="07074C03" w14:textId="77777777" w:rsidR="00A0681D" w:rsidRDefault="00A0681D" w:rsidP="00A0681D">
      <w:pPr>
        <w:tabs>
          <w:tab w:val="left" w:pos="4962"/>
        </w:tabs>
        <w:spacing w:after="0" w:line="360" w:lineRule="auto"/>
        <w:jc w:val="both"/>
        <w:rPr>
          <w:rFonts w:ascii="Palatino Linotype" w:eastAsia="Calibri" w:hAnsi="Palatino Linotype" w:cs="Tahoma"/>
          <w:iCs/>
          <w:lang w:val="es-ES_tradnl" w:eastAsia="es-ES_tradnl"/>
        </w:rPr>
      </w:pPr>
    </w:p>
    <w:p w14:paraId="3DFBCF14" w14:textId="77777777" w:rsidR="00A0681D" w:rsidRPr="00686394" w:rsidRDefault="00A0681D" w:rsidP="00A0681D">
      <w:pPr>
        <w:tabs>
          <w:tab w:val="left" w:pos="4962"/>
        </w:tabs>
        <w:spacing w:after="0" w:line="360" w:lineRule="auto"/>
        <w:jc w:val="both"/>
        <w:rPr>
          <w:rFonts w:ascii="Palatino Linotype" w:eastAsia="Calibri" w:hAnsi="Palatino Linotype" w:cs="Tahoma"/>
          <w:iCs/>
          <w:lang w:val="es-ES_tradnl" w:eastAsia="es-ES_tradnl"/>
        </w:rPr>
      </w:pPr>
      <w:r>
        <w:rPr>
          <w:rFonts w:ascii="Palatino Linotype" w:eastAsia="Calibri" w:hAnsi="Palatino Linotype" w:cs="Tahoma"/>
          <w:iCs/>
          <w:lang w:val="es-ES_tradnl" w:eastAsia="es-ES_tradnl"/>
        </w:rPr>
        <w:t xml:space="preserve">A su vez, el </w:t>
      </w:r>
      <w:r w:rsidRPr="00686394">
        <w:rPr>
          <w:rFonts w:ascii="Palatino Linotype" w:eastAsia="Calibri" w:hAnsi="Palatino Linotype" w:cs="Tahoma"/>
          <w:iCs/>
          <w:lang w:val="es-ES_tradnl" w:eastAsia="es-ES_tradnl"/>
        </w:rPr>
        <w:t xml:space="preserve">Transitorio Tercero de la Ley General del Sistema Nacional Anticorrupción </w:t>
      </w:r>
      <w:r>
        <w:rPr>
          <w:rFonts w:ascii="Palatino Linotype" w:eastAsia="Calibri" w:hAnsi="Palatino Linotype" w:cs="Tahoma"/>
          <w:iCs/>
          <w:lang w:val="es-ES_tradnl" w:eastAsia="es-ES_tradnl"/>
        </w:rPr>
        <w:t>indica</w:t>
      </w:r>
      <w:r w:rsidRPr="00686394">
        <w:rPr>
          <w:rFonts w:ascii="Palatino Linotype" w:eastAsia="Calibri" w:hAnsi="Palatino Linotype" w:cs="Tahoma"/>
          <w:iCs/>
          <w:lang w:val="es-ES_tradnl" w:eastAsia="es-ES_tradnl"/>
        </w:rPr>
        <w:t xml:space="preserve"> lo siguiente:</w:t>
      </w:r>
    </w:p>
    <w:p w14:paraId="004410C1" w14:textId="77777777" w:rsidR="00A0681D" w:rsidRDefault="00A0681D" w:rsidP="00A0681D">
      <w:pPr>
        <w:tabs>
          <w:tab w:val="left" w:pos="4962"/>
        </w:tabs>
        <w:spacing w:after="0" w:line="360" w:lineRule="auto"/>
        <w:jc w:val="both"/>
        <w:rPr>
          <w:rFonts w:ascii="Palatino Linotype" w:eastAsia="Calibri" w:hAnsi="Palatino Linotype" w:cs="Tahoma"/>
          <w:b/>
          <w:i/>
          <w:iCs/>
          <w:lang w:val="es-ES_tradnl" w:eastAsia="es-ES_tradnl"/>
        </w:rPr>
      </w:pPr>
    </w:p>
    <w:p w14:paraId="4E437176"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b/>
          <w:i/>
          <w:iCs/>
          <w:sz w:val="20"/>
          <w:lang w:val="es-ES_tradnl" w:eastAsia="es-ES_tradnl"/>
        </w:rPr>
      </w:pPr>
      <w:r w:rsidRPr="000237AB">
        <w:rPr>
          <w:rFonts w:ascii="Palatino Linotype" w:eastAsia="Calibri" w:hAnsi="Palatino Linotype" w:cs="Tahoma"/>
          <w:b/>
          <w:i/>
          <w:iCs/>
          <w:sz w:val="20"/>
          <w:lang w:val="es-ES_tradnl" w:eastAsia="es-ES_tradnl"/>
        </w:rPr>
        <w:lastRenderedPageBreak/>
        <w:t xml:space="preserve">Tercero. </w:t>
      </w:r>
      <w:r w:rsidRPr="000237AB">
        <w:rPr>
          <w:rFonts w:ascii="Palatino Linotype" w:eastAsia="Calibri" w:hAnsi="Palatino Linotype" w:cs="Tahoma"/>
          <w:i/>
          <w:iCs/>
          <w:sz w:val="20"/>
          <w:lang w:val="es-ES_tradnl" w:eastAsia="es-ES_tradnl"/>
        </w:rPr>
        <w:t>…</w:t>
      </w:r>
    </w:p>
    <w:p w14:paraId="0C64A24D"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i/>
          <w:iCs/>
          <w:sz w:val="20"/>
          <w:lang w:val="es-ES_tradnl" w:eastAsia="es-ES_tradnl"/>
        </w:rPr>
        <w:t>El cumplimiento de las obligaciones previstas en la Ley General de Responsabilidades Administrativas, una vez que ésta entre en vigor,</w:t>
      </w:r>
      <w:r w:rsidRPr="000237AB">
        <w:rPr>
          <w:rFonts w:ascii="Palatino Linotype" w:eastAsia="Calibri" w:hAnsi="Palatino Linotype" w:cs="Tahoma"/>
          <w:b/>
          <w:i/>
          <w:iCs/>
          <w:sz w:val="20"/>
          <w:lang w:val="es-ES_tradnl" w:eastAsia="es-ES_tradnl"/>
        </w:rPr>
        <w:t xml:space="preserve"> serán exigibles, en lo que resulte aplicable, </w:t>
      </w:r>
      <w:r w:rsidRPr="000237AB">
        <w:rPr>
          <w:rFonts w:ascii="Palatino Linotype" w:eastAsia="Calibri" w:hAnsi="Palatino Linotype" w:cs="Tahoma"/>
          <w:b/>
          <w:i/>
          <w:iCs/>
          <w:sz w:val="20"/>
          <w:u w:val="single"/>
          <w:lang w:val="es-ES_tradnl" w:eastAsia="es-ES_tradnl"/>
        </w:rPr>
        <w:t>hasta en tanto</w:t>
      </w:r>
      <w:r w:rsidRPr="000237AB">
        <w:rPr>
          <w:rFonts w:ascii="Palatino Linotype" w:eastAsia="Calibri" w:hAnsi="Palatino Linotype" w:cs="Tahoma"/>
          <w:b/>
          <w:i/>
          <w:iCs/>
          <w:sz w:val="20"/>
          <w:lang w:val="es-ES_tradnl" w:eastAsia="es-ES_tradnl"/>
        </w:rPr>
        <w:t xml:space="preserve"> el Comité Coordinador del Sistema Nacional Anticorrupción, de conformidad con la ley de la materia, emita los lineamientos, criterios y demás resoluciones conducentes de su competencia.</w:t>
      </w:r>
      <w:r w:rsidRPr="000237AB">
        <w:rPr>
          <w:rFonts w:ascii="Palatino Linotype" w:eastAsia="Calibri" w:hAnsi="Palatino Linotype" w:cs="Tahoma"/>
          <w:b/>
          <w:i/>
          <w:iCs/>
          <w:sz w:val="20"/>
          <w:lang w:val="es-ES_tradnl" w:eastAsia="es-ES_tradnl"/>
        </w:rPr>
        <w:cr/>
      </w:r>
      <w:r w:rsidRPr="000237AB">
        <w:rPr>
          <w:rFonts w:ascii="Palatino Linotype" w:eastAsia="Calibri" w:hAnsi="Palatino Linotype" w:cs="Tahoma"/>
          <w:i/>
          <w:iCs/>
          <w:sz w:val="20"/>
          <w:lang w:val="es-ES_tradnl" w:eastAsia="es-ES_tradnl"/>
        </w:rPr>
        <w:t>...</w:t>
      </w:r>
    </w:p>
    <w:p w14:paraId="0BB30B17"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b/>
          <w:i/>
          <w:iCs/>
          <w:sz w:val="20"/>
          <w:lang w:val="es-ES_tradnl" w:eastAsia="es-ES_tradnl"/>
        </w:rPr>
      </w:pPr>
      <w:r w:rsidRPr="000237AB">
        <w:rPr>
          <w:rFonts w:ascii="Palatino Linotype" w:eastAsia="Calibri" w:hAnsi="Palatino Linotype" w:cs="Tahoma"/>
          <w:i/>
          <w:iCs/>
          <w:sz w:val="20"/>
          <w:lang w:val="es-ES_tradnl" w:eastAsia="es-ES_tradnl"/>
        </w:rPr>
        <w:t>Una vez en vigor la Ley General de Responsabilidades Administrativas y hasta en tanto el Comité Coordinador del Sistema Nacional Anticorrupción determina los formatos para la presentación de las declaraciones patrimonial y de intereses,</w:t>
      </w:r>
      <w:r w:rsidRPr="000237AB">
        <w:rPr>
          <w:rFonts w:ascii="Palatino Linotype" w:eastAsia="Calibri" w:hAnsi="Palatino Linotype" w:cs="Tahoma"/>
          <w:b/>
          <w:i/>
          <w:iCs/>
          <w:sz w:val="20"/>
          <w:lang w:val="es-ES_tradnl" w:eastAsia="es-ES_tradnl"/>
        </w:rPr>
        <w:t xml:space="preserve"> </w:t>
      </w:r>
      <w:r w:rsidRPr="000237AB">
        <w:rPr>
          <w:rFonts w:ascii="Palatino Linotype" w:eastAsia="Calibri" w:hAnsi="Palatino Linotype" w:cs="Tahoma"/>
          <w:b/>
          <w:i/>
          <w:iCs/>
          <w:sz w:val="20"/>
          <w:u w:val="single"/>
          <w:lang w:val="es-ES_tradnl" w:eastAsia="es-ES_tradnl"/>
        </w:rPr>
        <w:t>los servidores públicos de todos los órdenes de gobierno presentarán sus declaraciones en los formatos que</w:t>
      </w:r>
      <w:r w:rsidRPr="000237AB">
        <w:rPr>
          <w:rFonts w:ascii="Palatino Linotype" w:eastAsia="Calibri" w:hAnsi="Palatino Linotype" w:cs="Tahoma"/>
          <w:b/>
          <w:i/>
          <w:iCs/>
          <w:sz w:val="20"/>
          <w:lang w:val="es-ES_tradnl" w:eastAsia="es-ES_tradnl"/>
        </w:rPr>
        <w:t xml:space="preserve"> a la entrada en vigor de la referida Ley General, </w:t>
      </w:r>
      <w:r w:rsidRPr="000237AB">
        <w:rPr>
          <w:rFonts w:ascii="Palatino Linotype" w:eastAsia="Calibri" w:hAnsi="Palatino Linotype" w:cs="Tahoma"/>
          <w:b/>
          <w:i/>
          <w:iCs/>
          <w:sz w:val="20"/>
          <w:u w:val="single"/>
          <w:lang w:val="es-ES_tradnl" w:eastAsia="es-ES_tradnl"/>
        </w:rPr>
        <w:t>se utilicen</w:t>
      </w:r>
      <w:r w:rsidRPr="000237AB">
        <w:rPr>
          <w:rFonts w:ascii="Palatino Linotype" w:eastAsia="Calibri" w:hAnsi="Palatino Linotype" w:cs="Tahoma"/>
          <w:b/>
          <w:i/>
          <w:iCs/>
          <w:sz w:val="20"/>
          <w:lang w:val="es-ES_tradnl" w:eastAsia="es-ES_tradnl"/>
        </w:rPr>
        <w:t xml:space="preserve"> en el ámbito federal. </w:t>
      </w:r>
    </w:p>
    <w:p w14:paraId="6EBD1DC9"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iCs/>
          <w:sz w:val="20"/>
          <w:lang w:val="es-ES_tradnl" w:eastAsia="es-ES_tradnl"/>
        </w:rPr>
        <w:t>(Énfasis añadido)</w:t>
      </w:r>
    </w:p>
    <w:p w14:paraId="682C9D35"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p>
    <w:p w14:paraId="1297D765" w14:textId="2DC8291B" w:rsidR="00A0681D" w:rsidRDefault="00A0681D" w:rsidP="00A0681D">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De los preceptos jurídicos invocados, se advierte que, en efecto, el Comité Coordinador </w:t>
      </w:r>
      <w:r w:rsidRPr="008E17F9">
        <w:rPr>
          <w:rFonts w:ascii="Palatino Linotype" w:eastAsia="Calibri" w:hAnsi="Palatino Linotype" w:cs="Tahoma"/>
          <w:iCs/>
          <w:lang w:eastAsia="es-ES_tradnl"/>
        </w:rPr>
        <w:t>del Estado de México</w:t>
      </w:r>
      <w:r>
        <w:rPr>
          <w:rFonts w:ascii="Palatino Linotype" w:eastAsia="Calibri" w:hAnsi="Palatino Linotype" w:cs="Tahoma"/>
          <w:iCs/>
          <w:lang w:eastAsia="es-ES_tradnl"/>
        </w:rPr>
        <w:t>, emitir</w:t>
      </w:r>
      <w:r w:rsidR="003C4F48">
        <w:rPr>
          <w:rFonts w:ascii="Palatino Linotype" w:eastAsia="Calibri" w:hAnsi="Palatino Linotype" w:cs="Tahoma"/>
          <w:iCs/>
          <w:lang w:eastAsia="es-ES_tradnl"/>
        </w:rPr>
        <w:t>ía</w:t>
      </w:r>
      <w:r>
        <w:rPr>
          <w:rFonts w:ascii="Palatino Linotype" w:eastAsia="Calibri" w:hAnsi="Palatino Linotype" w:cs="Tahoma"/>
          <w:iCs/>
          <w:lang w:eastAsia="es-ES_tradnl"/>
        </w:rPr>
        <w:t xml:space="preserve"> los formatos para la presentación de las declaraciones de situación patrimonial y de intereses en los que se salvaguarde la información relacionada con la vida privada y los datos personales de los servidores públicos, información que es de carácter confidencial en términos del artículo 143, fracción I, de la Ley de Transparencia y Acceso a la Información Pública del Estado de México y Municipios.</w:t>
      </w:r>
    </w:p>
    <w:p w14:paraId="662EE8B3"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p>
    <w:p w14:paraId="30A1FEE8" w14:textId="14C6C87A" w:rsidR="00A0681D" w:rsidRPr="003331F5" w:rsidRDefault="003C4F48" w:rsidP="00A0681D">
      <w:pPr>
        <w:tabs>
          <w:tab w:val="left" w:pos="4962"/>
        </w:tabs>
        <w:spacing w:after="0" w:line="360" w:lineRule="auto"/>
        <w:jc w:val="both"/>
        <w:rPr>
          <w:rFonts w:ascii="Palatino Linotype" w:eastAsia="Calibri" w:hAnsi="Palatino Linotype" w:cs="Tahoma"/>
          <w:b/>
          <w:iCs/>
          <w:lang w:eastAsia="es-ES_tradnl"/>
        </w:rPr>
      </w:pPr>
      <w:r>
        <w:rPr>
          <w:rFonts w:ascii="Palatino Linotype" w:eastAsia="Calibri" w:hAnsi="Palatino Linotype" w:cs="Tahoma"/>
          <w:iCs/>
          <w:lang w:eastAsia="es-ES_tradnl"/>
        </w:rPr>
        <w:t>Así</w:t>
      </w:r>
      <w:r w:rsidR="00A0681D">
        <w:rPr>
          <w:rFonts w:ascii="Palatino Linotype" w:eastAsia="Calibri" w:hAnsi="Palatino Linotype" w:cs="Tahoma"/>
          <w:iCs/>
          <w:lang w:eastAsia="es-ES_tradnl"/>
        </w:rPr>
        <w:t xml:space="preserve">, </w:t>
      </w:r>
      <w:r w:rsidR="00A0681D" w:rsidRPr="003331F5">
        <w:rPr>
          <w:rFonts w:ascii="Palatino Linotype" w:eastAsia="Calibri" w:hAnsi="Palatino Linotype" w:cs="Tahoma"/>
          <w:b/>
          <w:iCs/>
          <w:lang w:eastAsia="es-ES_tradnl"/>
        </w:rPr>
        <w:t>la propia normatividad prevé que en tanto no sean emitidos dichos formatos, los servidores públicos deberán presentar sus declaraciones en los formatos que hasta el momento continúen vigentes en la Entidad, es decir, los formatos convencionales que estén en uso en el ente respectivo.</w:t>
      </w:r>
    </w:p>
    <w:p w14:paraId="51BCE8FD"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p>
    <w:p w14:paraId="57432287" w14:textId="3A8B9368" w:rsidR="00A0681D" w:rsidRDefault="00A0681D" w:rsidP="00A0681D">
      <w:pPr>
        <w:tabs>
          <w:tab w:val="left" w:pos="4962"/>
        </w:tabs>
        <w:spacing w:after="0" w:line="360" w:lineRule="auto"/>
        <w:jc w:val="both"/>
        <w:rPr>
          <w:rFonts w:ascii="Palatino Linotype" w:eastAsia="Calibri" w:hAnsi="Palatino Linotype" w:cs="Tahoma"/>
          <w:b/>
          <w:iCs/>
          <w:lang w:eastAsia="es-ES_tradnl"/>
        </w:rPr>
      </w:pPr>
      <w:r>
        <w:rPr>
          <w:rFonts w:ascii="Palatino Linotype" w:eastAsia="Calibri" w:hAnsi="Palatino Linotype" w:cs="Tahoma"/>
          <w:iCs/>
          <w:lang w:eastAsia="es-ES_tradnl"/>
        </w:rPr>
        <w:lastRenderedPageBreak/>
        <w:t xml:space="preserve">Además, se determina puntualmente que la declaración patrimonial y de intereses serán públicas excepto la información concerniente a la vida privada y datos personales de los servidores públicos, lo cual permite considerar la viabilidad de elaborar una versión pública del documento en el que se suprima la información de carácter confidencial. Al respecto resulta importante destacar que </w:t>
      </w:r>
      <w:r>
        <w:rPr>
          <w:rFonts w:ascii="Palatino Linotype" w:eastAsia="Calibri" w:hAnsi="Palatino Linotype" w:cs="Tahoma"/>
          <w:b/>
          <w:iCs/>
          <w:lang w:eastAsia="es-ES_tradnl"/>
        </w:rPr>
        <w:t>la publicidad de la información deviene de su naturaleza y el interés público de darla a conocer.</w:t>
      </w:r>
    </w:p>
    <w:p w14:paraId="17A2D99F" w14:textId="5D835E42" w:rsidR="00E25CA9" w:rsidRDefault="00E25CA9" w:rsidP="00A0681D">
      <w:pPr>
        <w:tabs>
          <w:tab w:val="left" w:pos="4962"/>
        </w:tabs>
        <w:spacing w:after="0" w:line="360" w:lineRule="auto"/>
        <w:jc w:val="both"/>
        <w:rPr>
          <w:rFonts w:ascii="Palatino Linotype" w:eastAsia="Calibri" w:hAnsi="Palatino Linotype" w:cs="Tahoma"/>
          <w:b/>
          <w:iCs/>
          <w:lang w:eastAsia="es-ES_tradnl"/>
        </w:rPr>
      </w:pPr>
    </w:p>
    <w:p w14:paraId="56C0E49B" w14:textId="23D93397" w:rsidR="009425D7" w:rsidRDefault="00E25CA9" w:rsidP="00A0681D">
      <w:pPr>
        <w:tabs>
          <w:tab w:val="left" w:pos="4962"/>
        </w:tabs>
        <w:spacing w:after="0" w:line="360" w:lineRule="auto"/>
        <w:jc w:val="both"/>
        <w:rPr>
          <w:rFonts w:ascii="Palatino Linotype" w:eastAsia="Calibri" w:hAnsi="Palatino Linotype" w:cs="Tahoma"/>
          <w:iCs/>
          <w:lang w:eastAsia="es-ES_tradnl"/>
        </w:rPr>
      </w:pPr>
      <w:r w:rsidRPr="00E25CA9">
        <w:rPr>
          <w:rFonts w:ascii="Palatino Linotype" w:eastAsia="Calibri" w:hAnsi="Palatino Linotype" w:cs="Tahoma"/>
          <w:iCs/>
          <w:lang w:eastAsia="es-ES_tradnl"/>
        </w:rPr>
        <w:t>En este contexto</w:t>
      </w:r>
      <w:r>
        <w:rPr>
          <w:rFonts w:ascii="Palatino Linotype" w:eastAsia="Calibri" w:hAnsi="Palatino Linotype" w:cs="Tahoma"/>
          <w:iCs/>
          <w:lang w:eastAsia="es-ES_tradnl"/>
        </w:rPr>
        <w:t>, es preciso identificar que desde la emisión e la Ley de Responsabilidades Administrativas del Estado de México</w:t>
      </w:r>
      <w:r w:rsidR="009425D7">
        <w:rPr>
          <w:rFonts w:ascii="Palatino Linotype" w:eastAsia="Calibri" w:hAnsi="Palatino Linotype" w:cs="Tahoma"/>
          <w:iCs/>
          <w:lang w:eastAsia="es-ES_tradnl"/>
        </w:rPr>
        <w:t xml:space="preserve"> y Municipios publicada el </w:t>
      </w:r>
      <w:r w:rsidR="009425D7" w:rsidRPr="009425D7">
        <w:rPr>
          <w:rFonts w:ascii="Palatino Linotype" w:eastAsia="Calibri" w:hAnsi="Palatino Linotype" w:cs="Tahoma"/>
          <w:iCs/>
          <w:lang w:eastAsia="es-ES_tradnl"/>
        </w:rPr>
        <w:t>30 de mayo de 2017</w:t>
      </w:r>
      <w:r w:rsidR="009425D7">
        <w:rPr>
          <w:rFonts w:ascii="Palatino Linotype" w:eastAsia="Calibri" w:hAnsi="Palatino Linotype" w:cs="Tahoma"/>
          <w:iCs/>
          <w:lang w:eastAsia="es-ES_tradnl"/>
        </w:rPr>
        <w:t>, ya establecía la publicidad de la información, con la precisión de que era necesario engendrar criterios que permitieran delimitar la información susceptible a ser clasificada como confidencial.</w:t>
      </w:r>
      <w:r w:rsidR="003C3736">
        <w:rPr>
          <w:rFonts w:ascii="Palatino Linotype" w:eastAsia="Calibri" w:hAnsi="Palatino Linotype" w:cs="Tahoma"/>
          <w:iCs/>
          <w:lang w:eastAsia="es-ES_tradnl"/>
        </w:rPr>
        <w:t xml:space="preserve"> </w:t>
      </w:r>
      <w:r w:rsidR="009425D7">
        <w:rPr>
          <w:rFonts w:ascii="Palatino Linotype" w:eastAsia="Calibri" w:hAnsi="Palatino Linotype" w:cs="Tahoma"/>
          <w:iCs/>
          <w:lang w:eastAsia="es-ES_tradnl"/>
        </w:rPr>
        <w:t>Ahora bien, al existir estos formatos, ya se generaron los criterios necesarios para la elaboración de las versiones publicas de las declaraciones patrimoniales generadas desde la publicación de la le.</w:t>
      </w:r>
    </w:p>
    <w:p w14:paraId="1416A4BF" w14:textId="43BAE6DD" w:rsidR="009425D7" w:rsidRDefault="009425D7" w:rsidP="00A0681D">
      <w:pPr>
        <w:tabs>
          <w:tab w:val="left" w:pos="4962"/>
        </w:tabs>
        <w:spacing w:after="0" w:line="360" w:lineRule="auto"/>
        <w:jc w:val="both"/>
        <w:rPr>
          <w:rFonts w:ascii="Palatino Linotype" w:eastAsia="Calibri" w:hAnsi="Palatino Linotype" w:cs="Tahoma"/>
          <w:iCs/>
          <w:lang w:eastAsia="es-ES_tradnl"/>
        </w:rPr>
      </w:pPr>
    </w:p>
    <w:p w14:paraId="51034562" w14:textId="3A55839D" w:rsidR="00A0681D" w:rsidRDefault="009425D7" w:rsidP="00A0681D">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Asimismo, en todo momento he considerado que esta información, era susceptible de ser entregada incluso previo a la emisión de estos formatos, toda vez que la ley de transparencia, considera en su artículo </w:t>
      </w:r>
      <w:r w:rsidR="00A0681D">
        <w:rPr>
          <w:rFonts w:ascii="Palatino Linotype" w:eastAsia="Calibri" w:hAnsi="Palatino Linotype" w:cs="Tahoma"/>
          <w:iCs/>
          <w:lang w:eastAsia="es-ES_tradnl"/>
        </w:rPr>
        <w:t xml:space="preserve">137, de la Ley de Transparencia y Acceso a la Información Pública del Estado de México y Municipios, </w:t>
      </w:r>
      <w:r>
        <w:rPr>
          <w:rFonts w:ascii="Palatino Linotype" w:eastAsia="Calibri" w:hAnsi="Palatino Linotype" w:cs="Tahoma"/>
          <w:iCs/>
          <w:lang w:eastAsia="es-ES_tradnl"/>
        </w:rPr>
        <w:t>la generación de versiones públicas para la entrega de información</w:t>
      </w:r>
      <w:r w:rsidR="00A0681D">
        <w:rPr>
          <w:rFonts w:ascii="Palatino Linotype" w:eastAsia="Calibri" w:hAnsi="Palatino Linotype" w:cs="Tahoma"/>
          <w:iCs/>
          <w:lang w:eastAsia="es-ES_tradnl"/>
        </w:rPr>
        <w:t>:</w:t>
      </w:r>
    </w:p>
    <w:p w14:paraId="0589B3FF" w14:textId="77777777" w:rsidR="00A0681D" w:rsidRDefault="00A0681D" w:rsidP="00A0681D">
      <w:pPr>
        <w:tabs>
          <w:tab w:val="left" w:pos="4962"/>
        </w:tabs>
        <w:spacing w:after="0" w:line="360" w:lineRule="auto"/>
        <w:jc w:val="both"/>
        <w:rPr>
          <w:rFonts w:ascii="Palatino Linotype" w:eastAsia="Calibri" w:hAnsi="Palatino Linotype" w:cs="Tahoma"/>
          <w:iCs/>
          <w:lang w:eastAsia="es-ES_tradnl"/>
        </w:rPr>
      </w:pPr>
    </w:p>
    <w:p w14:paraId="0ECAE6A0"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eastAsia="es-ES_tradnl"/>
        </w:rPr>
      </w:pPr>
      <w:r w:rsidRPr="000237AB">
        <w:rPr>
          <w:rFonts w:ascii="Palatino Linotype" w:eastAsia="Calibri" w:hAnsi="Palatino Linotype" w:cs="Tahoma"/>
          <w:b/>
          <w:bCs/>
          <w:i/>
          <w:iCs/>
          <w:sz w:val="20"/>
          <w:lang w:eastAsia="es-ES_tradnl"/>
        </w:rPr>
        <w:t xml:space="preserve">Artículo 137. </w:t>
      </w:r>
      <w:r w:rsidRPr="000237AB">
        <w:rPr>
          <w:rFonts w:ascii="Palatino Linotype" w:eastAsia="Calibri" w:hAnsi="Palatino Linotype" w:cs="Tahoma"/>
          <w:i/>
          <w:iCs/>
          <w:sz w:val="20"/>
          <w:u w:val="single"/>
          <w:lang w:eastAsia="es-ES_tradnl"/>
        </w:rPr>
        <w:t>Cuando un mismo medio</w:t>
      </w:r>
      <w:r w:rsidRPr="000237AB">
        <w:rPr>
          <w:rFonts w:ascii="Palatino Linotype" w:eastAsia="Calibri" w:hAnsi="Palatino Linotype" w:cs="Tahoma"/>
          <w:i/>
          <w:iCs/>
          <w:sz w:val="20"/>
          <w:lang w:eastAsia="es-ES_tradnl"/>
        </w:rPr>
        <w:t xml:space="preserve">, impreso o electrónico, </w:t>
      </w:r>
      <w:r w:rsidRPr="000237AB">
        <w:rPr>
          <w:rFonts w:ascii="Palatino Linotype" w:eastAsia="Calibri" w:hAnsi="Palatino Linotype" w:cs="Tahoma"/>
          <w:i/>
          <w:iCs/>
          <w:sz w:val="20"/>
          <w:u w:val="single"/>
          <w:lang w:eastAsia="es-ES_tradnl"/>
        </w:rPr>
        <w:t>contenga información</w:t>
      </w:r>
      <w:r w:rsidRPr="000237AB">
        <w:rPr>
          <w:rFonts w:ascii="Palatino Linotype" w:eastAsia="Calibri" w:hAnsi="Palatino Linotype" w:cs="Tahoma"/>
          <w:i/>
          <w:iCs/>
          <w:sz w:val="20"/>
          <w:lang w:eastAsia="es-ES_tradnl"/>
        </w:rPr>
        <w:t xml:space="preserve"> pública y reservada o </w:t>
      </w:r>
      <w:r w:rsidRPr="000237AB">
        <w:rPr>
          <w:rFonts w:ascii="Palatino Linotype" w:eastAsia="Calibri" w:hAnsi="Palatino Linotype" w:cs="Tahoma"/>
          <w:i/>
          <w:iCs/>
          <w:sz w:val="20"/>
          <w:u w:val="single"/>
          <w:lang w:eastAsia="es-ES_tradnl"/>
        </w:rPr>
        <w:t>confidencial</w:t>
      </w:r>
      <w:r w:rsidRPr="000237AB">
        <w:rPr>
          <w:rFonts w:ascii="Palatino Linotype" w:eastAsia="Calibri" w:hAnsi="Palatino Linotype" w:cs="Tahoma"/>
          <w:i/>
          <w:iCs/>
          <w:sz w:val="20"/>
          <w:lang w:eastAsia="es-ES_tradnl"/>
        </w:rPr>
        <w:t xml:space="preserve">, la Unidad de Transparencia para efectos de atender una solicitud de información, </w:t>
      </w:r>
      <w:r w:rsidRPr="000237AB">
        <w:rPr>
          <w:rFonts w:ascii="Palatino Linotype" w:eastAsia="Calibri" w:hAnsi="Palatino Linotype" w:cs="Tahoma"/>
          <w:i/>
          <w:iCs/>
          <w:sz w:val="20"/>
          <w:u w:val="single"/>
          <w:lang w:eastAsia="es-ES_tradnl"/>
        </w:rPr>
        <w:t>deberán elaborar una versión pública en la que se testen las partes o secciones clasificadas</w:t>
      </w:r>
      <w:r w:rsidRPr="000237AB">
        <w:rPr>
          <w:rFonts w:ascii="Palatino Linotype" w:eastAsia="Calibri" w:hAnsi="Palatino Linotype" w:cs="Tahoma"/>
          <w:i/>
          <w:iCs/>
          <w:sz w:val="20"/>
          <w:lang w:eastAsia="es-ES_tradnl"/>
        </w:rPr>
        <w:t>, indicando su contenido de manera genérica y fundando y motivando su clasificación.</w:t>
      </w:r>
    </w:p>
    <w:p w14:paraId="18FE4951" w14:textId="77777777" w:rsidR="00A0681D" w:rsidRPr="000237AB" w:rsidRDefault="00A0681D" w:rsidP="00A0681D">
      <w:pPr>
        <w:tabs>
          <w:tab w:val="left" w:pos="4962"/>
        </w:tabs>
        <w:spacing w:after="0" w:line="360" w:lineRule="auto"/>
        <w:ind w:left="567" w:right="567"/>
        <w:jc w:val="both"/>
        <w:rPr>
          <w:rFonts w:ascii="Palatino Linotype" w:eastAsia="Calibri" w:hAnsi="Palatino Linotype" w:cs="Tahoma"/>
          <w:i/>
          <w:iCs/>
          <w:sz w:val="20"/>
          <w:lang w:val="es-ES_tradnl" w:eastAsia="es-ES_tradnl"/>
        </w:rPr>
      </w:pPr>
      <w:r w:rsidRPr="000237AB">
        <w:rPr>
          <w:rFonts w:ascii="Palatino Linotype" w:eastAsia="Calibri" w:hAnsi="Palatino Linotype" w:cs="Tahoma"/>
          <w:iCs/>
          <w:sz w:val="20"/>
          <w:lang w:val="es-ES_tradnl" w:eastAsia="es-ES_tradnl"/>
        </w:rPr>
        <w:t>(Énfasis añadido)</w:t>
      </w:r>
    </w:p>
    <w:p w14:paraId="75ADBCC7" w14:textId="29CBA141" w:rsidR="00A0681D" w:rsidRPr="004F7FD5" w:rsidRDefault="00A0681D" w:rsidP="00A0681D">
      <w:pPr>
        <w:tabs>
          <w:tab w:val="left" w:pos="4962"/>
        </w:tabs>
        <w:spacing w:after="0" w:line="360" w:lineRule="auto"/>
        <w:jc w:val="both"/>
        <w:rPr>
          <w:rFonts w:ascii="Palatino Linotype" w:eastAsia="Calibri" w:hAnsi="Palatino Linotype" w:cs="Tahoma"/>
          <w:iCs/>
          <w:lang w:eastAsia="es-ES_tradnl"/>
        </w:rPr>
      </w:pPr>
      <w:r w:rsidRPr="004F7FD5">
        <w:rPr>
          <w:rFonts w:ascii="Palatino Linotype" w:eastAsia="Calibri" w:hAnsi="Palatino Linotype" w:cs="Tahoma"/>
          <w:iCs/>
          <w:lang w:eastAsia="es-ES_tradnl"/>
        </w:rPr>
        <w:lastRenderedPageBreak/>
        <w:t>Como se puede observar, los Sujeto Obligados están constreñidos a elaborar la versión pública de los documentos que contengan información clasificada y conceder su acceso. Con base en lo expuesto y en lo establecido en el artículo 12 de Ley de Transparencia y Acceso a la Información Pública del Estado de México y Municipios, en el sentido de que toda la información que obre en los archivos del Sujeto Obligado es pública, es que en la resolución se debió ordenar la entrega de la declaración</w:t>
      </w:r>
      <w:r>
        <w:rPr>
          <w:rFonts w:ascii="Palatino Linotype" w:eastAsia="Calibri" w:hAnsi="Palatino Linotype" w:cs="Tahoma"/>
          <w:iCs/>
          <w:sz w:val="24"/>
          <w:lang w:eastAsia="es-ES_tradnl"/>
        </w:rPr>
        <w:t xml:space="preserve"> patrimonial solicitada</w:t>
      </w:r>
      <w:r w:rsidR="009425D7">
        <w:rPr>
          <w:rFonts w:ascii="Palatino Linotype" w:eastAsia="Calibri" w:hAnsi="Palatino Linotype" w:cs="Tahoma"/>
          <w:iCs/>
          <w:sz w:val="24"/>
          <w:lang w:eastAsia="es-ES_tradnl"/>
        </w:rPr>
        <w:t xml:space="preserve"> por toda la temporalidad solicitada por el Particular, máxime </w:t>
      </w:r>
      <w:r w:rsidR="00A63CE9">
        <w:rPr>
          <w:rFonts w:ascii="Palatino Linotype" w:eastAsia="Calibri" w:hAnsi="Palatino Linotype" w:cs="Tahoma"/>
          <w:iCs/>
          <w:sz w:val="24"/>
          <w:lang w:eastAsia="es-ES_tradnl"/>
        </w:rPr>
        <w:t xml:space="preserve">en la actualidad </w:t>
      </w:r>
      <w:r w:rsidR="009425D7">
        <w:rPr>
          <w:rFonts w:ascii="Palatino Linotype" w:eastAsia="Calibri" w:hAnsi="Palatino Linotype" w:cs="Tahoma"/>
          <w:iCs/>
          <w:sz w:val="24"/>
          <w:lang w:eastAsia="es-ES_tradnl"/>
        </w:rPr>
        <w:t>que ya existen criterios definidos para la elaboración de las versiones públicas.</w:t>
      </w:r>
    </w:p>
    <w:p w14:paraId="25300AB7" w14:textId="77777777" w:rsidR="00A0681D" w:rsidRDefault="00A0681D" w:rsidP="00A0681D">
      <w:pPr>
        <w:tabs>
          <w:tab w:val="left" w:pos="4962"/>
        </w:tabs>
        <w:spacing w:after="0" w:line="360" w:lineRule="auto"/>
        <w:jc w:val="both"/>
        <w:rPr>
          <w:rFonts w:ascii="Palatino Linotype" w:eastAsia="Calibri" w:hAnsi="Palatino Linotype" w:cs="Tahoma"/>
          <w:iCs/>
          <w:sz w:val="24"/>
          <w:lang w:eastAsia="es-ES_tradnl"/>
        </w:rPr>
      </w:pPr>
    </w:p>
    <w:p w14:paraId="7BF0E4C5" w14:textId="77777777" w:rsidR="00A0681D" w:rsidRDefault="00A0681D" w:rsidP="002E228F">
      <w:pPr>
        <w:spacing w:after="0" w:line="360" w:lineRule="auto"/>
        <w:jc w:val="both"/>
        <w:rPr>
          <w:rFonts w:ascii="Palatino Linotype" w:hAnsi="Palatino Linotype" w:cs="Tahoma"/>
          <w:bCs/>
          <w:szCs w:val="24"/>
        </w:rPr>
      </w:pPr>
      <w:r>
        <w:rPr>
          <w:rFonts w:ascii="Palatino Linotype" w:hAnsi="Palatino Linotype" w:cs="Tahoma"/>
          <w:bCs/>
          <w:szCs w:val="24"/>
        </w:rPr>
        <w:t>En conclusión, las declaraciones patrimoniales que obren en los archivos de los sujetos obligados son públicas en versión pública, en virtud de su naturaleza y la posibilidad de clasificar información sólo se constriñe a los datos de la vida privada de los servidores públicos y no al documento en general.</w:t>
      </w:r>
    </w:p>
    <w:p w14:paraId="0D253413" w14:textId="77777777" w:rsidR="00A0681D" w:rsidRDefault="00A0681D" w:rsidP="002E228F">
      <w:pPr>
        <w:spacing w:after="0" w:line="360" w:lineRule="auto"/>
        <w:jc w:val="both"/>
        <w:rPr>
          <w:rFonts w:ascii="Palatino Linotype" w:hAnsi="Palatino Linotype" w:cs="Tahoma"/>
          <w:bCs/>
          <w:szCs w:val="24"/>
        </w:rPr>
      </w:pPr>
      <w:bookmarkStart w:id="0" w:name="_GoBack"/>
      <w:bookmarkEnd w:id="0"/>
    </w:p>
    <w:p w14:paraId="4448752A" w14:textId="4AA009C6" w:rsidR="00D05444" w:rsidRPr="00A0681D" w:rsidRDefault="00A0681D" w:rsidP="002E228F">
      <w:pPr>
        <w:spacing w:after="0" w:line="360" w:lineRule="auto"/>
        <w:jc w:val="both"/>
        <w:rPr>
          <w:rFonts w:ascii="Palatino Linotype" w:hAnsi="Palatino Linotype" w:cs="Tahoma"/>
          <w:bCs/>
          <w:szCs w:val="24"/>
        </w:rPr>
      </w:pPr>
      <w:r w:rsidRPr="006A7606">
        <w:rPr>
          <w:rFonts w:ascii="Palatino Linotype" w:hAnsi="Palatino Linotype" w:cs="Tahoma"/>
        </w:rPr>
        <w:t xml:space="preserve">Así, con base en los razonamientos expuestos, </w:t>
      </w:r>
      <w:r w:rsidRPr="006A7606">
        <w:rPr>
          <w:rFonts w:ascii="Palatino Linotype" w:hAnsi="Palatino Linotype" w:cs="Tahoma"/>
          <w:b/>
        </w:rPr>
        <w:t xml:space="preserve">se emite el presente Voto </w:t>
      </w:r>
      <w:r>
        <w:rPr>
          <w:rFonts w:ascii="Palatino Linotype" w:hAnsi="Palatino Linotype" w:cs="Tahoma"/>
          <w:b/>
        </w:rPr>
        <w:t>Particular</w:t>
      </w:r>
      <w:r w:rsidR="002E228F" w:rsidRPr="002E228F">
        <w:rPr>
          <w:rFonts w:ascii="Palatino Linotype" w:eastAsia="Calibri" w:hAnsi="Palatino Linotype" w:cs="Tahoma"/>
        </w:rPr>
        <w:t>.</w:t>
      </w:r>
      <w:r w:rsidR="002E228F">
        <w:rPr>
          <w:rFonts w:ascii="Palatino Linotype" w:eastAsia="Calibri" w:hAnsi="Palatino Linotype" w:cs="Tahoma"/>
        </w:rPr>
        <w:t>---------------------------------------------------</w:t>
      </w:r>
      <w:r w:rsidR="00AE68D7">
        <w:rPr>
          <w:rFonts w:ascii="Palatino Linotype" w:eastAsia="Calibri" w:hAnsi="Palatino Linotype" w:cs="Tahoma"/>
        </w:rPr>
        <w:t>------------------------</w:t>
      </w:r>
      <w:r>
        <w:rPr>
          <w:rFonts w:ascii="Palatino Linotype" w:eastAsia="Calibri" w:hAnsi="Palatino Linotype" w:cs="Tahoma"/>
        </w:rPr>
        <w:t>--------------------------------------------------------------------------</w:t>
      </w:r>
      <w:r w:rsidR="00AE68D7">
        <w:rPr>
          <w:rFonts w:ascii="Palatino Linotype" w:eastAsia="Calibri" w:hAnsi="Palatino Linotype" w:cs="Tahoma"/>
        </w:rPr>
        <w:t>----------------------------------------------------------------------------------------------------</w:t>
      </w:r>
    </w:p>
    <w:p w14:paraId="2AC3B409" w14:textId="77777777" w:rsidR="00887E3C" w:rsidRDefault="00887E3C" w:rsidP="00553A37">
      <w:pPr>
        <w:spacing w:after="0" w:line="360" w:lineRule="auto"/>
        <w:jc w:val="both"/>
        <w:rPr>
          <w:rFonts w:ascii="Palatino Linotype" w:hAnsi="Palatino Linotype" w:cs="Tahoma"/>
        </w:rPr>
      </w:pPr>
    </w:p>
    <w:p w14:paraId="30DE86B3" w14:textId="77777777" w:rsidR="00887E3C" w:rsidRDefault="00887E3C" w:rsidP="00553A37">
      <w:pPr>
        <w:spacing w:after="0" w:line="360" w:lineRule="auto"/>
        <w:jc w:val="both"/>
        <w:rPr>
          <w:rFonts w:ascii="Palatino Linotype" w:hAnsi="Palatino Linotype" w:cs="Tahoma"/>
        </w:rPr>
      </w:pPr>
    </w:p>
    <w:p w14:paraId="63E25B2A" w14:textId="77777777" w:rsidR="00887E3C" w:rsidRDefault="00887E3C" w:rsidP="00553A37">
      <w:pPr>
        <w:spacing w:after="0" w:line="360" w:lineRule="auto"/>
        <w:jc w:val="both"/>
        <w:rPr>
          <w:rFonts w:ascii="Palatino Linotype" w:hAnsi="Palatino Linotype" w:cs="Tahoma"/>
        </w:rPr>
      </w:pPr>
    </w:p>
    <w:p w14:paraId="7DD047CD" w14:textId="77777777" w:rsidR="00887E3C" w:rsidRDefault="00887E3C" w:rsidP="00553A37">
      <w:pPr>
        <w:spacing w:after="0" w:line="360" w:lineRule="auto"/>
        <w:jc w:val="both"/>
        <w:rPr>
          <w:rFonts w:ascii="Palatino Linotype" w:hAnsi="Palatino Linotype" w:cs="Tahoma"/>
        </w:rPr>
      </w:pPr>
    </w:p>
    <w:p w14:paraId="3A5F72BE" w14:textId="77777777" w:rsidR="00887E3C" w:rsidRDefault="00887E3C" w:rsidP="00553A37">
      <w:pPr>
        <w:spacing w:after="0" w:line="360" w:lineRule="auto"/>
        <w:jc w:val="both"/>
        <w:rPr>
          <w:rFonts w:ascii="Palatino Linotype" w:hAnsi="Palatino Linotype" w:cs="Tahoma"/>
        </w:rPr>
      </w:pPr>
    </w:p>
    <w:p w14:paraId="7AC1B2D2" w14:textId="77777777" w:rsidR="00887E3C" w:rsidRDefault="00887E3C" w:rsidP="00553A37">
      <w:pPr>
        <w:spacing w:after="0" w:line="360" w:lineRule="auto"/>
        <w:jc w:val="both"/>
        <w:rPr>
          <w:rFonts w:ascii="Palatino Linotype" w:hAnsi="Palatino Linotype" w:cs="Tahoma"/>
        </w:rPr>
      </w:pPr>
    </w:p>
    <w:p w14:paraId="73F60D49" w14:textId="77777777" w:rsidR="00887E3C" w:rsidRDefault="00887E3C" w:rsidP="00553A37">
      <w:pPr>
        <w:spacing w:after="0" w:line="360" w:lineRule="auto"/>
        <w:jc w:val="both"/>
        <w:rPr>
          <w:rFonts w:ascii="Palatino Linotype" w:hAnsi="Palatino Linotype" w:cs="Tahoma"/>
        </w:rPr>
      </w:pPr>
    </w:p>
    <w:p w14:paraId="4168920B" w14:textId="77777777" w:rsidR="00887E3C" w:rsidRDefault="00887E3C" w:rsidP="00553A37">
      <w:pPr>
        <w:spacing w:after="0" w:line="360" w:lineRule="auto"/>
        <w:jc w:val="both"/>
        <w:rPr>
          <w:rFonts w:ascii="Palatino Linotype" w:hAnsi="Palatino Linotype" w:cs="Tahoma"/>
        </w:rPr>
      </w:pPr>
    </w:p>
    <w:p w14:paraId="63B798D2" w14:textId="77777777" w:rsidR="00887E3C" w:rsidRDefault="00887E3C" w:rsidP="00553A37">
      <w:pPr>
        <w:spacing w:after="0" w:line="360" w:lineRule="auto"/>
        <w:jc w:val="both"/>
        <w:rPr>
          <w:rFonts w:ascii="Palatino Linotype" w:hAnsi="Palatino Linotype" w:cs="Tahoma"/>
        </w:rPr>
      </w:pPr>
    </w:p>
    <w:p w14:paraId="156E8E8D" w14:textId="77777777" w:rsidR="00887E3C" w:rsidRDefault="00887E3C" w:rsidP="00553A37">
      <w:pPr>
        <w:spacing w:after="0" w:line="360" w:lineRule="auto"/>
        <w:jc w:val="both"/>
        <w:rPr>
          <w:rFonts w:ascii="Palatino Linotype" w:hAnsi="Palatino Linotype" w:cs="Tahoma"/>
        </w:rPr>
      </w:pPr>
    </w:p>
    <w:p w14:paraId="4D5F7E08" w14:textId="77777777" w:rsidR="00887E3C" w:rsidRDefault="00887E3C" w:rsidP="00553A37">
      <w:pPr>
        <w:spacing w:after="0" w:line="360" w:lineRule="auto"/>
        <w:jc w:val="both"/>
        <w:rPr>
          <w:rFonts w:ascii="Palatino Linotype" w:hAnsi="Palatino Linotype" w:cs="Tahoma"/>
        </w:rPr>
      </w:pPr>
    </w:p>
    <w:p w14:paraId="6372C555" w14:textId="77777777" w:rsidR="00887E3C" w:rsidRDefault="00887E3C" w:rsidP="00553A37">
      <w:pPr>
        <w:spacing w:after="0" w:line="360" w:lineRule="auto"/>
        <w:jc w:val="both"/>
        <w:rPr>
          <w:rFonts w:ascii="Palatino Linotype" w:hAnsi="Palatino Linotype" w:cs="Tahoma"/>
        </w:rPr>
      </w:pPr>
    </w:p>
    <w:p w14:paraId="45093235" w14:textId="77777777" w:rsidR="00887E3C" w:rsidRDefault="00887E3C" w:rsidP="00553A37">
      <w:pPr>
        <w:spacing w:after="0" w:line="360" w:lineRule="auto"/>
        <w:jc w:val="both"/>
        <w:rPr>
          <w:rFonts w:ascii="Palatino Linotype" w:hAnsi="Palatino Linotype" w:cs="Tahoma"/>
        </w:rPr>
      </w:pPr>
    </w:p>
    <w:p w14:paraId="0CD7FD6A" w14:textId="77777777" w:rsidR="00887E3C" w:rsidRDefault="00887E3C" w:rsidP="00553A37">
      <w:pPr>
        <w:spacing w:after="0" w:line="360" w:lineRule="auto"/>
        <w:jc w:val="both"/>
        <w:rPr>
          <w:rFonts w:ascii="Palatino Linotype" w:hAnsi="Palatino Linotype" w:cs="Tahoma"/>
        </w:rPr>
      </w:pPr>
    </w:p>
    <w:p w14:paraId="55217D09" w14:textId="77777777" w:rsidR="00887E3C" w:rsidRDefault="00887E3C" w:rsidP="00553A37">
      <w:pPr>
        <w:spacing w:after="0" w:line="360" w:lineRule="auto"/>
        <w:jc w:val="both"/>
        <w:rPr>
          <w:rFonts w:ascii="Palatino Linotype" w:hAnsi="Palatino Linotype" w:cs="Tahoma"/>
        </w:rPr>
      </w:pPr>
    </w:p>
    <w:p w14:paraId="00C69E96" w14:textId="77777777" w:rsidR="00887E3C" w:rsidRDefault="00887E3C" w:rsidP="00553A37">
      <w:pPr>
        <w:spacing w:after="0" w:line="360" w:lineRule="auto"/>
        <w:jc w:val="both"/>
        <w:rPr>
          <w:rFonts w:ascii="Palatino Linotype" w:hAnsi="Palatino Linotype" w:cs="Tahoma"/>
        </w:rPr>
      </w:pPr>
    </w:p>
    <w:p w14:paraId="5EBE8B93" w14:textId="77777777" w:rsidR="00887E3C" w:rsidRDefault="00887E3C" w:rsidP="00553A37">
      <w:pPr>
        <w:spacing w:after="0" w:line="360" w:lineRule="auto"/>
        <w:jc w:val="both"/>
        <w:rPr>
          <w:rFonts w:ascii="Palatino Linotype" w:hAnsi="Palatino Linotype" w:cs="Tahoma"/>
        </w:rPr>
      </w:pPr>
    </w:p>
    <w:p w14:paraId="4EFD7140" w14:textId="77777777" w:rsidR="00887E3C" w:rsidRDefault="00887E3C" w:rsidP="00553A37">
      <w:pPr>
        <w:spacing w:after="0" w:line="360" w:lineRule="auto"/>
        <w:jc w:val="both"/>
        <w:rPr>
          <w:rFonts w:ascii="Palatino Linotype" w:hAnsi="Palatino Linotype" w:cs="Tahoma"/>
        </w:rPr>
      </w:pPr>
    </w:p>
    <w:p w14:paraId="6BEE8A4D" w14:textId="77777777" w:rsidR="00887E3C" w:rsidRDefault="00887E3C" w:rsidP="00553A37">
      <w:pPr>
        <w:spacing w:after="0" w:line="360" w:lineRule="auto"/>
        <w:jc w:val="both"/>
        <w:rPr>
          <w:rFonts w:ascii="Palatino Linotype" w:hAnsi="Palatino Linotype" w:cs="Tahoma"/>
        </w:rPr>
      </w:pPr>
    </w:p>
    <w:p w14:paraId="393C94F3" w14:textId="77777777" w:rsidR="00887E3C" w:rsidRDefault="00887E3C" w:rsidP="00553A37">
      <w:pPr>
        <w:spacing w:after="0" w:line="360" w:lineRule="auto"/>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BF35B" w14:textId="77777777" w:rsidR="007F0565" w:rsidRDefault="007F0565" w:rsidP="00EE29F6">
      <w:pPr>
        <w:spacing w:after="0" w:line="240" w:lineRule="auto"/>
      </w:pPr>
      <w:r>
        <w:separator/>
      </w:r>
    </w:p>
  </w:endnote>
  <w:endnote w:type="continuationSeparator" w:id="0">
    <w:p w14:paraId="76197FD7" w14:textId="77777777" w:rsidR="007F0565" w:rsidRDefault="007F056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3739D82"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63CE9">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63CE9">
              <w:rPr>
                <w:b/>
                <w:bCs/>
                <w:noProof/>
              </w:rPr>
              <w:t>8</w:t>
            </w:r>
            <w:r>
              <w:rPr>
                <w:b/>
                <w:bCs/>
                <w:sz w:val="24"/>
                <w:szCs w:val="24"/>
              </w:rPr>
              <w:fldChar w:fldCharType="end"/>
            </w:r>
          </w:p>
        </w:sdtContent>
      </w:sdt>
    </w:sdtContent>
  </w:sdt>
  <w:p w14:paraId="156E5B5F"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1AA0" w14:textId="77777777" w:rsidR="007F0565" w:rsidRDefault="007F0565" w:rsidP="00EE29F6">
      <w:pPr>
        <w:spacing w:after="0" w:line="240" w:lineRule="auto"/>
      </w:pPr>
      <w:r>
        <w:separator/>
      </w:r>
    </w:p>
  </w:footnote>
  <w:footnote w:type="continuationSeparator" w:id="0">
    <w:p w14:paraId="47FA3831" w14:textId="77777777" w:rsidR="007F0565" w:rsidRDefault="007F056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6142"/>
    </w:tblGrid>
    <w:tr w:rsidR="00363357" w:rsidRPr="001106EA" w14:paraId="37AF6C52" w14:textId="77777777" w:rsidTr="006924E1">
      <w:trPr>
        <w:trHeight w:val="1843"/>
      </w:trPr>
      <w:tc>
        <w:tcPr>
          <w:tcW w:w="1608" w:type="pct"/>
          <w:vAlign w:val="bottom"/>
        </w:tcPr>
        <w:p w14:paraId="5EE69AF8"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2DC52F73" wp14:editId="00BA1F7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4FD40B83" w14:textId="77777777" w:rsidR="00363357" w:rsidRDefault="00363357" w:rsidP="0077694E">
          <w:pPr>
            <w:pStyle w:val="Encabezado"/>
            <w:tabs>
              <w:tab w:val="clear" w:pos="4252"/>
              <w:tab w:val="center" w:pos="2614"/>
            </w:tabs>
          </w:pPr>
        </w:p>
      </w:tc>
      <w:tc>
        <w:tcPr>
          <w:tcW w:w="3392" w:type="pct"/>
          <w:vAlign w:val="center"/>
        </w:tcPr>
        <w:p w14:paraId="14CA7E41" w14:textId="5A71D140" w:rsidR="00363357" w:rsidRPr="00085241" w:rsidRDefault="00363357" w:rsidP="006924E1">
          <w:pPr>
            <w:pStyle w:val="Encabezado"/>
            <w:jc w:val="both"/>
            <w:rPr>
              <w:rFonts w:ascii="Palatino Linotype" w:hAnsi="Palatino Linotype" w:cs="Tahoma"/>
              <w:b/>
            </w:rPr>
          </w:pPr>
          <w:r w:rsidRPr="00085241">
            <w:rPr>
              <w:rFonts w:ascii="Palatino Linotype" w:hAnsi="Palatino Linotype" w:cs="Tahoma"/>
              <w:b/>
            </w:rPr>
            <w:t xml:space="preserve">Voto </w:t>
          </w:r>
          <w:r w:rsidR="00E56D4E">
            <w:rPr>
              <w:rFonts w:ascii="Palatino Linotype" w:hAnsi="Palatino Linotype" w:cs="Tahoma"/>
              <w:b/>
            </w:rPr>
            <w:t>Particular</w:t>
          </w:r>
        </w:p>
        <w:p w14:paraId="375A390A" w14:textId="7FCD64C6" w:rsidR="00104333" w:rsidRPr="00085241" w:rsidRDefault="00743EE0" w:rsidP="006924E1">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6C11B9">
            <w:rPr>
              <w:rFonts w:ascii="Palatino Linotype" w:hAnsi="Palatino Linotype" w:cs="Tahoma"/>
            </w:rPr>
            <w:t>05329</w:t>
          </w:r>
          <w:r w:rsidR="00363357" w:rsidRPr="00DD0452">
            <w:rPr>
              <w:rFonts w:ascii="Palatino Linotype" w:hAnsi="Palatino Linotype" w:cs="Tahoma"/>
            </w:rPr>
            <w:t>/INFOEM/IP/RR/20</w:t>
          </w:r>
          <w:r w:rsidR="00441EA2" w:rsidRPr="00DD0452">
            <w:rPr>
              <w:rFonts w:ascii="Palatino Linotype" w:hAnsi="Palatino Linotype" w:cs="Tahoma"/>
            </w:rPr>
            <w:t>2</w:t>
          </w:r>
          <w:r w:rsidR="00DD0452" w:rsidRPr="00DD0452">
            <w:rPr>
              <w:rFonts w:ascii="Palatino Linotype" w:hAnsi="Palatino Linotype" w:cs="Tahoma"/>
            </w:rPr>
            <w:t>1</w:t>
          </w:r>
          <w:r w:rsidR="006C11B9">
            <w:rPr>
              <w:rFonts w:ascii="Palatino Linotype" w:hAnsi="Palatino Linotype" w:cs="Tahoma"/>
            </w:rPr>
            <w:t>.</w:t>
          </w:r>
        </w:p>
        <w:p w14:paraId="1B4AFBAB" w14:textId="75D8EDB8" w:rsidR="002D539A" w:rsidRPr="00DD0452" w:rsidRDefault="00DF2784" w:rsidP="006924E1">
          <w:pPr>
            <w:pStyle w:val="Encabezado"/>
            <w:jc w:val="both"/>
            <w:rPr>
              <w:rFonts w:ascii="Palatino Linotype" w:hAnsi="Palatino Linotype" w:cs="Tahoma"/>
            </w:rPr>
          </w:pPr>
          <w:r w:rsidRPr="00085241">
            <w:rPr>
              <w:rFonts w:ascii="Palatino Linotype" w:hAnsi="Palatino Linotype" w:cs="Tahoma"/>
              <w:b/>
            </w:rPr>
            <w:t xml:space="preserve">Sujeto Obligado: </w:t>
          </w:r>
          <w:r w:rsidR="006C11B9">
            <w:rPr>
              <w:rFonts w:ascii="Palatino Linotype" w:hAnsi="Palatino Linotype" w:cs="Tahoma"/>
            </w:rPr>
            <w:t>Secretaría de la Contraloría.</w:t>
          </w:r>
        </w:p>
        <w:p w14:paraId="26A58A17" w14:textId="739F1129" w:rsidR="00363357" w:rsidRPr="001106EA" w:rsidRDefault="00743EE0" w:rsidP="006924E1">
          <w:pPr>
            <w:pStyle w:val="Encabezado"/>
            <w:jc w:val="both"/>
            <w:rPr>
              <w:rFonts w:ascii="Tahoma" w:hAnsi="Tahoma"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E56D4E">
            <w:rPr>
              <w:rFonts w:ascii="Palatino Linotype" w:hAnsi="Palatino Linotype" w:cs="Tahoma"/>
            </w:rPr>
            <w:t>Guadalupe Ramírez Peña</w:t>
          </w:r>
          <w:r w:rsidR="006924E1">
            <w:rPr>
              <w:rFonts w:ascii="Palatino Linotype" w:hAnsi="Palatino Linotype" w:cs="Tahoma"/>
            </w:rPr>
            <w:t>.</w:t>
          </w:r>
        </w:p>
      </w:tc>
    </w:tr>
  </w:tbl>
  <w:p w14:paraId="5FDB6911"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F2D36"/>
    <w:multiLevelType w:val="multilevel"/>
    <w:tmpl w:val="382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0"/>
  </w:num>
  <w:num w:numId="5">
    <w:abstractNumId w:val="13"/>
  </w:num>
  <w:num w:numId="6">
    <w:abstractNumId w:val="4"/>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9"/>
  </w:num>
  <w:num w:numId="14">
    <w:abstractNumId w:val="18"/>
  </w:num>
  <w:num w:numId="15">
    <w:abstractNumId w:val="7"/>
  </w:num>
  <w:num w:numId="16">
    <w:abstractNumId w:val="8"/>
  </w:num>
  <w:num w:numId="17">
    <w:abstractNumId w:val="12"/>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F6"/>
    <w:rsid w:val="00000100"/>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58CB"/>
    <w:rsid w:val="000466A3"/>
    <w:rsid w:val="000549B5"/>
    <w:rsid w:val="00056BD3"/>
    <w:rsid w:val="00060F74"/>
    <w:rsid w:val="00062A18"/>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3819"/>
    <w:rsid w:val="00205DF8"/>
    <w:rsid w:val="00215B62"/>
    <w:rsid w:val="00220D45"/>
    <w:rsid w:val="00231B68"/>
    <w:rsid w:val="00234E99"/>
    <w:rsid w:val="00243A13"/>
    <w:rsid w:val="00246FAF"/>
    <w:rsid w:val="00273B3C"/>
    <w:rsid w:val="0028037C"/>
    <w:rsid w:val="002816CB"/>
    <w:rsid w:val="00282687"/>
    <w:rsid w:val="0028714A"/>
    <w:rsid w:val="002945A4"/>
    <w:rsid w:val="00295BA5"/>
    <w:rsid w:val="002A138B"/>
    <w:rsid w:val="002A1727"/>
    <w:rsid w:val="002A2EE7"/>
    <w:rsid w:val="002A6341"/>
    <w:rsid w:val="002B0502"/>
    <w:rsid w:val="002B0E4A"/>
    <w:rsid w:val="002B2877"/>
    <w:rsid w:val="002B34AF"/>
    <w:rsid w:val="002C2405"/>
    <w:rsid w:val="002C3532"/>
    <w:rsid w:val="002C7EBD"/>
    <w:rsid w:val="002D539A"/>
    <w:rsid w:val="002E228F"/>
    <w:rsid w:val="002E4A9A"/>
    <w:rsid w:val="002E5A1A"/>
    <w:rsid w:val="00304D27"/>
    <w:rsid w:val="003331F5"/>
    <w:rsid w:val="00333B7A"/>
    <w:rsid w:val="00344DD1"/>
    <w:rsid w:val="003512C9"/>
    <w:rsid w:val="0036010F"/>
    <w:rsid w:val="00361360"/>
    <w:rsid w:val="00363357"/>
    <w:rsid w:val="0037621C"/>
    <w:rsid w:val="00390188"/>
    <w:rsid w:val="003937C0"/>
    <w:rsid w:val="003973A2"/>
    <w:rsid w:val="003A33E2"/>
    <w:rsid w:val="003A6218"/>
    <w:rsid w:val="003B5F3A"/>
    <w:rsid w:val="003B6547"/>
    <w:rsid w:val="003B7A5E"/>
    <w:rsid w:val="003C3736"/>
    <w:rsid w:val="003C374F"/>
    <w:rsid w:val="003C4BD1"/>
    <w:rsid w:val="003C4F48"/>
    <w:rsid w:val="003D0982"/>
    <w:rsid w:val="003F2426"/>
    <w:rsid w:val="003F48C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A4E"/>
    <w:rsid w:val="00447F6F"/>
    <w:rsid w:val="00450B68"/>
    <w:rsid w:val="0045695E"/>
    <w:rsid w:val="00467ACB"/>
    <w:rsid w:val="00485822"/>
    <w:rsid w:val="00490F50"/>
    <w:rsid w:val="004A129B"/>
    <w:rsid w:val="004A4555"/>
    <w:rsid w:val="004A4BC9"/>
    <w:rsid w:val="004A555E"/>
    <w:rsid w:val="004B08C4"/>
    <w:rsid w:val="004B541F"/>
    <w:rsid w:val="004B674B"/>
    <w:rsid w:val="004C4912"/>
    <w:rsid w:val="004C6E57"/>
    <w:rsid w:val="004D2ED4"/>
    <w:rsid w:val="004E4CA3"/>
    <w:rsid w:val="004E7007"/>
    <w:rsid w:val="004E7E21"/>
    <w:rsid w:val="004E7E73"/>
    <w:rsid w:val="004F0B86"/>
    <w:rsid w:val="004F7FD5"/>
    <w:rsid w:val="00511E06"/>
    <w:rsid w:val="0052260F"/>
    <w:rsid w:val="00524DA5"/>
    <w:rsid w:val="00526DBD"/>
    <w:rsid w:val="00543DF4"/>
    <w:rsid w:val="00544812"/>
    <w:rsid w:val="00550AA5"/>
    <w:rsid w:val="00553A37"/>
    <w:rsid w:val="00553ADE"/>
    <w:rsid w:val="0056120D"/>
    <w:rsid w:val="0056175F"/>
    <w:rsid w:val="0056524C"/>
    <w:rsid w:val="00577080"/>
    <w:rsid w:val="00582CCB"/>
    <w:rsid w:val="00584D73"/>
    <w:rsid w:val="0059329D"/>
    <w:rsid w:val="00596EE6"/>
    <w:rsid w:val="005A2510"/>
    <w:rsid w:val="005A69E4"/>
    <w:rsid w:val="005A6E4D"/>
    <w:rsid w:val="005C094E"/>
    <w:rsid w:val="005C73EE"/>
    <w:rsid w:val="005D0A9E"/>
    <w:rsid w:val="005D11C8"/>
    <w:rsid w:val="005E2798"/>
    <w:rsid w:val="005F0940"/>
    <w:rsid w:val="005F3F63"/>
    <w:rsid w:val="00600164"/>
    <w:rsid w:val="00600323"/>
    <w:rsid w:val="00605683"/>
    <w:rsid w:val="006248F2"/>
    <w:rsid w:val="00624DE5"/>
    <w:rsid w:val="00627F2B"/>
    <w:rsid w:val="0063602B"/>
    <w:rsid w:val="00645087"/>
    <w:rsid w:val="00651B2B"/>
    <w:rsid w:val="00654ACD"/>
    <w:rsid w:val="00657396"/>
    <w:rsid w:val="00672A7D"/>
    <w:rsid w:val="00682003"/>
    <w:rsid w:val="00683596"/>
    <w:rsid w:val="00684B16"/>
    <w:rsid w:val="006924E1"/>
    <w:rsid w:val="00695F12"/>
    <w:rsid w:val="00696B47"/>
    <w:rsid w:val="006B16FE"/>
    <w:rsid w:val="006B6D1A"/>
    <w:rsid w:val="006C11B9"/>
    <w:rsid w:val="006D1775"/>
    <w:rsid w:val="006D3DF1"/>
    <w:rsid w:val="006F5316"/>
    <w:rsid w:val="007071CF"/>
    <w:rsid w:val="00722FE9"/>
    <w:rsid w:val="00724F08"/>
    <w:rsid w:val="0073552A"/>
    <w:rsid w:val="007378E2"/>
    <w:rsid w:val="00742A15"/>
    <w:rsid w:val="00743EE0"/>
    <w:rsid w:val="007518D2"/>
    <w:rsid w:val="00765A96"/>
    <w:rsid w:val="0076722E"/>
    <w:rsid w:val="0077694E"/>
    <w:rsid w:val="00781082"/>
    <w:rsid w:val="00781866"/>
    <w:rsid w:val="007849A1"/>
    <w:rsid w:val="00790C87"/>
    <w:rsid w:val="00792848"/>
    <w:rsid w:val="00796CD0"/>
    <w:rsid w:val="007A1071"/>
    <w:rsid w:val="007A2D13"/>
    <w:rsid w:val="007A58C2"/>
    <w:rsid w:val="007D3257"/>
    <w:rsid w:val="007D5554"/>
    <w:rsid w:val="007D59B2"/>
    <w:rsid w:val="007E3F77"/>
    <w:rsid w:val="007F0565"/>
    <w:rsid w:val="007F1C1D"/>
    <w:rsid w:val="007F41BF"/>
    <w:rsid w:val="007F7D80"/>
    <w:rsid w:val="00802879"/>
    <w:rsid w:val="008028AC"/>
    <w:rsid w:val="00826485"/>
    <w:rsid w:val="0083186E"/>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C0435"/>
    <w:rsid w:val="008E13DB"/>
    <w:rsid w:val="008E54E2"/>
    <w:rsid w:val="008F6F6E"/>
    <w:rsid w:val="009039FE"/>
    <w:rsid w:val="0092103D"/>
    <w:rsid w:val="00922B2E"/>
    <w:rsid w:val="00924A73"/>
    <w:rsid w:val="00926581"/>
    <w:rsid w:val="00927138"/>
    <w:rsid w:val="00927BD1"/>
    <w:rsid w:val="009366AD"/>
    <w:rsid w:val="00941847"/>
    <w:rsid w:val="009425D7"/>
    <w:rsid w:val="00950355"/>
    <w:rsid w:val="009520A3"/>
    <w:rsid w:val="0095470A"/>
    <w:rsid w:val="00954BF1"/>
    <w:rsid w:val="00956B98"/>
    <w:rsid w:val="00962B86"/>
    <w:rsid w:val="00965DE9"/>
    <w:rsid w:val="00974836"/>
    <w:rsid w:val="0098375D"/>
    <w:rsid w:val="00990001"/>
    <w:rsid w:val="00993790"/>
    <w:rsid w:val="009943E1"/>
    <w:rsid w:val="009A1596"/>
    <w:rsid w:val="009B22ED"/>
    <w:rsid w:val="009B2C0B"/>
    <w:rsid w:val="009C0313"/>
    <w:rsid w:val="009D07E2"/>
    <w:rsid w:val="009D49BE"/>
    <w:rsid w:val="009E0861"/>
    <w:rsid w:val="009E41F7"/>
    <w:rsid w:val="009E6970"/>
    <w:rsid w:val="009F233C"/>
    <w:rsid w:val="00A0224B"/>
    <w:rsid w:val="00A037C5"/>
    <w:rsid w:val="00A0681D"/>
    <w:rsid w:val="00A074E7"/>
    <w:rsid w:val="00A13E40"/>
    <w:rsid w:val="00A14343"/>
    <w:rsid w:val="00A22273"/>
    <w:rsid w:val="00A26864"/>
    <w:rsid w:val="00A30C52"/>
    <w:rsid w:val="00A364BA"/>
    <w:rsid w:val="00A462CB"/>
    <w:rsid w:val="00A5061A"/>
    <w:rsid w:val="00A54E21"/>
    <w:rsid w:val="00A63CE9"/>
    <w:rsid w:val="00A67498"/>
    <w:rsid w:val="00A742D1"/>
    <w:rsid w:val="00A87924"/>
    <w:rsid w:val="00A96933"/>
    <w:rsid w:val="00A96CE5"/>
    <w:rsid w:val="00AA090B"/>
    <w:rsid w:val="00AA261E"/>
    <w:rsid w:val="00AA38A5"/>
    <w:rsid w:val="00AA4397"/>
    <w:rsid w:val="00AC333A"/>
    <w:rsid w:val="00AD25D5"/>
    <w:rsid w:val="00AE68D7"/>
    <w:rsid w:val="00AF3B6B"/>
    <w:rsid w:val="00B15570"/>
    <w:rsid w:val="00B2355E"/>
    <w:rsid w:val="00B263C5"/>
    <w:rsid w:val="00B27BBC"/>
    <w:rsid w:val="00B27F41"/>
    <w:rsid w:val="00B30925"/>
    <w:rsid w:val="00B67355"/>
    <w:rsid w:val="00B71740"/>
    <w:rsid w:val="00B73847"/>
    <w:rsid w:val="00B7393F"/>
    <w:rsid w:val="00B761B1"/>
    <w:rsid w:val="00B80C28"/>
    <w:rsid w:val="00B8633E"/>
    <w:rsid w:val="00BB363D"/>
    <w:rsid w:val="00BB6EE3"/>
    <w:rsid w:val="00BC4882"/>
    <w:rsid w:val="00BC55D2"/>
    <w:rsid w:val="00BD06FC"/>
    <w:rsid w:val="00BD1839"/>
    <w:rsid w:val="00BD4705"/>
    <w:rsid w:val="00BD5DBE"/>
    <w:rsid w:val="00BE077A"/>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B630F"/>
    <w:rsid w:val="00CC68E1"/>
    <w:rsid w:val="00CD4339"/>
    <w:rsid w:val="00CD6D0D"/>
    <w:rsid w:val="00CD7611"/>
    <w:rsid w:val="00CE3CDC"/>
    <w:rsid w:val="00CE46B3"/>
    <w:rsid w:val="00CE50F9"/>
    <w:rsid w:val="00CE623C"/>
    <w:rsid w:val="00CE7F0C"/>
    <w:rsid w:val="00CF11EE"/>
    <w:rsid w:val="00CF1B14"/>
    <w:rsid w:val="00CF432B"/>
    <w:rsid w:val="00D01247"/>
    <w:rsid w:val="00D05444"/>
    <w:rsid w:val="00D05740"/>
    <w:rsid w:val="00D11C52"/>
    <w:rsid w:val="00D13875"/>
    <w:rsid w:val="00D15D07"/>
    <w:rsid w:val="00D160F2"/>
    <w:rsid w:val="00D178FC"/>
    <w:rsid w:val="00D21CCA"/>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0E64"/>
    <w:rsid w:val="00D81CB3"/>
    <w:rsid w:val="00D9114A"/>
    <w:rsid w:val="00D932AD"/>
    <w:rsid w:val="00DA11C0"/>
    <w:rsid w:val="00DA6BED"/>
    <w:rsid w:val="00DD0452"/>
    <w:rsid w:val="00DD1F62"/>
    <w:rsid w:val="00DE4452"/>
    <w:rsid w:val="00DF2784"/>
    <w:rsid w:val="00DF6CA0"/>
    <w:rsid w:val="00E145E1"/>
    <w:rsid w:val="00E25CA9"/>
    <w:rsid w:val="00E26123"/>
    <w:rsid w:val="00E34559"/>
    <w:rsid w:val="00E41481"/>
    <w:rsid w:val="00E416F8"/>
    <w:rsid w:val="00E54867"/>
    <w:rsid w:val="00E56D4E"/>
    <w:rsid w:val="00E656C1"/>
    <w:rsid w:val="00E70B5D"/>
    <w:rsid w:val="00E750E2"/>
    <w:rsid w:val="00E80E84"/>
    <w:rsid w:val="00E82F77"/>
    <w:rsid w:val="00E83683"/>
    <w:rsid w:val="00E910F8"/>
    <w:rsid w:val="00EA7E26"/>
    <w:rsid w:val="00EB7128"/>
    <w:rsid w:val="00EC1E4E"/>
    <w:rsid w:val="00EC5F1B"/>
    <w:rsid w:val="00EE1E0A"/>
    <w:rsid w:val="00EE29F6"/>
    <w:rsid w:val="00EE7634"/>
    <w:rsid w:val="00EF10FB"/>
    <w:rsid w:val="00F030F8"/>
    <w:rsid w:val="00F05A41"/>
    <w:rsid w:val="00F10DF2"/>
    <w:rsid w:val="00F14384"/>
    <w:rsid w:val="00F17C34"/>
    <w:rsid w:val="00F318EA"/>
    <w:rsid w:val="00F359F6"/>
    <w:rsid w:val="00F42582"/>
    <w:rsid w:val="00F44957"/>
    <w:rsid w:val="00F72D12"/>
    <w:rsid w:val="00F753FF"/>
    <w:rsid w:val="00F80D93"/>
    <w:rsid w:val="00F93684"/>
    <w:rsid w:val="00F95EDA"/>
    <w:rsid w:val="00FA1758"/>
    <w:rsid w:val="00FB3044"/>
    <w:rsid w:val="00FB59D6"/>
    <w:rsid w:val="00FC16A3"/>
    <w:rsid w:val="00FC1D9D"/>
    <w:rsid w:val="00FC2848"/>
    <w:rsid w:val="00FD1849"/>
    <w:rsid w:val="00FD3150"/>
    <w:rsid w:val="00FD530D"/>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318D"/>
  <w15:docId w15:val="{055D80A5-EBA0-4F4A-B674-39A62487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66FD-D3E6-4E43-AE98-839FF6A2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1791</Words>
  <Characters>9854</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11</cp:revision>
  <cp:lastPrinted>2019-09-02T22:07:00Z</cp:lastPrinted>
  <dcterms:created xsi:type="dcterms:W3CDTF">2021-09-15T19:21:00Z</dcterms:created>
  <dcterms:modified xsi:type="dcterms:W3CDTF">2022-03-07T18:53:00Z</dcterms:modified>
</cp:coreProperties>
</file>