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7A7" w:rsidRDefault="00485E5F">
      <w:pPr>
        <w:spacing w:before="240" w:after="240" w:line="360" w:lineRule="auto"/>
        <w:jc w:val="both"/>
        <w:rPr>
          <w:rFonts w:ascii="Palatino Linotype" w:eastAsia="Palatino Linotype" w:hAnsi="Palatino Linotype" w:cs="Palatino Linotype"/>
        </w:rPr>
      </w:pPr>
      <w:bookmarkStart w:id="0" w:name="_heading=h.3dy6vkm"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veinticuatro de marzo de dos mil veintidós</w:t>
      </w:r>
      <w:r>
        <w:rPr>
          <w:rFonts w:ascii="Palatino Linotype" w:eastAsia="Palatino Linotype" w:hAnsi="Palatino Linotype" w:cs="Palatino Linotype"/>
        </w:rPr>
        <w:t xml:space="preserve">. </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00394/INFOEM/IP/RR/2022,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FA78A2" w:rsidRPr="00FA78A2">
        <w:rPr>
          <w:rFonts w:ascii="Palatino Linotype" w:eastAsia="Palatino Linotype" w:hAnsi="Palatino Linotype" w:cs="Palatino Linotype"/>
          <w:b/>
        </w:rPr>
        <w:t>XXXXX XXXXXXXX</w:t>
      </w:r>
      <w:bookmarkStart w:id="1" w:name="_GoBack"/>
      <w:bookmarkEnd w:id="1"/>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 xml:space="preserve">Ayuntamiento de Zacazonapan,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CC77A7" w:rsidRDefault="00485E5F">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CC77A7" w:rsidRDefault="00485E5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diez de enero de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la solicitud de acceso a la información pública, a la que se le asignó el número</w:t>
      </w:r>
      <w:r>
        <w:rPr>
          <w:rFonts w:ascii="Palatino Linotype" w:eastAsia="Palatino Linotype" w:hAnsi="Palatino Linotype" w:cs="Palatino Linotype"/>
          <w:b/>
        </w:rPr>
        <w:t xml:space="preserve">  00002/ZACAZONA/IP/2022, </w:t>
      </w:r>
      <w:r>
        <w:rPr>
          <w:rFonts w:ascii="Palatino Linotype" w:eastAsia="Palatino Linotype" w:hAnsi="Palatino Linotype" w:cs="Palatino Linotype"/>
        </w:rPr>
        <w:t xml:space="preserve">mediante las cuales requirió la información siguiente: </w:t>
      </w:r>
    </w:p>
    <w:p w:rsidR="00CC77A7" w:rsidRDefault="00485E5F">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“Contratos celebrados por parte de la dirección de Administración a trabajadores. Catálogo de proveedores. Requerimientos solicitados por parte del área de Administración Perfil del puesto de Administrador, (Recibo de percepciones del Administrador) Contratos celebrados por parte de la Administración 2019-2021 con la SRE Licitaciones de obras del año 2020 En base a que ley se asignaron los aguinaldos y prima vacacional (días de aguinaldo pagados y días de prima vacacional) además solicito lista de recibos de aguinald</w:t>
      </w:r>
    </w:p>
    <w:p w:rsidR="00CC77A7" w:rsidRDefault="00485E5F">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o y prima vacacional de todo el personal que laboro en el año 2021. Lista de raya de los últimos 9 meses del año 2020 Lista de gratificaciones del año 2019 y 2020 Resultado de los recursos federales transferidos en los 3 años de la administración 2019-2021” (Sic)</w:t>
      </w:r>
    </w:p>
    <w:p w:rsidR="00CC77A7" w:rsidRDefault="00485E5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Ninguno</w:t>
      </w:r>
    </w:p>
    <w:p w:rsidR="00CC77A7" w:rsidRDefault="00485E5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veintiocho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acceso a la información a través del SAIMEX, sustancialmente en los términos siguientes:   </w:t>
      </w:r>
    </w:p>
    <w:p w:rsidR="00CC77A7" w:rsidRDefault="00485E5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CC77A7" w:rsidRDefault="00485E5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ENVIA CONTRATO DE PROVEEDORES</w:t>
      </w:r>
    </w:p>
    <w:p w:rsidR="00CC77A7" w:rsidRDefault="00485E5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CC77A7" w:rsidRDefault="00485E5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TEC. EN INFORMATICA BRENDA VILLAFAÑA CRUZ” (Sic)</w:t>
      </w:r>
    </w:p>
    <w:p w:rsidR="00CC77A7" w:rsidRDefault="00485E5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Archivos adjuntos: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remitió los siguientes archivos electrónicos: </w:t>
      </w:r>
    </w:p>
    <w:p w:rsidR="00CC77A7" w:rsidRDefault="00485E5F">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“CONTRATO PROVEEDORES.pdf”: </w:t>
      </w:r>
      <w:r>
        <w:rPr>
          <w:rFonts w:ascii="Palatino Linotype" w:eastAsia="Palatino Linotype" w:hAnsi="Palatino Linotype" w:cs="Palatino Linotype"/>
          <w:sz w:val="22"/>
          <w:szCs w:val="22"/>
        </w:rPr>
        <w:t>Documento que consta de tres fojas, en él se visualiza el catálogo de proveedores, bienes y servicios actualizado al 31 de diciembre de 2021, se inserta una captura de pantalla a manera de ejemplo.”</w:t>
      </w:r>
    </w:p>
    <w:p w:rsidR="00CC77A7" w:rsidRDefault="00CC77A7">
      <w:pPr>
        <w:spacing w:before="240" w:after="240" w:line="360" w:lineRule="auto"/>
        <w:ind w:right="851"/>
        <w:rPr>
          <w:rFonts w:ascii="Palatino Linotype" w:eastAsia="Palatino Linotype" w:hAnsi="Palatino Linotype" w:cs="Palatino Linotype"/>
          <w:sz w:val="22"/>
          <w:szCs w:val="22"/>
        </w:rPr>
      </w:pPr>
    </w:p>
    <w:p w:rsidR="00CC77A7" w:rsidRDefault="00CC77A7">
      <w:pPr>
        <w:spacing w:before="240" w:after="240" w:line="360" w:lineRule="auto"/>
        <w:ind w:right="851"/>
        <w:rPr>
          <w:rFonts w:ascii="Palatino Linotype" w:eastAsia="Palatino Linotype" w:hAnsi="Palatino Linotype" w:cs="Palatino Linotype"/>
        </w:rPr>
      </w:pPr>
    </w:p>
    <w:p w:rsidR="00CC77A7" w:rsidRDefault="00485E5F">
      <w:pPr>
        <w:spacing w:before="240" w:after="240" w:line="360" w:lineRule="auto"/>
        <w:ind w:right="851"/>
        <w:rPr>
          <w:rFonts w:ascii="Palatino Linotype" w:eastAsia="Palatino Linotype" w:hAnsi="Palatino Linotype" w:cs="Palatino Linotype"/>
        </w:rPr>
      </w:pPr>
      <w:r>
        <w:rPr>
          <w:noProof/>
          <w:lang w:val="es-MX"/>
        </w:rPr>
        <w:lastRenderedPageBreak/>
        <w:drawing>
          <wp:anchor distT="0" distB="0" distL="114300" distR="114300" simplePos="0" relativeHeight="251658240" behindDoc="0" locked="0" layoutInCell="1" hidden="0" allowOverlap="1">
            <wp:simplePos x="0" y="0"/>
            <wp:positionH relativeFrom="column">
              <wp:posOffset>-203834</wp:posOffset>
            </wp:positionH>
            <wp:positionV relativeFrom="paragraph">
              <wp:posOffset>0</wp:posOffset>
            </wp:positionV>
            <wp:extent cx="6365240" cy="4619625"/>
            <wp:effectExtent l="0" t="0" r="0" b="0"/>
            <wp:wrapTopAndBottom distT="0" distB="0"/>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6365240" cy="4619625"/>
                    </a:xfrm>
                    <a:prstGeom prst="rect">
                      <a:avLst/>
                    </a:prstGeom>
                    <a:ln/>
                  </pic:spPr>
                </pic:pic>
              </a:graphicData>
            </a:graphic>
          </wp:anchor>
        </w:drawing>
      </w:r>
    </w:p>
    <w:p w:rsidR="00CC77A7" w:rsidRDefault="00485E5F">
      <w:pPr>
        <w:spacing w:before="240" w:after="240" w:line="360" w:lineRule="auto"/>
        <w:ind w:left="567" w:right="851"/>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“ORIENTACIÓN.docx”: </w:t>
      </w:r>
      <w:r>
        <w:rPr>
          <w:rFonts w:ascii="Palatino Linotype" w:eastAsia="Palatino Linotype" w:hAnsi="Palatino Linotype" w:cs="Palatino Linotype"/>
        </w:rPr>
        <w:t xml:space="preserve">Documento de una hoja en el que el Titular de la Unidad de Transparencia remite su pronunciamiento a la solicitante: </w:t>
      </w:r>
      <w:r>
        <w:rPr>
          <w:rFonts w:ascii="Palatino Linotype" w:eastAsia="Palatino Linotype" w:hAnsi="Palatino Linotype" w:cs="Palatino Linotype"/>
          <w:b/>
          <w:i/>
        </w:rPr>
        <w:t xml:space="preserve"> </w:t>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406400</wp:posOffset>
                </wp:positionH>
                <wp:positionV relativeFrom="paragraph">
                  <wp:posOffset>825500</wp:posOffset>
                </wp:positionV>
                <wp:extent cx="4657725" cy="1752600"/>
                <wp:effectExtent l="0" t="0" r="0" b="0"/>
                <wp:wrapNone/>
                <wp:docPr id="56" name="Conector recto de flecha 56"/>
                <wp:cNvGraphicFramePr/>
                <a:graphic xmlns:a="http://schemas.openxmlformats.org/drawingml/2006/main">
                  <a:graphicData uri="http://schemas.microsoft.com/office/word/2010/wordprocessingShape">
                    <wps:wsp>
                      <wps:cNvCnPr/>
                      <wps:spPr>
                        <a:xfrm>
                          <a:off x="3021900" y="2908463"/>
                          <a:ext cx="4648200" cy="17430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406400</wp:posOffset>
                </wp:positionH>
                <wp:positionV relativeFrom="paragraph">
                  <wp:posOffset>825500</wp:posOffset>
                </wp:positionV>
                <wp:extent cx="4657725" cy="1752600"/>
                <wp:effectExtent b="0" l="0" r="0" t="0"/>
                <wp:wrapNone/>
                <wp:docPr id="56"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4657725" cy="1752600"/>
                        </a:xfrm>
                        <a:prstGeom prst="rect"/>
                        <a:ln/>
                      </pic:spPr>
                    </pic:pic>
                  </a:graphicData>
                </a:graphic>
              </wp:anchor>
            </w:drawing>
          </mc:Fallback>
        </mc:AlternateContent>
      </w:r>
    </w:p>
    <w:p w:rsidR="00CC77A7" w:rsidRDefault="00CC77A7">
      <w:pPr>
        <w:spacing w:before="240" w:after="240" w:line="360" w:lineRule="auto"/>
        <w:ind w:left="567" w:right="851"/>
        <w:jc w:val="center"/>
        <w:rPr>
          <w:rFonts w:ascii="Palatino Linotype" w:eastAsia="Palatino Linotype" w:hAnsi="Palatino Linotype" w:cs="Palatino Linotype"/>
          <w:sz w:val="22"/>
          <w:szCs w:val="22"/>
        </w:rPr>
      </w:pPr>
    </w:p>
    <w:p w:rsidR="00CC77A7" w:rsidRDefault="00CC77A7">
      <w:pPr>
        <w:spacing w:before="240" w:after="240" w:line="360" w:lineRule="auto"/>
        <w:ind w:left="567" w:right="851"/>
        <w:jc w:val="center"/>
        <w:rPr>
          <w:rFonts w:ascii="Palatino Linotype" w:eastAsia="Palatino Linotype" w:hAnsi="Palatino Linotype" w:cs="Palatino Linotype"/>
        </w:rPr>
      </w:pPr>
    </w:p>
    <w:p w:rsidR="00CC77A7" w:rsidRDefault="00CC77A7">
      <w:pPr>
        <w:spacing w:before="240" w:after="240" w:line="360" w:lineRule="auto"/>
        <w:ind w:right="49"/>
        <w:jc w:val="both"/>
        <w:rPr>
          <w:rFonts w:ascii="Palatino Linotype" w:eastAsia="Palatino Linotype" w:hAnsi="Palatino Linotype" w:cs="Palatino Linotype"/>
          <w:b/>
        </w:rPr>
      </w:pPr>
    </w:p>
    <w:p w:rsidR="00CC77A7" w:rsidRDefault="00485E5F">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treinta y uno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r>
        <w:rPr>
          <w:noProof/>
          <w:lang w:val="es-MX"/>
        </w:rPr>
        <w:drawing>
          <wp:anchor distT="0" distB="0" distL="114300" distR="114300" simplePos="0" relativeHeight="251660288" behindDoc="0" locked="0" layoutInCell="1" hidden="0" allowOverlap="1">
            <wp:simplePos x="0" y="0"/>
            <wp:positionH relativeFrom="column">
              <wp:posOffset>-80009</wp:posOffset>
            </wp:positionH>
            <wp:positionV relativeFrom="paragraph">
              <wp:posOffset>105410</wp:posOffset>
            </wp:positionV>
            <wp:extent cx="5407173" cy="2600325"/>
            <wp:effectExtent l="0" t="0" r="0" b="0"/>
            <wp:wrapTopAndBottom distT="0" distB="0"/>
            <wp:docPr id="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407173" cy="2600325"/>
                    </a:xfrm>
                    <a:prstGeom prst="rect">
                      <a:avLst/>
                    </a:prstGeom>
                    <a:ln/>
                  </pic:spPr>
                </pic:pic>
              </a:graphicData>
            </a:graphic>
          </wp:anchor>
        </w:drawing>
      </w:r>
    </w:p>
    <w:p w:rsidR="00CC77A7" w:rsidRDefault="00485E5F">
      <w:pPr>
        <w:numPr>
          <w:ilvl w:val="0"/>
          <w:numId w:val="2"/>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CC77A7" w:rsidRDefault="00485E5F">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“Información incompleta, </w:t>
      </w:r>
      <w:r>
        <w:rPr>
          <w:rFonts w:ascii="Palatino Linotype" w:eastAsia="Palatino Linotype" w:hAnsi="Palatino Linotype" w:cs="Palatino Linotype"/>
          <w:b/>
          <w:i/>
          <w:color w:val="000000"/>
          <w:sz w:val="22"/>
          <w:szCs w:val="22"/>
          <w:u w:val="single"/>
        </w:rPr>
        <w:t>falto perfil del Administrador, recibos de percepción aguinaldo y prima vacíonal</w:t>
      </w:r>
      <w:r>
        <w:rPr>
          <w:rFonts w:ascii="Palatino Linotype" w:eastAsia="Palatino Linotype" w:hAnsi="Palatino Linotype" w:cs="Palatino Linotype"/>
          <w:i/>
          <w:color w:val="000000"/>
          <w:sz w:val="22"/>
          <w:szCs w:val="22"/>
        </w:rPr>
        <w:t>” (Sic)</w:t>
      </w:r>
    </w:p>
    <w:p w:rsidR="00CC77A7" w:rsidRDefault="00CC77A7">
      <w:pPr>
        <w:pBdr>
          <w:top w:val="nil"/>
          <w:left w:val="nil"/>
          <w:bottom w:val="nil"/>
          <w:right w:val="nil"/>
          <w:between w:val="nil"/>
        </w:pBdr>
        <w:tabs>
          <w:tab w:val="left" w:pos="567"/>
        </w:tabs>
        <w:ind w:left="567" w:right="1041"/>
        <w:jc w:val="both"/>
        <w:rPr>
          <w:rFonts w:ascii="Palatino Linotype" w:eastAsia="Palatino Linotype" w:hAnsi="Palatino Linotype" w:cs="Palatino Linotype"/>
          <w:b/>
          <w:color w:val="000000"/>
        </w:rPr>
      </w:pPr>
    </w:p>
    <w:p w:rsidR="00CC77A7" w:rsidRDefault="00CC77A7">
      <w:pPr>
        <w:pBdr>
          <w:top w:val="nil"/>
          <w:left w:val="nil"/>
          <w:bottom w:val="nil"/>
          <w:right w:val="nil"/>
          <w:between w:val="nil"/>
        </w:pBdr>
        <w:tabs>
          <w:tab w:val="left" w:pos="567"/>
        </w:tabs>
        <w:ind w:left="567" w:right="1041"/>
        <w:jc w:val="both"/>
        <w:rPr>
          <w:rFonts w:ascii="Palatino Linotype" w:eastAsia="Palatino Linotype" w:hAnsi="Palatino Linotype" w:cs="Palatino Linotype"/>
          <w:b/>
          <w:color w:val="000000"/>
        </w:rPr>
      </w:pPr>
    </w:p>
    <w:p w:rsidR="00CC77A7" w:rsidRDefault="00485E5F">
      <w:pPr>
        <w:numPr>
          <w:ilvl w:val="0"/>
          <w:numId w:val="2"/>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rsidR="00CC77A7" w:rsidRDefault="00CC77A7">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rsidR="00CC77A7" w:rsidRDefault="00485E5F">
      <w:pPr>
        <w:pBdr>
          <w:top w:val="nil"/>
          <w:left w:val="nil"/>
          <w:bottom w:val="nil"/>
          <w:right w:val="nil"/>
          <w:between w:val="nil"/>
        </w:pBdr>
        <w:tabs>
          <w:tab w:val="left" w:pos="567"/>
        </w:tabs>
        <w:ind w:left="720"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u w:val="single"/>
        </w:rPr>
        <w:t>Falto información en la solicitud, de aguinaldo, prima, además perfil del Administrador</w:t>
      </w:r>
      <w:r>
        <w:rPr>
          <w:rFonts w:ascii="Palatino Linotype" w:eastAsia="Palatino Linotype" w:hAnsi="Palatino Linotype" w:cs="Palatino Linotype"/>
          <w:i/>
          <w:color w:val="000000"/>
          <w:sz w:val="22"/>
          <w:szCs w:val="22"/>
        </w:rPr>
        <w:t>” (Sic)</w:t>
      </w:r>
    </w:p>
    <w:p w:rsidR="00CC77A7" w:rsidRDefault="00CC77A7">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lastRenderedPageBreak/>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analizara sobre su admisión o su desechamiento.</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tres de febrero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CC77A7" w:rsidRDefault="00485E5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en esta etapa, en fechas </w:t>
      </w:r>
      <w:r>
        <w:rPr>
          <w:rFonts w:ascii="Palatino Linotype" w:eastAsia="Palatino Linotype" w:hAnsi="Palatino Linotype" w:cs="Palatino Linotype"/>
          <w:b/>
        </w:rPr>
        <w:t>dieciocho de febrero, veinticinco de febrero y once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digitales denominados “</w:t>
      </w:r>
      <w:r>
        <w:rPr>
          <w:rFonts w:ascii="Palatino Linotype" w:eastAsia="Palatino Linotype" w:hAnsi="Palatino Linotype" w:cs="Palatino Linotype"/>
          <w:b/>
          <w:i/>
          <w:sz w:val="22"/>
          <w:szCs w:val="22"/>
        </w:rPr>
        <w:t>REQUERIMIENTOS.docx, “RECIBOS COMITE TRANSPARENCIA_074980.pdf”, “ORIENTACIÓN.docx”, “NOMINA 25 AGUINALDO 2021.pdf”, “NOMINA 25 AGUINALDO SP 2021 (1).pdf” y “solicitud tesoreria.rar”</w:t>
      </w: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rPr>
        <w:t xml:space="preserve">los cuales se pusieron a la vista del particular el </w:t>
      </w:r>
      <w:r>
        <w:rPr>
          <w:rFonts w:ascii="Palatino Linotype" w:eastAsia="Palatino Linotype" w:hAnsi="Palatino Linotype" w:cs="Palatino Linotype"/>
          <w:b/>
        </w:rPr>
        <w:t>quince de marzo de dos mil veintidós</w:t>
      </w:r>
      <w:r>
        <w:rPr>
          <w:rFonts w:ascii="Palatino Linotype" w:eastAsia="Palatino Linotype" w:hAnsi="Palatino Linotype" w:cs="Palatino Linotype"/>
        </w:rPr>
        <w:t xml:space="preserve">, a excepción del archivo </w:t>
      </w:r>
      <w:r>
        <w:rPr>
          <w:rFonts w:ascii="Palatino Linotype" w:eastAsia="Palatino Linotype" w:hAnsi="Palatino Linotype" w:cs="Palatino Linotype"/>
          <w:b/>
          <w:i/>
          <w:sz w:val="22"/>
          <w:szCs w:val="22"/>
        </w:rPr>
        <w:t xml:space="preserve">“RECIBOS COMITE TRANSPARENCIA_074980.pdf”, </w:t>
      </w:r>
      <w:r>
        <w:rPr>
          <w:rFonts w:ascii="Palatino Linotype" w:eastAsia="Palatino Linotype" w:hAnsi="Palatino Linotype" w:cs="Palatino Linotype"/>
        </w:rPr>
        <w:t xml:space="preserve">por dejar visibles deducciones de las que no se tiene certeza que abonen a la transparencia, se insertan a continuación las capturas de pantalla y descripción pormenorizada de los archivos: </w:t>
      </w:r>
    </w:p>
    <w:p w:rsidR="00CC77A7" w:rsidRDefault="00CC77A7">
      <w:pPr>
        <w:spacing w:before="240" w:after="240" w:line="360" w:lineRule="auto"/>
        <w:ind w:right="49"/>
        <w:jc w:val="both"/>
        <w:rPr>
          <w:rFonts w:ascii="Palatino Linotype" w:eastAsia="Palatino Linotype" w:hAnsi="Palatino Linotype" w:cs="Palatino Linotype"/>
        </w:rPr>
      </w:pPr>
    </w:p>
    <w:p w:rsidR="00CC77A7" w:rsidRDefault="00485E5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2533650"/>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86400" cy="2533650"/>
                    </a:xfrm>
                    <a:prstGeom prst="rect">
                      <a:avLst/>
                    </a:prstGeom>
                    <a:ln/>
                  </pic:spPr>
                </pic:pic>
              </a:graphicData>
            </a:graphic>
          </wp:inline>
        </w:drawing>
      </w:r>
    </w:p>
    <w:p w:rsidR="00CC77A7" w:rsidRDefault="00485E5F">
      <w:pPr>
        <w:spacing w:before="240" w:after="240" w:line="360"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“REQUERIMIENTOS.docx”: </w:t>
      </w:r>
      <w:r>
        <w:rPr>
          <w:rFonts w:ascii="Palatino Linotype" w:eastAsia="Palatino Linotype" w:hAnsi="Palatino Linotype" w:cs="Palatino Linotype"/>
          <w:sz w:val="22"/>
          <w:szCs w:val="22"/>
        </w:rPr>
        <w:t xml:space="preserve">Documento por el cual la Titular de la Unidad de Transparencia solicita una prórroga: </w:t>
      </w:r>
    </w:p>
    <w:p w:rsidR="00CC77A7" w:rsidRDefault="00485E5F">
      <w:pPr>
        <w:spacing w:before="240" w:after="240" w:line="360"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5121728" cy="2142945"/>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121728" cy="2142945"/>
                    </a:xfrm>
                    <a:prstGeom prst="rect">
                      <a:avLst/>
                    </a:prstGeom>
                    <a:ln/>
                  </pic:spPr>
                </pic:pic>
              </a:graphicData>
            </a:graphic>
          </wp:inline>
        </w:drawing>
      </w:r>
    </w:p>
    <w:p w:rsidR="00CC77A7" w:rsidRDefault="00485E5F">
      <w:pPr>
        <w:spacing w:before="240" w:after="240" w:line="360"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 “RECIBOS COMITE TRANSPARENCIA_074980.pdf”: </w:t>
      </w:r>
      <w:r>
        <w:rPr>
          <w:rFonts w:ascii="Palatino Linotype" w:eastAsia="Palatino Linotype" w:hAnsi="Palatino Linotype" w:cs="Palatino Linotype"/>
          <w:sz w:val="22"/>
          <w:szCs w:val="22"/>
        </w:rPr>
        <w:t>Recibos de la segunda quincena de enero de 2022 de los integrantes del Comité de Transparencia, mismos que no se pusieron a la vista por contener deducciones de las que no se tienen certeza que abonen a la transparencia y rendición de cuentas, asimismo debe apuntarse que no guardan relación con lo solicitado.</w:t>
      </w:r>
    </w:p>
    <w:p w:rsidR="00CC77A7" w:rsidRDefault="00CC77A7">
      <w:pPr>
        <w:spacing w:before="240" w:after="240" w:line="360" w:lineRule="auto"/>
        <w:ind w:left="567" w:right="49"/>
        <w:jc w:val="both"/>
        <w:rPr>
          <w:rFonts w:ascii="Palatino Linotype" w:eastAsia="Palatino Linotype" w:hAnsi="Palatino Linotype" w:cs="Palatino Linotype"/>
          <w:b/>
          <w:i/>
        </w:rPr>
      </w:pPr>
    </w:p>
    <w:p w:rsidR="00CC77A7" w:rsidRDefault="00485E5F">
      <w:pPr>
        <w:spacing w:before="240" w:after="240" w:line="360" w:lineRule="auto"/>
        <w:ind w:left="567" w:right="707"/>
        <w:jc w:val="both"/>
        <w:rPr>
          <w:rFonts w:ascii="Palatino Linotype" w:eastAsia="Palatino Linotype" w:hAnsi="Palatino Linotype" w:cs="Palatino Linotype"/>
          <w:b/>
        </w:rPr>
      </w:pPr>
      <w:r>
        <w:rPr>
          <w:rFonts w:ascii="Palatino Linotype" w:eastAsia="Palatino Linotype" w:hAnsi="Palatino Linotype" w:cs="Palatino Linotype"/>
          <w:b/>
          <w:i/>
        </w:rPr>
        <w:t xml:space="preserve">“ORIENTACIÓN.docx”: </w:t>
      </w:r>
      <w:r>
        <w:rPr>
          <w:rFonts w:ascii="Palatino Linotype" w:eastAsia="Palatino Linotype" w:hAnsi="Palatino Linotype" w:cs="Palatino Linotype"/>
        </w:rPr>
        <w:t xml:space="preserve">Documento suscrito por la Titular de la Unidad de Transparencia mediante el cual refiere que </w:t>
      </w:r>
      <w:r>
        <w:rPr>
          <w:rFonts w:ascii="Palatino Linotype" w:eastAsia="Palatino Linotype" w:hAnsi="Palatino Linotype" w:cs="Palatino Linotype"/>
          <w:b/>
        </w:rPr>
        <w:t xml:space="preserve">ya se remitió la información solicitada al correo electrónico de la solicitante. </w:t>
      </w:r>
    </w:p>
    <w:p w:rsidR="00CC77A7" w:rsidRDefault="00485E5F">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87035" cy="2200910"/>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487035" cy="2200910"/>
                    </a:xfrm>
                    <a:prstGeom prst="rect">
                      <a:avLst/>
                    </a:prstGeom>
                    <a:ln/>
                  </pic:spPr>
                </pic:pic>
              </a:graphicData>
            </a:graphic>
          </wp:inline>
        </w:drawing>
      </w:r>
    </w:p>
    <w:p w:rsidR="00CC77A7" w:rsidRDefault="00485E5F">
      <w:pPr>
        <w:spacing w:before="240" w:after="240" w:line="360"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“NOMINA 25 AGUINALDO 2021.pdf”: </w:t>
      </w:r>
      <w:r>
        <w:rPr>
          <w:rFonts w:ascii="Palatino Linotype" w:eastAsia="Palatino Linotype" w:hAnsi="Palatino Linotype" w:cs="Palatino Linotype"/>
          <w:sz w:val="22"/>
          <w:szCs w:val="22"/>
        </w:rPr>
        <w:t>Documento de 128 fojas que consta en los recibos de aguinaldo y prima vacacional de diversos servidores públicos, se inserta un recibo a manera de ejemplo.</w: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482600</wp:posOffset>
                </wp:positionH>
                <wp:positionV relativeFrom="paragraph">
                  <wp:posOffset>850900</wp:posOffset>
                </wp:positionV>
                <wp:extent cx="4829175" cy="2647950"/>
                <wp:effectExtent l="0" t="0" r="0" b="0"/>
                <wp:wrapNone/>
                <wp:docPr id="53" name="Conector recto de flecha 53"/>
                <wp:cNvGraphicFramePr/>
                <a:graphic xmlns:a="http://schemas.openxmlformats.org/drawingml/2006/main">
                  <a:graphicData uri="http://schemas.microsoft.com/office/word/2010/wordprocessingShape">
                    <wps:wsp>
                      <wps:cNvCnPr/>
                      <wps:spPr>
                        <a:xfrm>
                          <a:off x="2936175" y="2460788"/>
                          <a:ext cx="4819650" cy="26384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wp:posOffset>
                </wp:positionH>
                <wp:positionV relativeFrom="paragraph">
                  <wp:posOffset>850900</wp:posOffset>
                </wp:positionV>
                <wp:extent cx="4829175" cy="2647950"/>
                <wp:effectExtent b="0" l="0" r="0" t="0"/>
                <wp:wrapNone/>
                <wp:docPr id="53"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4829175" cy="2647950"/>
                        </a:xfrm>
                        <a:prstGeom prst="rect"/>
                        <a:ln/>
                      </pic:spPr>
                    </pic:pic>
                  </a:graphicData>
                </a:graphic>
              </wp:anchor>
            </w:drawing>
          </mc:Fallback>
        </mc:AlternateContent>
      </w:r>
    </w:p>
    <w:p w:rsidR="00CC77A7" w:rsidRDefault="00485E5F">
      <w:pPr>
        <w:spacing w:before="240" w:after="240" w:line="360"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5486400" cy="6696075"/>
            <wp:effectExtent l="0" t="0" r="0" b="0"/>
            <wp:docPr id="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t="5637"/>
                    <a:stretch>
                      <a:fillRect/>
                    </a:stretch>
                  </pic:blipFill>
                  <pic:spPr>
                    <a:xfrm>
                      <a:off x="0" y="0"/>
                      <a:ext cx="5486400" cy="6696075"/>
                    </a:xfrm>
                    <a:prstGeom prst="rect">
                      <a:avLst/>
                    </a:prstGeom>
                    <a:ln/>
                  </pic:spPr>
                </pic:pic>
              </a:graphicData>
            </a:graphic>
          </wp:inline>
        </w:drawing>
      </w:r>
    </w:p>
    <w:p w:rsidR="00CC77A7" w:rsidRDefault="00485E5F">
      <w:pPr>
        <w:spacing w:before="240" w:after="240" w:line="360" w:lineRule="auto"/>
        <w:ind w:left="567" w:right="70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lastRenderedPageBreak/>
        <w:t xml:space="preserve"> “NOMINA 25 AGUINALDO SP 2021 (1).pdf”:</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Documento que consta de seis fojas y consta en recibos de nómina pagados por concepto de pago de aguinaldo y de prima vacacional en ejercicio fiscal 2021.</w:t>
      </w:r>
    </w:p>
    <w:p w:rsidR="00CC77A7" w:rsidRDefault="00485E5F">
      <w:pPr>
        <w:spacing w:before="240" w:after="240" w:line="360" w:lineRule="auto"/>
        <w:ind w:left="567" w:right="707"/>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983899" cy="5686478"/>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5845"/>
                    <a:stretch>
                      <a:fillRect/>
                    </a:stretch>
                  </pic:blipFill>
                  <pic:spPr>
                    <a:xfrm>
                      <a:off x="0" y="0"/>
                      <a:ext cx="4983899" cy="5686478"/>
                    </a:xfrm>
                    <a:prstGeom prst="rect">
                      <a:avLst/>
                    </a:prstGeom>
                    <a:ln/>
                  </pic:spPr>
                </pic:pic>
              </a:graphicData>
            </a:graphic>
          </wp:inline>
        </w:drawing>
      </w:r>
    </w:p>
    <w:p w:rsidR="00CC77A7" w:rsidRDefault="00485E5F">
      <w:pPr>
        <w:spacing w:before="240" w:after="240" w:line="360"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“solicitud tesoreria.rar”: </w:t>
      </w:r>
      <w:r>
        <w:rPr>
          <w:rFonts w:ascii="Palatino Linotype" w:eastAsia="Palatino Linotype" w:hAnsi="Palatino Linotype" w:cs="Palatino Linotype"/>
          <w:sz w:val="22"/>
          <w:szCs w:val="22"/>
        </w:rPr>
        <w:t>Carpeta comprimida que a su vez contiene un archivo que corresponde a la solicitud de información que apertura el presente recurso de revisión.</w:t>
      </w:r>
    </w:p>
    <w:p w:rsidR="00CC77A7" w:rsidRDefault="00485E5F">
      <w:pPr>
        <w:spacing w:before="240" w:after="240" w:line="360" w:lineRule="auto"/>
        <w:ind w:right="49"/>
        <w:jc w:val="both"/>
        <w:rPr>
          <w:rFonts w:ascii="Palatino Linotype" w:eastAsia="Palatino Linotype" w:hAnsi="Palatino Linotype" w:cs="Palatino Linotype"/>
          <w:b/>
          <w:i/>
          <w:sz w:val="22"/>
          <w:szCs w:val="22"/>
        </w:rPr>
      </w:pPr>
      <w:r>
        <w:rPr>
          <w:rFonts w:ascii="Palatino Linotype" w:eastAsia="Palatino Linotype" w:hAnsi="Palatino Linotype" w:cs="Palatino Linotype"/>
        </w:rPr>
        <w:t>Asimismo</w:t>
      </w:r>
      <w:r w:rsidR="006142EE">
        <w:rPr>
          <w:rFonts w:ascii="Palatino Linotype" w:eastAsia="Palatino Linotype" w:hAnsi="Palatino Linotype" w:cs="Palatino Linotype"/>
        </w:rPr>
        <w:t>,</w:t>
      </w:r>
      <w:r>
        <w:rPr>
          <w:rFonts w:ascii="Palatino Linotype" w:eastAsia="Palatino Linotype" w:hAnsi="Palatino Linotype" w:cs="Palatino Linotype"/>
        </w:rPr>
        <w:t xml:space="preserve"> por cuanto hace a </w:t>
      </w:r>
      <w:r>
        <w:rPr>
          <w:rFonts w:ascii="Palatino Linotype" w:eastAsia="Palatino Linotype" w:hAnsi="Palatino Linotype" w:cs="Palatino Linotype"/>
          <w:b/>
        </w:rPr>
        <w:t>la Recurrente</w:t>
      </w:r>
      <w:r>
        <w:rPr>
          <w:rFonts w:ascii="Palatino Linotype" w:eastAsia="Palatino Linotype" w:hAnsi="Palatino Linotype" w:cs="Palatino Linotype"/>
        </w:rPr>
        <w:t>, se tiene que fue omiso en presentar manifestaciones, pruebas y/o alegatos.</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E61014">
        <w:rPr>
          <w:rFonts w:ascii="Palatino Linotype" w:eastAsia="Palatino Linotype" w:hAnsi="Palatino Linotype" w:cs="Palatino Linotype"/>
          <w:b/>
        </w:rPr>
        <w:t>veintitrés</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sidR="00E61014">
        <w:rPr>
          <w:rFonts w:ascii="Palatino Linotype" w:eastAsia="Palatino Linotype" w:hAnsi="Palatino Linotype" w:cs="Palatino Linotype"/>
          <w:b/>
        </w:rPr>
        <w:t>veintitrés</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C77A7" w:rsidRDefault="00CC77A7">
      <w:pPr>
        <w:spacing w:before="240" w:after="240" w:line="360" w:lineRule="auto"/>
        <w:jc w:val="both"/>
        <w:rPr>
          <w:rFonts w:ascii="Palatino Linotype" w:eastAsia="Palatino Linotype" w:hAnsi="Palatino Linotype" w:cs="Palatino Linotype"/>
        </w:rPr>
      </w:pPr>
    </w:p>
    <w:p w:rsidR="00CC77A7" w:rsidRDefault="00CC77A7">
      <w:pPr>
        <w:spacing w:before="240" w:after="240" w:line="360" w:lineRule="auto"/>
        <w:jc w:val="both"/>
        <w:rPr>
          <w:rFonts w:ascii="Palatino Linotype" w:eastAsia="Palatino Linotype" w:hAnsi="Palatino Linotype" w:cs="Palatino Linotype"/>
        </w:rPr>
      </w:pPr>
    </w:p>
    <w:p w:rsidR="00CC77A7" w:rsidRDefault="00485E5F">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 S</w:t>
      </w:r>
    </w:p>
    <w:p w:rsidR="00CC77A7" w:rsidRDefault="00485E5F">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veintiocho de enero de dos mil veintidós,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 xml:space="preserve">la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color w:val="000000"/>
        </w:rPr>
        <w:t xml:space="preserve">treinta y uno de enero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en que tuvo conocimiento de la respuestas impugnada. </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C77A7" w:rsidRDefault="00485E5F">
      <w:pPr>
        <w:spacing w:before="240" w:after="240" w:line="360" w:lineRule="auto"/>
        <w:jc w:val="both"/>
        <w:rPr>
          <w:rFonts w:ascii="Palatino Linotype" w:eastAsia="Palatino Linotype" w:hAnsi="Palatino Linotype" w:cs="Palatino Linotype"/>
        </w:rPr>
      </w:pPr>
      <w:bookmarkStart w:id="3" w:name="_heading=h.30j0zll" w:colFirst="0" w:colLast="0"/>
      <w:bookmarkEnd w:id="3"/>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rsidR="00CC77A7" w:rsidRDefault="00485E5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CC77A7" w:rsidRDefault="00485E5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C77A7" w:rsidRDefault="00485E5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w:t>
      </w:r>
    </w:p>
    <w:p w:rsidR="00CC77A7" w:rsidRDefault="00485E5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C77A7" w:rsidRDefault="00485E5F">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C77A7" w:rsidRDefault="00CC77A7">
      <w:pPr>
        <w:spacing w:before="120" w:after="120"/>
        <w:ind w:left="851" w:right="902"/>
        <w:jc w:val="both"/>
        <w:rPr>
          <w:rFonts w:ascii="Palatino Linotype" w:eastAsia="Palatino Linotype" w:hAnsi="Palatino Linotype" w:cs="Palatino Linotype"/>
          <w:i/>
          <w:sz w:val="22"/>
          <w:szCs w:val="22"/>
        </w:rPr>
      </w:pPr>
    </w:p>
    <w:p w:rsidR="00CC77A7" w:rsidRDefault="00485E5F">
      <w:pPr>
        <w:spacing w:before="280" w:after="28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w:t>
      </w:r>
      <w:r>
        <w:rPr>
          <w:rFonts w:ascii="Palatino Linotype" w:eastAsia="Palatino Linotype" w:hAnsi="Palatino Linotype" w:cs="Palatino Linotype"/>
          <w:b/>
        </w:rPr>
        <w:lastRenderedPageBreak/>
        <w:t xml:space="preserve">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la siguiente información:</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Contratos celebrados por parte de la dirección de Administración a trabajadores. Catálogo de proveedores. </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Requerimientos solicitados por parte del área de Administración: </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Perfil del puesto de Administrador</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Recibo de percepciones del Administrador </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Contratos celebrados por parte de la Administración 2019-2021 con la SRE Licitaciones de obras del año 2020 </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base a qué ley se asignaron los aguinaldos y prima vacacional (días de aguinaldo pagados y días de prima vacacional)</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Lista de recibos de aguinaldo y prima vacacional de todo el personal que laboró en el año 2021. </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Lista de raya de los últimos 9 meses del año 2020 </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Lista de gratificaciones del año 2019 y 2020 </w:t>
      </w:r>
    </w:p>
    <w:p w:rsidR="00CC77A7" w:rsidRDefault="00485E5F">
      <w:pPr>
        <w:numPr>
          <w:ilvl w:val="0"/>
          <w:numId w:val="3"/>
        </w:numPr>
        <w:pBdr>
          <w:top w:val="nil"/>
          <w:left w:val="nil"/>
          <w:bottom w:val="nil"/>
          <w:right w:val="nil"/>
          <w:between w:val="nil"/>
        </w:pBdr>
        <w:spacing w:line="360" w:lineRule="auto"/>
        <w:ind w:left="567" w:right="70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Resultado de los recursos federales transferidos en los 3 años de la administración 2019-2021</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respuesta a la solicitud, la Titular de la Unidad de Transparencia manifestó que no se hicieron contratos a trabajadores, con la secretaría de relaciones exteriores y no se encontraron listas de raya y ni meses de gratificación, asimismo adjuntó el catálogo de proveedores, bienes y servicios actualizado al 31 de diciembre de 2021, tal como se visualiza a continuación:</w:t>
      </w:r>
      <w:r>
        <w:rPr>
          <w:noProof/>
          <w:lang w:val="es-MX"/>
        </w:rPr>
        <w:drawing>
          <wp:anchor distT="0" distB="0" distL="114300" distR="114300" simplePos="0" relativeHeight="251662336" behindDoc="0" locked="0" layoutInCell="1" hidden="0" allowOverlap="1">
            <wp:simplePos x="0" y="0"/>
            <wp:positionH relativeFrom="column">
              <wp:posOffset>-299084</wp:posOffset>
            </wp:positionH>
            <wp:positionV relativeFrom="paragraph">
              <wp:posOffset>1591310</wp:posOffset>
            </wp:positionV>
            <wp:extent cx="6365240" cy="4619625"/>
            <wp:effectExtent l="0" t="0" r="0" b="0"/>
            <wp:wrapTopAndBottom distT="0" distB="0"/>
            <wp:docPr id="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6365240" cy="4619625"/>
                    </a:xfrm>
                    <a:prstGeom prst="rect">
                      <a:avLst/>
                    </a:prstGeom>
                    <a:ln/>
                  </pic:spPr>
                </pic:pic>
              </a:graphicData>
            </a:graphic>
          </wp:anchor>
        </w:drawing>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estos argumentos nace la inconformidad de la particular, quien al momento de interponer el recurso de revisión que nos ocupa, expresó como razones o medios </w:t>
      </w:r>
      <w:r>
        <w:rPr>
          <w:rFonts w:ascii="Palatino Linotype" w:eastAsia="Palatino Linotype" w:hAnsi="Palatino Linotype" w:cs="Palatino Linotype"/>
        </w:rPr>
        <w:lastRenderedPageBreak/>
        <w:t>de inconformidad medularmente que falta información, específicamente “</w:t>
      </w:r>
      <w:r>
        <w:rPr>
          <w:rFonts w:ascii="Palatino Linotype" w:eastAsia="Palatino Linotype" w:hAnsi="Palatino Linotype" w:cs="Palatino Linotype"/>
          <w:b/>
          <w:i/>
          <w:color w:val="000000"/>
          <w:sz w:val="22"/>
          <w:szCs w:val="22"/>
          <w:u w:val="single"/>
        </w:rPr>
        <w:t xml:space="preserve">falto perfil del Administrador, recibos de percepción aguinaldo y prima vacíonal” </w:t>
      </w:r>
      <w:r>
        <w:rPr>
          <w:rFonts w:ascii="Palatino Linotype" w:eastAsia="Palatino Linotype" w:hAnsi="Palatino Linotype" w:cs="Palatino Linotype"/>
          <w:i/>
          <w:color w:val="000000"/>
          <w:sz w:val="22"/>
          <w:szCs w:val="22"/>
        </w:rPr>
        <w:t>(Sic)</w:t>
      </w:r>
    </w:p>
    <w:p w:rsidR="00CC77A7" w:rsidRDefault="00485E5F">
      <w:pPr>
        <w:spacing w:before="240" w:after="240" w:line="360" w:lineRule="auto"/>
        <w:jc w:val="both"/>
        <w:rPr>
          <w:rFonts w:ascii="Palatino Linotype" w:eastAsia="Palatino Linotype" w:hAnsi="Palatino Linotype" w:cs="Palatino Linotype"/>
          <w:color w:val="000000"/>
        </w:rPr>
      </w:pPr>
      <w:bookmarkStart w:id="5" w:name="_heading=h.3znysh7" w:colFirst="0" w:colLast="0"/>
      <w:bookmarkEnd w:id="5"/>
      <w:r>
        <w:rPr>
          <w:rFonts w:ascii="Palatino Linotype" w:eastAsia="Palatino Linotype" w:hAnsi="Palatino Linotype" w:cs="Palatino Linotype"/>
        </w:rPr>
        <w:t xml:space="preserve">Es de precisar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consistente en los archivos digitales denominados “</w:t>
      </w:r>
      <w:r>
        <w:rPr>
          <w:rFonts w:ascii="Palatino Linotype" w:eastAsia="Palatino Linotype" w:hAnsi="Palatino Linotype" w:cs="Palatino Linotype"/>
          <w:b/>
          <w:i/>
          <w:sz w:val="22"/>
          <w:szCs w:val="22"/>
        </w:rPr>
        <w:t>REQUERIMIENTOS.docx, “RECIBOS COMITE TRANSPARENCIA_074980.pdf”, “ORIENTACIÓN.docx”, “NOMINA 25 AGUINALDO 2021.pdf”, “NOMINA 25 AGUINALDO SP 2021 (1).pdf” y “solicitud tesoreria.rar”</w:t>
      </w: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rPr>
        <w:t xml:space="preserve">los cuales se pusieron a la vista del particular el </w:t>
      </w:r>
      <w:r>
        <w:rPr>
          <w:rFonts w:ascii="Palatino Linotype" w:eastAsia="Palatino Linotype" w:hAnsi="Palatino Linotype" w:cs="Palatino Linotype"/>
          <w:b/>
        </w:rPr>
        <w:t>quince de marzo de dos mil veintidós</w:t>
      </w:r>
      <w:r>
        <w:rPr>
          <w:rFonts w:ascii="Palatino Linotype" w:eastAsia="Palatino Linotype" w:hAnsi="Palatino Linotype" w:cs="Palatino Linotype"/>
        </w:rPr>
        <w:t xml:space="preserve">, a excepción del archivo </w:t>
      </w:r>
      <w:r>
        <w:rPr>
          <w:rFonts w:ascii="Palatino Linotype" w:eastAsia="Palatino Linotype" w:hAnsi="Palatino Linotype" w:cs="Palatino Linotype"/>
          <w:b/>
          <w:i/>
          <w:sz w:val="22"/>
          <w:szCs w:val="22"/>
        </w:rPr>
        <w:t xml:space="preserve">“RECIBOS COMITE TRANSPARENCIA_074980.pdf”, </w:t>
      </w:r>
      <w:r>
        <w:rPr>
          <w:rFonts w:ascii="Palatino Linotype" w:eastAsia="Palatino Linotype" w:hAnsi="Palatino Linotype" w:cs="Palatino Linotype"/>
        </w:rPr>
        <w:t xml:space="preserve">por dejar visibles deducciones de las que no se tiene certeza </w:t>
      </w:r>
      <w:r>
        <w:rPr>
          <w:rFonts w:ascii="Palatino Linotype" w:eastAsia="Palatino Linotype" w:hAnsi="Palatino Linotype" w:cs="Palatino Linotype"/>
          <w:color w:val="000000"/>
        </w:rPr>
        <w:t>si refieren a cuestiones de índole personal.</w:t>
      </w:r>
    </w:p>
    <w:p w:rsidR="00CC77A7" w:rsidRDefault="00485E5F">
      <w:pPr>
        <w:tabs>
          <w:tab w:val="left" w:pos="709"/>
        </w:tabs>
        <w:spacing w:before="280" w:after="280"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 xml:space="preserve">En este tenor, la parte de la respuesta concerniente a </w:t>
      </w:r>
      <w:r>
        <w:rPr>
          <w:rFonts w:ascii="Palatino Linotype" w:eastAsia="Palatino Linotype" w:hAnsi="Palatino Linotype" w:cs="Palatino Linotype"/>
          <w:b/>
          <w:i/>
        </w:rPr>
        <w:t xml:space="preserve">  “Contratos celebrados por parte de la dirección de Administración a trabajadores. Catálogo de proveedores. Requerimientos solicitados por parte del área de Administración, Contratos celebrados por parte de la Administración 2019-2021 con la SRE Licitaciones de obras del año 2020 En base a que ley se asignaron los aguinaldos y prima vacacional (días de aguinaldo pagados y días de prima vacacional) Lista de raya de los últimos 9 meses del año 2020 Lista de gratificaciones del año 2019 y 2020 Resultado de los recursos federales transferidos en los 3 años de la administración 2019-2021”(Sic), </w:t>
      </w:r>
      <w:r>
        <w:rPr>
          <w:rFonts w:ascii="Palatino Linotype" w:eastAsia="Palatino Linotype" w:hAnsi="Palatino Linotype" w:cs="Palatino Linotype"/>
        </w:rPr>
        <w:t xml:space="preserve">se tiene que no fue impugnada, por lo que consecuentemente debe declararse consentida, toda vez que, al no haber realizado manifestaciones de inconformidad al respecto,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estos puntos de la solicitud presentada.</w:t>
      </w:r>
    </w:p>
    <w:p w:rsidR="00CC77A7" w:rsidRDefault="00485E5F">
      <w:pPr>
        <w:tabs>
          <w:tab w:val="left" w:pos="709"/>
        </w:tabs>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es así, debido a que cuando un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CC77A7" w:rsidRDefault="00485E5F">
      <w:pPr>
        <w:tabs>
          <w:tab w:val="left" w:pos="709"/>
        </w:tabs>
        <w:spacing w:before="280" w:after="28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C77A7" w:rsidRDefault="00485E5F">
      <w:pPr>
        <w:tabs>
          <w:tab w:val="left" w:pos="709"/>
        </w:tabs>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se reitera que la parte de la solicitud que no fue impugnada debe declararse consentida por la hoy Recurrente, en razón de que no se realizaron manifestaciones de inconformidad, por lo que no pueden producirse efectos jurídicos tendentes a revocar, confirmar o modificar el acto reclamado ya que se infiere un consentimiento de la Recurrente ante la falta de impugnación eficaz. </w:t>
      </w:r>
    </w:p>
    <w:p w:rsidR="00CC77A7" w:rsidRDefault="00485E5F">
      <w:pPr>
        <w:tabs>
          <w:tab w:val="left" w:pos="709"/>
        </w:tabs>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CC77A7" w:rsidRDefault="00485E5F">
      <w:pPr>
        <w:tabs>
          <w:tab w:val="left" w:pos="709"/>
        </w:tabs>
        <w:spacing w:before="280" w:after="280"/>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“ACTOS CONSENTIDOS. SON LOS QUE NO SE IMPUGNAN MEDIANTE EL RECURSO IDÓNEO. </w:t>
      </w:r>
      <w:r>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el estudio del asunto versará sobre la documentación que dé cuenta del perfil del Administrador, así como los recibos de percepción, aguinaldo y prima vacacional.</w:t>
      </w:r>
    </w:p>
    <w:p w:rsidR="00CC77A7" w:rsidRDefault="00485E5F">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esta tesitura, debe precisarse que </w:t>
      </w:r>
      <w:r>
        <w:rPr>
          <w:rFonts w:ascii="Palatino Linotype" w:eastAsia="Palatino Linotype" w:hAnsi="Palatino Linotype" w:cs="Palatino Linotype"/>
          <w:color w:val="000000"/>
        </w:rPr>
        <w:t xml:space="preserve">el Derecho de Acceso a la Información Pública consiste en que la información solicitada conste en un soporte documental en cualquiera de sus formas, a saber: </w:t>
      </w:r>
      <w:r>
        <w:rPr>
          <w:rFonts w:ascii="Palatino Linotype" w:eastAsia="Palatino Linotype" w:hAnsi="Palatino Linotype" w:cs="Palatino Linotype"/>
        </w:rPr>
        <w:t xml:space="preserve">expedientes, reportes, estudios, actas, resoluciones, oficios, correspondencia, acuerdos, directivas, directrices, circulares, contratos, convenios, instructivos, notas, memorandos, estadísticas, </w:t>
      </w:r>
      <w:r>
        <w:rPr>
          <w:rFonts w:ascii="Palatino Linotype" w:eastAsia="Palatino Linotype" w:hAnsi="Palatino Linotype" w:cs="Palatino Linotype"/>
          <w:b/>
        </w:rPr>
        <w:t>o bien, cualquier otro registro que documente el ejercicio de las facultades, funciones y competencias de los Sujetos Obligados</w:t>
      </w:r>
      <w:r>
        <w:rPr>
          <w:rFonts w:ascii="Palatino Linotype" w:eastAsia="Palatino Linotype" w:hAnsi="Palatino Linotype" w:cs="Palatino Linotype"/>
          <w:color w:val="000000"/>
        </w:rPr>
        <w:t xml:space="preserve">; los que, </w:t>
      </w:r>
      <w:r>
        <w:rPr>
          <w:rFonts w:ascii="Palatino Linotype" w:eastAsia="Palatino Linotype" w:hAnsi="Palatino Linotype" w:cs="Palatino Linotype"/>
        </w:rPr>
        <w:t>podrán estar en cualquier medio, sea escrito, impreso, sonoro, visual, electrónico, informático u holográfico</w:t>
      </w:r>
      <w:r>
        <w:rPr>
          <w:rFonts w:ascii="Palatino Linotype" w:eastAsia="Palatino Linotype" w:hAnsi="Palatino Linotype" w:cs="Palatino Linotype"/>
          <w:color w:val="000000"/>
        </w:rPr>
        <w:t xml:space="preserve">, de conformidad con el artículo 3, fracción XI de la Ley de la materia, el cual dispone lo siguiente: </w:t>
      </w:r>
    </w:p>
    <w:p w:rsidR="00CC77A7" w:rsidRDefault="00CC77A7">
      <w:pPr>
        <w:ind w:left="851" w:right="901"/>
        <w:jc w:val="both"/>
        <w:rPr>
          <w:rFonts w:ascii="Palatino Linotype" w:eastAsia="Palatino Linotype" w:hAnsi="Palatino Linotype" w:cs="Palatino Linotype"/>
          <w:i/>
          <w:color w:val="000000"/>
          <w:sz w:val="22"/>
          <w:szCs w:val="22"/>
        </w:rPr>
      </w:pPr>
    </w:p>
    <w:p w:rsidR="00CC77A7" w:rsidRDefault="00485E5F">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CC77A7" w:rsidRDefault="00485E5F">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CC77A7" w:rsidRDefault="00485E5F">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w:t>
      </w:r>
      <w:r>
        <w:rPr>
          <w:rFonts w:ascii="Palatino Linotype" w:eastAsia="Palatino Linotype" w:hAnsi="Palatino Linotype" w:cs="Palatino Linotype"/>
          <w:b/>
          <w:i/>
          <w:color w:val="000000"/>
          <w:sz w:val="22"/>
          <w:szCs w:val="22"/>
          <w:u w:val="single"/>
        </w:rPr>
        <w:t xml:space="preserve">o bien, cualquier otro registro que documente el ejercicio de las facultades, funciones y competencias de los sujetos obligados, sus servidores públicos e integrantes, sin importar su fuente o fecha de elaboración. Los </w:t>
      </w:r>
      <w:r>
        <w:rPr>
          <w:rFonts w:ascii="Palatino Linotype" w:eastAsia="Palatino Linotype" w:hAnsi="Palatino Linotype" w:cs="Palatino Linotype"/>
          <w:b/>
          <w:i/>
          <w:color w:val="000000"/>
          <w:sz w:val="22"/>
          <w:szCs w:val="22"/>
          <w:u w:val="single"/>
        </w:rPr>
        <w:lastRenderedPageBreak/>
        <w:t>documentos podrán estar en cualquier medio, sea escrito, impreso, sonoro, visual, electrónico, informático u holográfico;</w:t>
      </w:r>
    </w:p>
    <w:p w:rsidR="00CC77A7" w:rsidRDefault="00485E5F">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CC77A7" w:rsidRDefault="00485E5F">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CC77A7" w:rsidRDefault="00CC77A7">
      <w:pPr>
        <w:ind w:left="851" w:right="850"/>
        <w:jc w:val="both"/>
        <w:rPr>
          <w:rFonts w:ascii="Palatino Linotype" w:eastAsia="Palatino Linotype" w:hAnsi="Palatino Linotype" w:cs="Palatino Linotype"/>
          <w:sz w:val="22"/>
          <w:szCs w:val="22"/>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C77A7" w:rsidRDefault="00CC77A7">
      <w:pPr>
        <w:ind w:left="851" w:right="850"/>
        <w:jc w:val="both"/>
        <w:rPr>
          <w:rFonts w:ascii="Palatino Linotype" w:eastAsia="Palatino Linotype" w:hAnsi="Palatino Linotype" w:cs="Palatino Linotype"/>
          <w:sz w:val="20"/>
          <w:szCs w:val="20"/>
        </w:rPr>
      </w:pPr>
    </w:p>
    <w:p w:rsidR="00CC77A7" w:rsidRDefault="00485E5F">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CC77A7" w:rsidRDefault="00485E5F">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C77A7" w:rsidRDefault="00485E5F">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C77A7" w:rsidRDefault="00485E5F">
      <w:pPr>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rsidR="00CC77A7" w:rsidRDefault="00485E5F">
      <w:pPr>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2) Que se trate de información registrada en cualquier soporte documental, que en ejercicio de las atribuciones conferidas, sea administrada por los Sujetos Obligados, y</w:t>
      </w:r>
    </w:p>
    <w:p w:rsidR="00CC77A7" w:rsidRDefault="00485E5F">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3) Que se trate de información registrada en cualquier soporte documental, que en ejercicio de las atribuciones conferidas, se encuentre en posesión de los Sujetos Obligados</w:t>
      </w:r>
      <w:r>
        <w:rPr>
          <w:rFonts w:ascii="Palatino Linotype" w:eastAsia="Palatino Linotype" w:hAnsi="Palatino Linotype" w:cs="Palatino Linotype"/>
          <w:i/>
          <w:sz w:val="22"/>
          <w:szCs w:val="22"/>
        </w:rPr>
        <w:t>.” (Sic)</w:t>
      </w:r>
    </w:p>
    <w:p w:rsidR="00CC77A7" w:rsidRDefault="00CC77A7">
      <w:pPr>
        <w:ind w:left="851" w:right="901"/>
        <w:jc w:val="both"/>
        <w:rPr>
          <w:rFonts w:ascii="Palatino Linotype" w:eastAsia="Palatino Linotype" w:hAnsi="Palatino Linotype" w:cs="Palatino Linotype"/>
          <w:i/>
          <w:sz w:val="22"/>
          <w:szCs w:val="22"/>
        </w:rPr>
      </w:pPr>
    </w:p>
    <w:p w:rsidR="00CC77A7" w:rsidRDefault="00485E5F">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es importante señalar que, de conformidad con el artículo 18 de la Ley de Transparencia y Acceso a la Información Pública del Estado de México y Municipios, </w:t>
      </w:r>
      <w:r>
        <w:rPr>
          <w:rFonts w:ascii="Palatino Linotype" w:eastAsia="Palatino Linotype" w:hAnsi="Palatino Linotype" w:cs="Palatino Linotype"/>
          <w:b/>
          <w:i/>
          <w:u w:val="single"/>
        </w:rPr>
        <w:t>los Sujetos Obligados deben documentar todos sus actos que realicen derivado del ejercicio de sus atribuciones</w:t>
      </w:r>
      <w:r>
        <w:rPr>
          <w:rFonts w:ascii="Palatino Linotype" w:eastAsia="Palatino Linotype" w:hAnsi="Palatino Linotype" w:cs="Palatino Linotype"/>
        </w:rPr>
        <w:t>, como se aprecia de la lectura del precepto legal en comento:</w:t>
      </w:r>
    </w:p>
    <w:p w:rsidR="00CC77A7" w:rsidRDefault="00CC77A7">
      <w:pPr>
        <w:ind w:left="851" w:right="902"/>
        <w:jc w:val="both"/>
        <w:rPr>
          <w:rFonts w:ascii="Palatino Linotype" w:eastAsia="Palatino Linotype" w:hAnsi="Palatino Linotype" w:cs="Palatino Linotype"/>
          <w:b/>
          <w:i/>
          <w:sz w:val="22"/>
          <w:szCs w:val="22"/>
        </w:rPr>
      </w:pPr>
    </w:p>
    <w:p w:rsidR="00CC77A7" w:rsidRDefault="00485E5F">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 </w:t>
      </w:r>
      <w:r>
        <w:rPr>
          <w:rFonts w:ascii="Palatino Linotype" w:eastAsia="Palatino Linotype" w:hAnsi="Palatino Linotype" w:cs="Palatino Linotype"/>
          <w:i/>
          <w:sz w:val="22"/>
          <w:szCs w:val="22"/>
        </w:rPr>
        <w:t xml:space="preserve">Los </w:t>
      </w:r>
      <w:r>
        <w:rPr>
          <w:rFonts w:ascii="Palatino Linotype" w:eastAsia="Palatino Linotype" w:hAnsi="Palatino Linotype" w:cs="Palatino Linotype"/>
          <w:b/>
          <w:i/>
          <w:sz w:val="22"/>
          <w:szCs w:val="22"/>
        </w:rPr>
        <w:t>sujetos obligados deberán documentar todo acto que derive del ejercicio de sus facultades, competencias o funciones, considerando desde su origen la eventual publicidad y reutilización de la información que generen</w:t>
      </w:r>
      <w:r>
        <w:rPr>
          <w:rFonts w:ascii="Palatino Linotype" w:eastAsia="Palatino Linotype" w:hAnsi="Palatino Linotype" w:cs="Palatino Linotype"/>
          <w:i/>
          <w:sz w:val="22"/>
          <w:szCs w:val="22"/>
        </w:rPr>
        <w:t>.” (Sic)</w:t>
      </w:r>
    </w:p>
    <w:p w:rsidR="00CC77A7" w:rsidRDefault="00485E5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misma forma, se cita el contenido del artículo 160 de la Ley General de Transparencia y Acceso a la Información Pública que a la letra dispone:</w:t>
      </w:r>
    </w:p>
    <w:p w:rsidR="00CC77A7" w:rsidRDefault="00485E5F">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(Sic)</w:t>
      </w:r>
    </w:p>
    <w:p w:rsidR="00CC77A7" w:rsidRDefault="00485E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que el Derecho de Acceso a la Información Pública que asiste al particular se estime colmado, deberá hacerse entrega de un documento en el que obre la información requerida, esto, en virtud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generarla por ser parte de sus atribuciones. </w:t>
      </w:r>
      <w:r>
        <w:rPr>
          <w:noProof/>
          <w:lang w:val="es-MX"/>
        </w:rPr>
        <mc:AlternateContent>
          <mc:Choice Requires="wpg">
            <w:drawing>
              <wp:anchor distT="0" distB="0" distL="114300" distR="114300" simplePos="0" relativeHeight="251663360" behindDoc="0" locked="0" layoutInCell="1" hidden="0" allowOverlap="1">
                <wp:simplePos x="0" y="0"/>
                <wp:positionH relativeFrom="column">
                  <wp:posOffset>88901</wp:posOffset>
                </wp:positionH>
                <wp:positionV relativeFrom="paragraph">
                  <wp:posOffset>1143000</wp:posOffset>
                </wp:positionV>
                <wp:extent cx="5105400" cy="2047875"/>
                <wp:effectExtent l="0" t="0" r="0" b="0"/>
                <wp:wrapNone/>
                <wp:docPr id="49" name="Conector recto de flecha 49"/>
                <wp:cNvGraphicFramePr/>
                <a:graphic xmlns:a="http://schemas.openxmlformats.org/drawingml/2006/main">
                  <a:graphicData uri="http://schemas.microsoft.com/office/word/2010/wordprocessingShape">
                    <wps:wsp>
                      <wps:cNvCnPr/>
                      <wps:spPr>
                        <a:xfrm>
                          <a:off x="2798063" y="2760825"/>
                          <a:ext cx="5095875" cy="20383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1143000</wp:posOffset>
                </wp:positionV>
                <wp:extent cx="5105400" cy="2047875"/>
                <wp:effectExtent b="0" l="0" r="0" t="0"/>
                <wp:wrapNone/>
                <wp:docPr id="49"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105400" cy="2047875"/>
                        </a:xfrm>
                        <a:prstGeom prst="rect"/>
                        <a:ln/>
                      </pic:spPr>
                    </pic:pic>
                  </a:graphicData>
                </a:graphic>
              </wp:anchor>
            </w:drawing>
          </mc:Fallback>
        </mc:AlternateContent>
      </w:r>
    </w:p>
    <w:p w:rsidR="00CC77A7" w:rsidRDefault="00CC77A7">
      <w:pPr>
        <w:spacing w:line="360" w:lineRule="auto"/>
        <w:ind w:right="49"/>
        <w:jc w:val="both"/>
        <w:rPr>
          <w:rFonts w:ascii="Palatino Linotype" w:eastAsia="Palatino Linotype" w:hAnsi="Palatino Linotype" w:cs="Palatino Linotype"/>
        </w:rPr>
      </w:pPr>
    </w:p>
    <w:p w:rsidR="00CC77A7" w:rsidRDefault="00CC77A7">
      <w:pPr>
        <w:spacing w:line="360" w:lineRule="auto"/>
        <w:ind w:right="49"/>
        <w:jc w:val="both"/>
        <w:rPr>
          <w:rFonts w:ascii="Palatino Linotype" w:eastAsia="Palatino Linotype" w:hAnsi="Palatino Linotype" w:cs="Palatino Linotype"/>
          <w:b/>
        </w:rPr>
      </w:pPr>
    </w:p>
    <w:p w:rsidR="00CC77A7" w:rsidRDefault="00CC77A7">
      <w:pPr>
        <w:spacing w:line="360" w:lineRule="auto"/>
        <w:ind w:right="49"/>
        <w:jc w:val="both"/>
        <w:rPr>
          <w:rFonts w:ascii="Palatino Linotype" w:eastAsia="Palatino Linotype" w:hAnsi="Palatino Linotype" w:cs="Palatino Linotype"/>
          <w:b/>
        </w:rPr>
      </w:pPr>
    </w:p>
    <w:p w:rsidR="00CC77A7" w:rsidRDefault="00CC77A7">
      <w:pPr>
        <w:spacing w:line="360" w:lineRule="auto"/>
        <w:ind w:right="49"/>
        <w:jc w:val="both"/>
        <w:rPr>
          <w:rFonts w:ascii="Palatino Linotype" w:eastAsia="Palatino Linotype" w:hAnsi="Palatino Linotype" w:cs="Palatino Linotype"/>
          <w:b/>
        </w:rPr>
      </w:pPr>
    </w:p>
    <w:p w:rsidR="00CC77A7" w:rsidRDefault="00CC77A7">
      <w:pPr>
        <w:spacing w:line="360" w:lineRule="auto"/>
        <w:ind w:right="49"/>
        <w:jc w:val="both"/>
        <w:rPr>
          <w:rFonts w:ascii="Palatino Linotype" w:eastAsia="Palatino Linotype" w:hAnsi="Palatino Linotype" w:cs="Palatino Linotype"/>
          <w:b/>
        </w:rPr>
      </w:pPr>
    </w:p>
    <w:p w:rsidR="00CC77A7" w:rsidRDefault="00485E5F">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1.- De los recibos de aguinaldo y prima vacacional de todo el personal que laboró en el año 2021. </w:t>
      </w:r>
    </w:p>
    <w:p w:rsidR="006142EE" w:rsidRDefault="006142EE">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caso,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pronunciamiento en respuesta, no obstante, mediante informe justificado enviado en la plataforma SAIMEX y a través de correo electrónico de la Recurrente, se advierte que remite los archivos electrónicos </w:t>
      </w:r>
      <w:r>
        <w:rPr>
          <w:rFonts w:ascii="Palatino Linotype" w:eastAsia="Palatino Linotype" w:hAnsi="Palatino Linotype" w:cs="Palatino Linotype"/>
          <w:b/>
          <w:i/>
          <w:sz w:val="22"/>
          <w:szCs w:val="22"/>
        </w:rPr>
        <w:t xml:space="preserve">“NOMINA 25 AGUINALDO 2021.pdf”, “NOMINA 25 AGUINALDO SP 2021 (1).pdf”, </w:t>
      </w:r>
      <w:r>
        <w:rPr>
          <w:rFonts w:ascii="Palatino Linotype" w:eastAsia="Palatino Linotype" w:hAnsi="Palatino Linotype" w:cs="Palatino Linotype"/>
        </w:rPr>
        <w:t xml:space="preserve">en los cuales se vislumbran los recibos de pago por concepto de aguinaldo y prima vacacional, tal como se visualiza a continuación: </w:t>
      </w:r>
    </w:p>
    <w:p w:rsidR="00CC77A7" w:rsidRDefault="00485E5F">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sz w:val="22"/>
          <w:szCs w:val="22"/>
          <w:lang w:val="es-MX"/>
        </w:rPr>
        <w:drawing>
          <wp:inline distT="0" distB="0" distL="0" distR="0">
            <wp:extent cx="4055950" cy="4569418"/>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t="5176" r="-7"/>
                    <a:stretch>
                      <a:fillRect/>
                    </a:stretch>
                  </pic:blipFill>
                  <pic:spPr>
                    <a:xfrm>
                      <a:off x="0" y="0"/>
                      <a:ext cx="4055950" cy="4569418"/>
                    </a:xfrm>
                    <a:prstGeom prst="rect">
                      <a:avLst/>
                    </a:prstGeom>
                    <a:ln/>
                  </pic:spPr>
                </pic:pic>
              </a:graphicData>
            </a:graphic>
          </wp:inline>
        </w:drawing>
      </w:r>
    </w:p>
    <w:p w:rsidR="00CC77A7" w:rsidRDefault="00485E5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con el propósito de garantizar el efectivo ejercicio del derecho de acceso a la información pública que asiste al particular, resulta conveniente expresar en primer lugar que del análisis a los recibos remitidos, se testaron diversos datos, como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el departamento al que se encuentran adscritos, </w:t>
      </w:r>
      <w:r>
        <w:rPr>
          <w:rFonts w:ascii="Palatino Linotype" w:eastAsia="Palatino Linotype" w:hAnsi="Palatino Linotype" w:cs="Palatino Linotype"/>
        </w:rPr>
        <w:t xml:space="preserve">el folio digital, Cadena Original del complemento del Certificado Digital del SAT, número de serie del certificado del SAT, fecha y hora de certificación y número de serie del certificado del emisor, sin embargo es importante señalar que dichos datos no debieron clasificarse como confidenciales, lo anterior es así, toda vez que no se encuentran relacionados con información de particulares; sino más bien de un ente público, se afirma lo anterior en virtud de que el </w:t>
      </w:r>
      <w:r>
        <w:rPr>
          <w:rFonts w:ascii="Palatino Linotype" w:eastAsia="Palatino Linotype" w:hAnsi="Palatino Linotype" w:cs="Palatino Linotype"/>
          <w:b/>
          <w:i/>
        </w:rPr>
        <w:t>folio digital</w:t>
      </w:r>
      <w:r>
        <w:rPr>
          <w:rFonts w:ascii="Palatino Linotype" w:eastAsia="Palatino Linotype" w:hAnsi="Palatino Linotype" w:cs="Palatino Linotype"/>
        </w:rPr>
        <w:t xml:space="preserve">, es un atributo compuesto de 36 caracteres, el cual se encuentra relacionado con el timbrado; que el </w:t>
      </w:r>
      <w:r>
        <w:rPr>
          <w:rFonts w:ascii="Palatino Linotype" w:eastAsia="Palatino Linotype" w:hAnsi="Palatino Linotype" w:cs="Palatino Linotype"/>
          <w:b/>
          <w:i/>
        </w:rPr>
        <w:t>número de serie del certificado del SAT</w:t>
      </w:r>
      <w:r>
        <w:rPr>
          <w:rFonts w:ascii="Palatino Linotype" w:eastAsia="Palatino Linotype" w:hAnsi="Palatino Linotype" w:cs="Palatino Linotype"/>
        </w:rPr>
        <w:t xml:space="preserve">, es un atributo requerido usado para generar el sello digital del timbre fiscal digital y que el </w:t>
      </w:r>
      <w:r>
        <w:rPr>
          <w:rFonts w:ascii="Palatino Linotype" w:eastAsia="Palatino Linotype" w:hAnsi="Palatino Linotype" w:cs="Palatino Linotype"/>
          <w:b/>
          <w:i/>
        </w:rPr>
        <w:t>número de serie del certificado del emisor</w:t>
      </w:r>
      <w:r>
        <w:rPr>
          <w:rFonts w:ascii="Palatino Linotype" w:eastAsia="Palatino Linotype" w:hAnsi="Palatino Linotype" w:cs="Palatino Linotype"/>
        </w:rPr>
        <w:t>, es un atributo requerido para expresar la clave del efecto del comprobante fiscal para el contribuyente emisor.</w:t>
      </w:r>
    </w:p>
    <w:p w:rsidR="00CC77A7" w:rsidRDefault="00485E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tiene sustento conforme a lo establecido en el Anexo 20 de la Resolución Miscelánea Fiscal, precisa lo siguiente: </w:t>
      </w:r>
      <w:r>
        <w:rPr>
          <w:noProof/>
          <w:lang w:val="es-MX"/>
        </w:rPr>
        <mc:AlternateContent>
          <mc:Choice Requires="wpg">
            <w:drawing>
              <wp:anchor distT="0" distB="0" distL="114300" distR="114300" simplePos="0" relativeHeight="251664384" behindDoc="0" locked="0" layoutInCell="1" hidden="0" allowOverlap="1">
                <wp:simplePos x="0" y="0"/>
                <wp:positionH relativeFrom="column">
                  <wp:posOffset>114300</wp:posOffset>
                </wp:positionH>
                <wp:positionV relativeFrom="paragraph">
                  <wp:posOffset>520700</wp:posOffset>
                </wp:positionV>
                <wp:extent cx="4933950" cy="2543175"/>
                <wp:effectExtent l="0" t="0" r="0" b="0"/>
                <wp:wrapNone/>
                <wp:docPr id="51" name="Conector recto de flecha 51"/>
                <wp:cNvGraphicFramePr/>
                <a:graphic xmlns:a="http://schemas.openxmlformats.org/drawingml/2006/main">
                  <a:graphicData uri="http://schemas.microsoft.com/office/word/2010/wordprocessingShape">
                    <wps:wsp>
                      <wps:cNvCnPr/>
                      <wps:spPr>
                        <a:xfrm>
                          <a:off x="2883788" y="2513175"/>
                          <a:ext cx="4924425" cy="25336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520700</wp:posOffset>
                </wp:positionV>
                <wp:extent cx="4933950" cy="2543175"/>
                <wp:effectExtent b="0" l="0" r="0" t="0"/>
                <wp:wrapNone/>
                <wp:docPr id="51"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4933950" cy="2543175"/>
                        </a:xfrm>
                        <a:prstGeom prst="rect"/>
                        <a:ln/>
                      </pic:spPr>
                    </pic:pic>
                  </a:graphicData>
                </a:graphic>
              </wp:anchor>
            </w:drawing>
          </mc:Fallback>
        </mc:AlternateContent>
      </w:r>
    </w:p>
    <w:p w:rsidR="00CC77A7" w:rsidRDefault="00CC77A7">
      <w:pPr>
        <w:shd w:val="clear" w:color="auto" w:fill="FFFFFF"/>
        <w:spacing w:line="360" w:lineRule="auto"/>
        <w:jc w:val="both"/>
        <w:rPr>
          <w:rFonts w:ascii="Palatino Linotype" w:eastAsia="Palatino Linotype" w:hAnsi="Palatino Linotype" w:cs="Palatino Linotype"/>
          <w:highlight w:val="yellow"/>
        </w:rPr>
      </w:pPr>
    </w:p>
    <w:p w:rsidR="00CC77A7" w:rsidRDefault="00485E5F">
      <w:pPr>
        <w:shd w:val="clear" w:color="auto" w:fill="FFFFFF"/>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noProof/>
          <w:highlight w:val="yellow"/>
          <w:lang w:val="es-MX"/>
        </w:rPr>
        <w:lastRenderedPageBreak/>
        <w:drawing>
          <wp:inline distT="0" distB="0" distL="0" distR="0">
            <wp:extent cx="4556760" cy="3355246"/>
            <wp:effectExtent l="0" t="0" r="0" b="0"/>
            <wp:docPr id="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4556760" cy="3355246"/>
                    </a:xfrm>
                    <a:prstGeom prst="rect">
                      <a:avLst/>
                    </a:prstGeom>
                    <a:ln/>
                  </pic:spPr>
                </pic:pic>
              </a:graphicData>
            </a:graphic>
          </wp:inline>
        </w:drawing>
      </w:r>
      <w:r>
        <w:rPr>
          <w:noProof/>
          <w:lang w:val="es-MX"/>
        </w:rPr>
        <mc:AlternateContent>
          <mc:Choice Requires="wpg">
            <w:drawing>
              <wp:anchor distT="0" distB="0" distL="114300" distR="114300" simplePos="0" relativeHeight="251665408" behindDoc="0" locked="0" layoutInCell="1" hidden="0" allowOverlap="1">
                <wp:simplePos x="0" y="0"/>
                <wp:positionH relativeFrom="column">
                  <wp:posOffset>-12699</wp:posOffset>
                </wp:positionH>
                <wp:positionV relativeFrom="paragraph">
                  <wp:posOffset>88900</wp:posOffset>
                </wp:positionV>
                <wp:extent cx="4524375" cy="478818"/>
                <wp:effectExtent l="0" t="0" r="0" b="0"/>
                <wp:wrapNone/>
                <wp:docPr id="54" name="Rectángulo redondeado 54"/>
                <wp:cNvGraphicFramePr/>
                <a:graphic xmlns:a="http://schemas.openxmlformats.org/drawingml/2006/main">
                  <a:graphicData uri="http://schemas.microsoft.com/office/word/2010/wordprocessingShape">
                    <wps:wsp>
                      <wps:cNvSpPr/>
                      <wps:spPr>
                        <a:xfrm>
                          <a:off x="3098100" y="3554879"/>
                          <a:ext cx="4495800" cy="450243"/>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rsidR="00CC77A7" w:rsidRDefault="00CC77A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4524375" cy="478818"/>
                <wp:effectExtent b="0" l="0" r="0" t="0"/>
                <wp:wrapNone/>
                <wp:docPr id="54"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4524375" cy="478818"/>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6432" behindDoc="0" locked="0" layoutInCell="1" hidden="0" allowOverlap="1">
                <wp:simplePos x="0" y="0"/>
                <wp:positionH relativeFrom="column">
                  <wp:posOffset>342900</wp:posOffset>
                </wp:positionH>
                <wp:positionV relativeFrom="paragraph">
                  <wp:posOffset>1714500</wp:posOffset>
                </wp:positionV>
                <wp:extent cx="4128135" cy="622935"/>
                <wp:effectExtent l="0" t="0" r="0" b="0"/>
                <wp:wrapNone/>
                <wp:docPr id="47" name="Rectángulo redondeado 47"/>
                <wp:cNvGraphicFramePr/>
                <a:graphic xmlns:a="http://schemas.openxmlformats.org/drawingml/2006/main">
                  <a:graphicData uri="http://schemas.microsoft.com/office/word/2010/wordprocessingShape">
                    <wps:wsp>
                      <wps:cNvSpPr/>
                      <wps:spPr>
                        <a:xfrm rot="10800000" flipH="1">
                          <a:off x="3296220" y="3482820"/>
                          <a:ext cx="4099560" cy="59436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rsidR="00CC77A7" w:rsidRDefault="00CC77A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1714500</wp:posOffset>
                </wp:positionV>
                <wp:extent cx="4128135" cy="622935"/>
                <wp:effectExtent b="0" l="0" r="0" t="0"/>
                <wp:wrapNone/>
                <wp:docPr id="47"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4128135" cy="622935"/>
                        </a:xfrm>
                        <a:prstGeom prst="rect"/>
                        <a:ln/>
                      </pic:spPr>
                    </pic:pic>
                  </a:graphicData>
                </a:graphic>
              </wp:anchor>
            </w:drawing>
          </mc:Fallback>
        </mc:AlternateContent>
      </w:r>
    </w:p>
    <w:p w:rsidR="00CC77A7" w:rsidRDefault="00485E5F">
      <w:pPr>
        <w:shd w:val="clear" w:color="auto" w:fill="FFFFFF"/>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noProof/>
          <w:highlight w:val="yellow"/>
          <w:lang w:val="es-MX"/>
        </w:rPr>
        <w:drawing>
          <wp:inline distT="0" distB="0" distL="0" distR="0">
            <wp:extent cx="4330860" cy="2968593"/>
            <wp:effectExtent l="0" t="0" r="0" b="0"/>
            <wp:docPr id="6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4330860" cy="2968593"/>
                    </a:xfrm>
                    <a:prstGeom prst="rect">
                      <a:avLst/>
                    </a:prstGeom>
                    <a:ln/>
                  </pic:spPr>
                </pic:pic>
              </a:graphicData>
            </a:graphic>
          </wp:inline>
        </w:drawing>
      </w:r>
      <w:r>
        <w:rPr>
          <w:noProof/>
          <w:lang w:val="es-MX"/>
        </w:rPr>
        <mc:AlternateContent>
          <mc:Choice Requires="wpg">
            <w:drawing>
              <wp:anchor distT="0" distB="0" distL="114300" distR="114300" simplePos="0" relativeHeight="251667456" behindDoc="0" locked="0" layoutInCell="1" hidden="0" allowOverlap="1">
                <wp:simplePos x="0" y="0"/>
                <wp:positionH relativeFrom="column">
                  <wp:posOffset>50801</wp:posOffset>
                </wp:positionH>
                <wp:positionV relativeFrom="paragraph">
                  <wp:posOffset>114300</wp:posOffset>
                </wp:positionV>
                <wp:extent cx="4128135" cy="1006585"/>
                <wp:effectExtent l="0" t="0" r="0" b="0"/>
                <wp:wrapNone/>
                <wp:docPr id="52" name="Rectángulo redondeado 52"/>
                <wp:cNvGraphicFramePr/>
                <a:graphic xmlns:a="http://schemas.openxmlformats.org/drawingml/2006/main">
                  <a:graphicData uri="http://schemas.microsoft.com/office/word/2010/wordprocessingShape">
                    <wps:wsp>
                      <wps:cNvSpPr/>
                      <wps:spPr>
                        <a:xfrm rot="10800000" flipH="1">
                          <a:off x="3296220" y="3290995"/>
                          <a:ext cx="4099560" cy="97801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rsidR="00CC77A7" w:rsidRDefault="00CC77A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4128135" cy="1006585"/>
                <wp:effectExtent b="0" l="0" r="0" t="0"/>
                <wp:wrapNone/>
                <wp:docPr id="52"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4128135" cy="1006585"/>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8480" behindDoc="0" locked="0" layoutInCell="1" hidden="0" allowOverlap="1">
                <wp:simplePos x="0" y="0"/>
                <wp:positionH relativeFrom="column">
                  <wp:posOffset>114300</wp:posOffset>
                </wp:positionH>
                <wp:positionV relativeFrom="paragraph">
                  <wp:posOffset>1384300</wp:posOffset>
                </wp:positionV>
                <wp:extent cx="4303395" cy="417195"/>
                <wp:effectExtent l="0" t="0" r="0" b="0"/>
                <wp:wrapNone/>
                <wp:docPr id="55" name="Rectángulo redondeado 55"/>
                <wp:cNvGraphicFramePr/>
                <a:graphic xmlns:a="http://schemas.openxmlformats.org/drawingml/2006/main">
                  <a:graphicData uri="http://schemas.microsoft.com/office/word/2010/wordprocessingShape">
                    <wps:wsp>
                      <wps:cNvSpPr/>
                      <wps:spPr>
                        <a:xfrm rot="10800000" flipH="1">
                          <a:off x="3208590" y="3585690"/>
                          <a:ext cx="4274820" cy="38862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rsidR="00CC77A7" w:rsidRDefault="00CC77A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1384300</wp:posOffset>
                </wp:positionV>
                <wp:extent cx="4303395" cy="417195"/>
                <wp:effectExtent b="0" l="0" r="0" t="0"/>
                <wp:wrapNone/>
                <wp:docPr id="55"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4303395" cy="417195"/>
                        </a:xfrm>
                        <a:prstGeom prst="rect"/>
                        <a:ln/>
                      </pic:spPr>
                    </pic:pic>
                  </a:graphicData>
                </a:graphic>
              </wp:anchor>
            </w:drawing>
          </mc:Fallback>
        </mc:AlternateContent>
      </w:r>
    </w:p>
    <w:p w:rsidR="00CC77A7" w:rsidRDefault="00CC77A7">
      <w:pPr>
        <w:shd w:val="clear" w:color="auto" w:fill="FFFFFF"/>
        <w:spacing w:line="360" w:lineRule="auto"/>
        <w:jc w:val="both"/>
        <w:rPr>
          <w:rFonts w:ascii="Palatino Linotype" w:eastAsia="Palatino Linotype" w:hAnsi="Palatino Linotype" w:cs="Palatino Linotype"/>
          <w:highlight w:val="yellow"/>
        </w:rPr>
      </w:pPr>
    </w:p>
    <w:p w:rsidR="00CC77A7" w:rsidRDefault="00485E5F">
      <w:pPr>
        <w:shd w:val="clear" w:color="auto" w:fill="FFFFFF"/>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noProof/>
          <w:highlight w:val="yellow"/>
          <w:lang w:val="es-MX"/>
        </w:rPr>
        <w:lastRenderedPageBreak/>
        <w:drawing>
          <wp:inline distT="0" distB="0" distL="0" distR="0">
            <wp:extent cx="5128704" cy="1432684"/>
            <wp:effectExtent l="0" t="0" r="0" b="0"/>
            <wp:docPr id="7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128704" cy="1432684"/>
                    </a:xfrm>
                    <a:prstGeom prst="rect">
                      <a:avLst/>
                    </a:prstGeom>
                    <a:ln/>
                  </pic:spPr>
                </pic:pic>
              </a:graphicData>
            </a:graphic>
          </wp:inline>
        </w:drawing>
      </w:r>
      <w:r>
        <w:rPr>
          <w:noProof/>
          <w:lang w:val="es-MX"/>
        </w:rPr>
        <mc:AlternateContent>
          <mc:Choice Requires="wpg">
            <w:drawing>
              <wp:anchor distT="0" distB="0" distL="114300" distR="114300" simplePos="0" relativeHeight="251669504" behindDoc="0" locked="0" layoutInCell="1" hidden="0" allowOverlap="1">
                <wp:simplePos x="0" y="0"/>
                <wp:positionH relativeFrom="column">
                  <wp:posOffset>-12699</wp:posOffset>
                </wp:positionH>
                <wp:positionV relativeFrom="paragraph">
                  <wp:posOffset>0</wp:posOffset>
                </wp:positionV>
                <wp:extent cx="5156835" cy="661035"/>
                <wp:effectExtent l="0" t="0" r="0" b="0"/>
                <wp:wrapNone/>
                <wp:docPr id="48" name="Rectángulo redondeado 48"/>
                <wp:cNvGraphicFramePr/>
                <a:graphic xmlns:a="http://schemas.openxmlformats.org/drawingml/2006/main">
                  <a:graphicData uri="http://schemas.microsoft.com/office/word/2010/wordprocessingShape">
                    <wps:wsp>
                      <wps:cNvSpPr/>
                      <wps:spPr>
                        <a:xfrm>
                          <a:off x="2781870" y="3463770"/>
                          <a:ext cx="5128260" cy="63246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rsidR="00CC77A7" w:rsidRDefault="00CC77A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156835" cy="661035"/>
                <wp:effectExtent b="0" l="0" r="0" t="0"/>
                <wp:wrapNone/>
                <wp:docPr id="48"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5156835" cy="661035"/>
                        </a:xfrm>
                        <a:prstGeom prst="rect"/>
                        <a:ln/>
                      </pic:spPr>
                    </pic:pic>
                  </a:graphicData>
                </a:graphic>
              </wp:anchor>
            </w:drawing>
          </mc:Fallback>
        </mc:AlternateContent>
      </w:r>
    </w:p>
    <w:p w:rsidR="00CC77A7" w:rsidRDefault="00CC77A7">
      <w:pPr>
        <w:shd w:val="clear" w:color="auto" w:fill="FFFFFF"/>
        <w:spacing w:line="360" w:lineRule="auto"/>
        <w:jc w:val="both"/>
        <w:rPr>
          <w:rFonts w:ascii="Palatino Linotype" w:eastAsia="Palatino Linotype" w:hAnsi="Palatino Linotype" w:cs="Palatino Linotype"/>
          <w:highlight w:val="yellow"/>
        </w:rPr>
      </w:pPr>
    </w:p>
    <w:p w:rsidR="00CC77A7" w:rsidRDefault="00485E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el folio digital, es un atributo compuesto de 36 caracteres, el cual se encuentra relacionado con el timbrado; en cuanto al número de serie del certificado del SAT, es un atributo requerido, el cual es usado para generar el sello digital del timbre fiscal digital y por cuanto hace al número de serie del certificado del emisor, este es un atributo requerido para expresar la clave del efecto del comprobante fiscal para el contribuyente emisor; en consecuencia, dichos datos no pueden ser considerados como confidenciales, pues no se encuentra relacionada con información relacionada a particulares; sino más bien de un ente público. </w:t>
      </w:r>
    </w:p>
    <w:p w:rsidR="00CC77A7" w:rsidRDefault="00CC77A7">
      <w:pPr>
        <w:shd w:val="clear" w:color="auto" w:fill="FFFFFF"/>
        <w:spacing w:line="360" w:lineRule="auto"/>
        <w:jc w:val="both"/>
        <w:rPr>
          <w:rFonts w:ascii="Palatino Linotype" w:eastAsia="Palatino Linotype" w:hAnsi="Palatino Linotype" w:cs="Palatino Linotype"/>
        </w:rPr>
      </w:pPr>
    </w:p>
    <w:p w:rsidR="00CC77A7" w:rsidRDefault="00485E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debe traerse a colación del presente estudio que el Sujeto Obligado dejó visible el código QR, al respecto,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w:t>
      </w:r>
      <w:r>
        <w:rPr>
          <w:rFonts w:ascii="Palatino Linotype" w:eastAsia="Palatino Linotype" w:hAnsi="Palatino Linotype" w:cs="Palatino Linotype"/>
        </w:rPr>
        <w:lastRenderedPageBreak/>
        <w:t xml:space="preserve">electrónica </w:t>
      </w:r>
      <w:hyperlink r:id="rId27">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w:t>
      </w:r>
    </w:p>
    <w:p w:rsidR="00CC77A7" w:rsidRDefault="00CC77A7">
      <w:pPr>
        <w:shd w:val="clear" w:color="auto" w:fill="FFFFFF"/>
        <w:spacing w:line="360" w:lineRule="auto"/>
        <w:jc w:val="both"/>
        <w:rPr>
          <w:rFonts w:ascii="Palatino Linotype" w:eastAsia="Palatino Linotype" w:hAnsi="Palatino Linotype" w:cs="Palatino Linotype"/>
        </w:rPr>
      </w:pPr>
    </w:p>
    <w:p w:rsidR="00CC77A7" w:rsidRDefault="00485E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Incluso con la captura de dicho código, a través de la aplicación móvil del Servicio de Administración Tributaria, permite el acceso al Registro Federal de Contribuyentes, como del Sujeto Obligado, como de los servidores públicos. 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sobre este punto, conviene resaltar que si bien, dicho dato fue dejado parcialmente visible en los documentos entregados en informe justificado, este Instituto realizó el escaneado del código QR que se dejó visible en los recibos, obteniendo que  no se logre acceder a la información localizada en este, al estar parcialmente ilegible y en consecuencia, </w:t>
      </w:r>
      <w:r>
        <w:rPr>
          <w:rFonts w:ascii="Palatino Linotype" w:eastAsia="Palatino Linotype" w:hAnsi="Palatino Linotype" w:cs="Palatino Linotype"/>
          <w:b/>
        </w:rPr>
        <w:t>no dirigió a algún dato o información de carácter personal de los servidores públicos</w:t>
      </w:r>
      <w:r>
        <w:rPr>
          <w:rFonts w:ascii="Palatino Linotype" w:eastAsia="Palatino Linotype" w:hAnsi="Palatino Linotype" w:cs="Palatino Linotype"/>
        </w:rPr>
        <w:t xml:space="preserve">, sin embargo, al momento de dar cumplimiento a la presente resolución, el </w:t>
      </w:r>
      <w:r>
        <w:rPr>
          <w:rFonts w:ascii="Palatino Linotype" w:eastAsia="Palatino Linotype" w:hAnsi="Palatino Linotype" w:cs="Palatino Linotype"/>
          <w:b/>
        </w:rPr>
        <w:t>Sujeto Obligado deberá cotejar estos códigos QR y en el supuesto de que los mismos redirijan a algún dato personal de los servidores públicos, deberán clasificarse como confidenciales.</w:t>
      </w:r>
    </w:p>
    <w:p w:rsidR="00CC77A7" w:rsidRDefault="00CC77A7">
      <w:pPr>
        <w:shd w:val="clear" w:color="auto" w:fill="FFFFFF"/>
        <w:spacing w:line="360" w:lineRule="auto"/>
        <w:jc w:val="both"/>
        <w:rPr>
          <w:rFonts w:ascii="Palatino Linotype" w:eastAsia="Palatino Linotype" w:hAnsi="Palatino Linotype" w:cs="Palatino Linotype"/>
        </w:rPr>
      </w:pPr>
    </w:p>
    <w:p w:rsidR="00CC77A7" w:rsidRDefault="00485E5F">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 de suma importancia mencionar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documentación en versión pública pero no adjuntó el Acuerdo del Comité de Transparencia, por tal motivo dicho actuar no está fundado ni </w:t>
      </w:r>
      <w:r>
        <w:rPr>
          <w:rFonts w:ascii="Palatino Linotype" w:eastAsia="Palatino Linotype" w:hAnsi="Palatino Linotype" w:cs="Palatino Linotype"/>
        </w:rPr>
        <w:lastRenderedPageBreak/>
        <w:t>motivado, al no conocer los motivos, razones y circunstancias de hecho y derecho para testar los datos.</w:t>
      </w:r>
    </w:p>
    <w:p w:rsidR="00CC77A7" w:rsidRDefault="00CC77A7">
      <w:pPr>
        <w:shd w:val="clear" w:color="auto" w:fill="FFFFFF"/>
        <w:spacing w:line="360" w:lineRule="auto"/>
        <w:jc w:val="both"/>
        <w:rPr>
          <w:rFonts w:ascii="Palatino Linotype" w:eastAsia="Palatino Linotype" w:hAnsi="Palatino Linotype" w:cs="Palatino Linotype"/>
        </w:rPr>
      </w:pPr>
    </w:p>
    <w:p w:rsidR="00CC77A7" w:rsidRDefault="00485E5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no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hubiese expresado el artículo, fracción, inciso o subinciso de la legislación aplicable a la materia, que establece de manera expresa la naturaleza jurídica de todos y cada uno de los datos contenidos en los recibos de nómina que entregó, lo anterior, con la finalidad de justificar la procedencia de omitirlos o testarlos, en consecuencia, el actuar del Sujeto Obligado </w:t>
      </w:r>
      <w:r>
        <w:rPr>
          <w:rFonts w:ascii="Palatino Linotype" w:eastAsia="Palatino Linotype" w:hAnsi="Palatino Linotype" w:cs="Palatino Linotype"/>
          <w:color w:val="222222"/>
        </w:rPr>
        <w:t xml:space="preserve">carece de fundamentación y motivación, consistentes en la </w:t>
      </w:r>
      <w:r>
        <w:rPr>
          <w:rFonts w:ascii="Palatino Linotype" w:eastAsia="Palatino Linotype" w:hAnsi="Palatino Linotype" w:cs="Palatino Linotype"/>
        </w:rPr>
        <w:t>obligación que tiene todo ente público de expresar los preceptos jurídicos aplicables al asunto motivo del acto y las razones o argumentos de su actuar.</w:t>
      </w: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rsidR="00CC77A7" w:rsidRDefault="00CC77A7">
      <w:pPr>
        <w:jc w:val="both"/>
        <w:rPr>
          <w:rFonts w:ascii="Palatino Linotype" w:eastAsia="Palatino Linotype" w:hAnsi="Palatino Linotype" w:cs="Palatino Linotype"/>
        </w:rPr>
      </w:pPr>
    </w:p>
    <w:p w:rsidR="00CC77A7" w:rsidRDefault="00485E5F">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“FUNDAMENTACION Y MOTIVACION. </w:t>
      </w:r>
      <w:r>
        <w:rPr>
          <w:rFonts w:ascii="Palatino Linotype" w:eastAsia="Palatino Linotype" w:hAnsi="Palatino Linotype" w:cs="Palatino Linotype"/>
          <w:i/>
          <w:sz w:val="22"/>
          <w:szCs w:val="22"/>
        </w:rPr>
        <w:t xml:space="preserve">La </w:t>
      </w:r>
      <w:r>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sz w:val="22"/>
          <w:szCs w:val="22"/>
        </w:rPr>
        <w:t>.</w:t>
      </w:r>
    </w:p>
    <w:p w:rsidR="00CC77A7" w:rsidRDefault="00485E5F">
      <w:pPr>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(Sic)</w:t>
      </w:r>
    </w:p>
    <w:p w:rsidR="00CC77A7" w:rsidRDefault="00CC77A7">
      <w:pPr>
        <w:ind w:left="851" w:right="850"/>
        <w:jc w:val="both"/>
        <w:rPr>
          <w:rFonts w:ascii="Palatino Linotype" w:eastAsia="Palatino Linotype" w:hAnsi="Palatino Linotype" w:cs="Palatino Linotype"/>
          <w:i/>
          <w:sz w:val="22"/>
          <w:szCs w:val="22"/>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w:t>
      </w:r>
      <w:r>
        <w:rPr>
          <w:rFonts w:ascii="Palatino Linotype" w:eastAsia="Palatino Linotype" w:hAnsi="Palatino Linotype" w:cs="Palatino Linotype"/>
          <w:color w:val="222222"/>
        </w:rPr>
        <w:t>expresan</w:t>
      </w:r>
      <w:r>
        <w:rPr>
          <w:rFonts w:ascii="Palatino Linotype" w:eastAsia="Palatino Linotype" w:hAnsi="Palatino Linotype" w:cs="Palatino Linotype"/>
        </w:rPr>
        <w:t xml:space="preserve"> las razones, motivos o circunstancias que tomó en cuenta la autoridad para adecuar el hecho a los fundamentos de derecho.</w:t>
      </w:r>
    </w:p>
    <w:p w:rsidR="00CC77A7" w:rsidRDefault="00CC77A7">
      <w:pPr>
        <w:spacing w:line="360" w:lineRule="auto"/>
        <w:ind w:right="-518"/>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Más aún, a través de diversa jurisprudencia dictada por el </w:t>
      </w:r>
      <w:r>
        <w:rPr>
          <w:rFonts w:ascii="Palatino Linotype" w:eastAsia="Palatino Linotype" w:hAnsi="Palatino Linotype" w:cs="Palatino Linotype"/>
          <w:color w:val="222222"/>
        </w:rPr>
        <w:t>Poder</w:t>
      </w:r>
      <w:r>
        <w:rPr>
          <w:rFonts w:ascii="Palatino Linotype" w:eastAsia="Palatino Linotype" w:hAnsi="Palatino Linotype" w:cs="Palatino Linotype"/>
        </w:rPr>
        <w:t xml:space="preserve"> Judicial de la Federación se sostiene que la finalidad de la fundamentación o motivación es la de explicar, justificar, posibilitar la defensa y comunicar la decisión de la autoridad:</w:t>
      </w:r>
    </w:p>
    <w:p w:rsidR="00CC77A7" w:rsidRDefault="00CC77A7">
      <w:pPr>
        <w:ind w:right="-518"/>
        <w:jc w:val="both"/>
        <w:rPr>
          <w:rFonts w:ascii="Palatino Linotype" w:eastAsia="Palatino Linotype" w:hAnsi="Palatino Linotype" w:cs="Palatino Linotype"/>
        </w:rPr>
      </w:pPr>
    </w:p>
    <w:p w:rsidR="00CC77A7" w:rsidRDefault="00485E5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El contenido formal de la garantía de legalidad prevista en el artículo 16 constitucional relativa a la fundamentación</w:t>
      </w:r>
      <w:r>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.”(Sic)</w:t>
      </w:r>
    </w:p>
    <w:p w:rsidR="00CC77A7" w:rsidRDefault="00CC77A7">
      <w:pPr>
        <w:ind w:left="851" w:right="899"/>
        <w:jc w:val="both"/>
        <w:rPr>
          <w:rFonts w:ascii="Palatino Linotype" w:eastAsia="Palatino Linotype" w:hAnsi="Palatino Linotype" w:cs="Palatino Linotype"/>
          <w:i/>
          <w:sz w:val="22"/>
          <w:szCs w:val="22"/>
        </w:rPr>
      </w:pPr>
    </w:p>
    <w:p w:rsidR="00CC77A7" w:rsidRDefault="00485E5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C77A7" w:rsidRDefault="00CC77A7">
      <w:pPr>
        <w:ind w:right="-518"/>
        <w:jc w:val="both"/>
        <w:rPr>
          <w:rFonts w:ascii="Palatino Linotype" w:eastAsia="Palatino Linotype" w:hAnsi="Palatino Linotype" w:cs="Palatino Linotype"/>
        </w:rPr>
      </w:pP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w:t>
      </w:r>
      <w:r>
        <w:rPr>
          <w:rFonts w:ascii="Palatino Linotype" w:eastAsia="Palatino Linotype" w:hAnsi="Palatino Linotype" w:cs="Palatino Linotype"/>
        </w:rPr>
        <w:lastRenderedPageBreak/>
        <w:t>permitiéndole una real y auténtica defensa, circunstancia que en el presente asunto no sucedió.</w:t>
      </w:r>
    </w:p>
    <w:p w:rsidR="00CC77A7" w:rsidRDefault="00485E5F">
      <w:pPr>
        <w:shd w:val="clear" w:color="auto" w:fill="FFFFFF"/>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no se debe perder de vista que la clasificación es el proceso mediante el cual el sujeto obligado determina que la información en su poder actualiza alguno de los supuestos de confidencialidad, los cuales deberán ser acordes con las bases, principios y disposiciones establecidos en la Ley General de Transparencia, al respecto, conviene referir que la Ley de Transparencia vigente en el Estado de México establece:</w:t>
      </w:r>
    </w:p>
    <w:p w:rsidR="00CC77A7" w:rsidRDefault="00CC77A7">
      <w:pPr>
        <w:shd w:val="clear" w:color="auto" w:fill="FFFFFF"/>
        <w:spacing w:line="360" w:lineRule="auto"/>
        <w:jc w:val="both"/>
        <w:rPr>
          <w:b/>
        </w:rPr>
      </w:pPr>
    </w:p>
    <w:p w:rsidR="00CC77A7" w:rsidRDefault="00485E5F">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Pr>
          <w:rFonts w:ascii="Palatino Linotype" w:eastAsia="Palatino Linotype" w:hAnsi="Palatino Linotype" w:cs="Palatino Linotype"/>
          <w:i/>
          <w:sz w:val="22"/>
          <w:szCs w:val="22"/>
        </w:rPr>
        <w:t xml:space="preserve"> previstos en esta Ley </w:t>
      </w:r>
      <w:r>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Pr>
          <w:rFonts w:ascii="Palatino Linotype" w:eastAsia="Palatino Linotype" w:hAnsi="Palatino Linotype" w:cs="Palatino Linotype"/>
          <w:i/>
          <w:sz w:val="22"/>
          <w:szCs w:val="22"/>
        </w:rPr>
        <w:t>, de conformidad con lo previsto en la presente Ley.</w:t>
      </w:r>
    </w:p>
    <w:p w:rsidR="00CC77A7" w:rsidRDefault="00CC77A7">
      <w:pPr>
        <w:shd w:val="clear" w:color="auto" w:fill="FFFFFF"/>
        <w:ind w:left="851" w:right="851"/>
        <w:jc w:val="both"/>
        <w:rPr>
          <w:rFonts w:ascii="Palatino Linotype" w:eastAsia="Palatino Linotype" w:hAnsi="Palatino Linotype" w:cs="Palatino Linotype"/>
          <w:b/>
          <w:i/>
          <w:sz w:val="22"/>
          <w:szCs w:val="22"/>
        </w:rPr>
      </w:pPr>
    </w:p>
    <w:p w:rsidR="00CC77A7" w:rsidRDefault="00485E5F">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clasificación de la información se llevará a cabo</w:t>
      </w:r>
      <w:r>
        <w:rPr>
          <w:rFonts w:ascii="Palatino Linotype" w:eastAsia="Palatino Linotype" w:hAnsi="Palatino Linotype" w:cs="Palatino Linotype"/>
          <w:i/>
          <w:sz w:val="22"/>
          <w:szCs w:val="22"/>
        </w:rPr>
        <w:t xml:space="preserve"> en el momento en que:</w:t>
      </w:r>
    </w:p>
    <w:p w:rsidR="00CC77A7" w:rsidRDefault="00485E5F">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reciba una solicitud de acceso a la información</w:t>
      </w:r>
      <w:r>
        <w:rPr>
          <w:rFonts w:ascii="Palatino Linotype" w:eastAsia="Palatino Linotype" w:hAnsi="Palatino Linotype" w:cs="Palatino Linotype"/>
          <w:i/>
          <w:sz w:val="22"/>
          <w:szCs w:val="22"/>
        </w:rPr>
        <w:t>;</w:t>
      </w:r>
    </w:p>
    <w:p w:rsidR="00CC77A7" w:rsidRDefault="00485E5F">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CC77A7" w:rsidRDefault="00485E5F">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CC77A7" w:rsidRDefault="00CC77A7">
      <w:pPr>
        <w:shd w:val="clear" w:color="auto" w:fill="FFFFFF"/>
        <w:ind w:left="851" w:right="851"/>
        <w:jc w:val="both"/>
        <w:rPr>
          <w:rFonts w:ascii="Palatino Linotype" w:eastAsia="Palatino Linotype" w:hAnsi="Palatino Linotype" w:cs="Palatino Linotype"/>
          <w:i/>
          <w:sz w:val="22"/>
          <w:szCs w:val="22"/>
        </w:rPr>
      </w:pPr>
    </w:p>
    <w:p w:rsidR="00CC77A7" w:rsidRDefault="00485E5F">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rsidR="00CC77A7" w:rsidRDefault="00CC77A7">
      <w:pPr>
        <w:shd w:val="clear" w:color="auto" w:fill="FFFFFF"/>
        <w:ind w:left="851" w:right="851"/>
        <w:jc w:val="both"/>
        <w:rPr>
          <w:rFonts w:ascii="Palatino Linotype" w:eastAsia="Palatino Linotype" w:hAnsi="Palatino Linotype" w:cs="Palatino Linotype"/>
          <w:i/>
          <w:sz w:val="22"/>
          <w:szCs w:val="22"/>
        </w:rPr>
      </w:pPr>
    </w:p>
    <w:p w:rsidR="00CC77A7" w:rsidRDefault="00485E5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no podrán emitir acuerdos de carácter general</w:t>
      </w:r>
      <w:r>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CC77A7" w:rsidRDefault="00CC77A7">
      <w:pPr>
        <w:ind w:left="851" w:right="851"/>
        <w:jc w:val="both"/>
        <w:rPr>
          <w:rFonts w:ascii="Palatino Linotype" w:eastAsia="Palatino Linotype" w:hAnsi="Palatino Linotype" w:cs="Palatino Linotype"/>
          <w:i/>
          <w:sz w:val="22"/>
          <w:szCs w:val="22"/>
        </w:rPr>
      </w:pPr>
    </w:p>
    <w:p w:rsidR="00CC77A7" w:rsidRDefault="00485E5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En ningún caso se podrán clasificar documentos antes de que se genere la información</w:t>
      </w:r>
      <w:r>
        <w:rPr>
          <w:rFonts w:ascii="Palatino Linotype" w:eastAsia="Palatino Linotype" w:hAnsi="Palatino Linotype" w:cs="Palatino Linotype"/>
          <w:i/>
          <w:sz w:val="22"/>
          <w:szCs w:val="22"/>
        </w:rPr>
        <w:t>.</w:t>
      </w:r>
    </w:p>
    <w:p w:rsidR="00CC77A7" w:rsidRDefault="00CC77A7">
      <w:pPr>
        <w:ind w:left="851" w:right="851"/>
        <w:jc w:val="both"/>
        <w:rPr>
          <w:rFonts w:ascii="Palatino Linotype" w:eastAsia="Palatino Linotype" w:hAnsi="Palatino Linotype" w:cs="Palatino Linotype"/>
          <w:i/>
          <w:sz w:val="22"/>
          <w:szCs w:val="22"/>
        </w:rPr>
      </w:pPr>
    </w:p>
    <w:p w:rsidR="00CC77A7" w:rsidRDefault="00485E5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rsidR="00CC77A7" w:rsidRDefault="00CC77A7">
      <w:pPr>
        <w:ind w:left="851" w:right="851"/>
        <w:jc w:val="both"/>
        <w:rPr>
          <w:rFonts w:ascii="Palatino Linotype" w:eastAsia="Palatino Linotype" w:hAnsi="Palatino Linotype" w:cs="Palatino Linotype"/>
          <w:b/>
          <w:i/>
          <w:sz w:val="22"/>
          <w:szCs w:val="22"/>
        </w:rPr>
      </w:pPr>
    </w:p>
    <w:p w:rsidR="00CC77A7" w:rsidRDefault="00485E5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CC77A7" w:rsidRDefault="00CC77A7">
      <w:pPr>
        <w:ind w:left="851" w:right="851"/>
        <w:jc w:val="both"/>
        <w:rPr>
          <w:rFonts w:ascii="Palatino Linotype" w:eastAsia="Palatino Linotype" w:hAnsi="Palatino Linotype" w:cs="Palatino Linotype"/>
          <w:i/>
          <w:sz w:val="22"/>
          <w:szCs w:val="22"/>
        </w:rPr>
      </w:pPr>
    </w:p>
    <w:p w:rsidR="00CC77A7" w:rsidRDefault="00485E5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CC77A7" w:rsidRDefault="00CC77A7">
      <w:pPr>
        <w:ind w:left="851" w:right="851"/>
        <w:jc w:val="both"/>
        <w:rPr>
          <w:rFonts w:ascii="Palatino Linotype" w:eastAsia="Palatino Linotype" w:hAnsi="Palatino Linotype" w:cs="Palatino Linotype"/>
          <w:i/>
          <w:sz w:val="22"/>
          <w:szCs w:val="22"/>
        </w:rPr>
      </w:pP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normatividad se aprecia que l</w:t>
      </w:r>
      <w:r>
        <w:rPr>
          <w:rFonts w:ascii="Palatino Linotype" w:eastAsia="Palatino Linotype" w:hAnsi="Palatino Linotype" w:cs="Palatino Linotype"/>
          <w:b/>
        </w:rPr>
        <w:t xml:space="preserve">a </w:t>
      </w:r>
      <w:r>
        <w:rPr>
          <w:rFonts w:ascii="Palatino Linotype" w:eastAsia="Palatino Linotype" w:hAnsi="Palatino Linotype" w:cs="Palatino Linotype"/>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Pr>
          <w:rFonts w:ascii="Palatino Linotype" w:eastAsia="Palatino Linotype" w:hAnsi="Palatino Linotype" w:cs="Palatino Linotype"/>
          <w:i/>
        </w:rPr>
        <w:t>se reciba una solicitud de acceso a la información;</w:t>
      </w:r>
      <w:r>
        <w:rPr>
          <w:rFonts w:ascii="Palatino Linotype" w:eastAsia="Palatino Linotype" w:hAnsi="Palatino Linotype" w:cs="Palatino Linotype"/>
        </w:rPr>
        <w:t xml:space="preserve"> </w:t>
      </w:r>
      <w:r>
        <w:rPr>
          <w:rFonts w:ascii="Palatino Linotype" w:eastAsia="Palatino Linotype" w:hAnsi="Palatino Linotype" w:cs="Palatino Linotype"/>
          <w:i/>
        </w:rPr>
        <w:t>determine mediante resolución de autoridad competente; o</w:t>
      </w:r>
      <w:r>
        <w:rPr>
          <w:rFonts w:ascii="Palatino Linotype" w:eastAsia="Palatino Linotype" w:hAnsi="Palatino Linotype" w:cs="Palatino Linotype"/>
        </w:rPr>
        <w:t xml:space="preserve"> </w:t>
      </w:r>
      <w:r>
        <w:rPr>
          <w:rFonts w:ascii="Palatino Linotype" w:eastAsia="Palatino Linotype" w:hAnsi="Palatino Linotype" w:cs="Palatino Linotype"/>
          <w:i/>
        </w:rPr>
        <w:t>generen versiones públicas para dar cumplimiento a las obligaciones de transparencia,</w:t>
      </w:r>
      <w:r>
        <w:rPr>
          <w:rFonts w:ascii="Palatino Linotype" w:eastAsia="Palatino Linotype" w:hAnsi="Palatino Linotype" w:cs="Palatino Linotype"/>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Sujeto Obligado.</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y con la finalidad de garantizar el pleno ejercicio del derecho de acceso a la información pública del recurrente, se considera pertinente ordenar la entrega de los recibos de nómina en una adecuada versión pública, toda vez que no se debe perder de vista que el artículo 2 de la Ley de Protección de Datos </w:t>
      </w:r>
      <w:r>
        <w:rPr>
          <w:rFonts w:ascii="Palatino Linotype" w:eastAsia="Palatino Linotype" w:hAnsi="Palatino Linotype" w:cs="Palatino Linotype"/>
        </w:rPr>
        <w:lastRenderedPageBreak/>
        <w:t>Personales en Posesión de Sujetos Obligados del Estado de México y Municipios, señala cuales son las finalidades de la ley, y una de ellas es la contenida en la “</w:t>
      </w:r>
      <w:r>
        <w:rPr>
          <w:rFonts w:ascii="Palatino Linotype" w:eastAsia="Palatino Linotype" w:hAnsi="Palatino Linotype" w:cs="Palatino Linotype"/>
          <w:i/>
        </w:rPr>
        <w:t>fracción IV. Proteger los datos personales en posesión de los sujetos obligados del Estado de México y municipios a los que se refiere esta Ley, con la finalidad de regular su debido tratamiento.”(Sic)</w:t>
      </w:r>
      <w:r>
        <w:rPr>
          <w:rFonts w:ascii="Palatino Linotype" w:eastAsia="Palatino Linotype" w:hAnsi="Palatino Linotype" w:cs="Palatino Linotype"/>
        </w:rPr>
        <w:t xml:space="preserve">. </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se concluye que se considera pertinente,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la entrega de los recibos generados por el concepto de pago de aguinaldo y prima vacacional de los servidores públicos que laboraron en el ejercicio fiscal 2021.</w:t>
      </w:r>
    </w:p>
    <w:p w:rsidR="00CC77A7" w:rsidRDefault="00485E5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2.- De los recibos de percepciones y perfil del administrador</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iniciar el estudio de este apartado, debe precisarse quién es el administrador, para ello, resulta pertinente citar a Garciacastillo y Cruz, quien señala que el administrador es </w:t>
      </w:r>
      <w:r>
        <w:rPr>
          <w:rFonts w:ascii="Palatino Linotype" w:eastAsia="Palatino Linotype" w:hAnsi="Palatino Linotype" w:cs="Palatino Linotype"/>
          <w:b/>
        </w:rPr>
        <w:t>un empleado, con más o menos facultades decisorias, pero</w:t>
      </w:r>
      <w:r>
        <w:rPr>
          <w:rFonts w:ascii="Palatino Linotype" w:eastAsia="Palatino Linotype" w:hAnsi="Palatino Linotype" w:cs="Palatino Linotype"/>
        </w:rPr>
        <w:t xml:space="preserve"> </w:t>
      </w:r>
      <w:r>
        <w:rPr>
          <w:rFonts w:ascii="Palatino Linotype" w:eastAsia="Palatino Linotype" w:hAnsi="Palatino Linotype" w:cs="Palatino Linotype"/>
          <w:b/>
        </w:rPr>
        <w:t>siempre con funciones directivas, gerenciales, de jefaturas o supervisión, sobre el resto del personal, sobre inmuebles, valores o sobre actividades determinadas</w:t>
      </w:r>
      <w:r>
        <w:rPr>
          <w:rFonts w:ascii="Palatino Linotype" w:eastAsia="Palatino Linotype" w:hAnsi="Palatino Linotype" w:cs="Palatino Linotype"/>
          <w:b/>
          <w:vertAlign w:val="superscript"/>
        </w:rPr>
        <w:footnoteReference w:id="1"/>
      </w:r>
      <w:r>
        <w:rPr>
          <w:rFonts w:ascii="Palatino Linotype" w:eastAsia="Palatino Linotype" w:hAnsi="Palatino Linotype" w:cs="Palatino Linotype"/>
        </w:rPr>
        <w:t xml:space="preserve">. De ahí que se estime que el requerimiento de la particular versaba sobre el encargado de ejecutar las decisiones sobre el personal, valores o actividades determinadas, es decir, el Director de Administración o su unidad administrativa al interior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para mejor proveer del asunto, resulta importante aplicar la suplencia en favor de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a efecto </w:t>
      </w:r>
      <w:r>
        <w:rPr>
          <w:rFonts w:ascii="Palatino Linotype" w:eastAsia="Palatino Linotype" w:hAnsi="Palatino Linotype" w:cs="Palatino Linotype"/>
        </w:rPr>
        <w:lastRenderedPageBreak/>
        <w:t xml:space="preserve">de que se realice una búsqueda exhaustiva en los archivos de las unidades competentes y se ordene la entrega de los soportes documentales en los que conste la información requerida, si bien es cierto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requirió los recibos de percepciones y perfil del administrador, también es dable que no debe ser experta en la materia para conocer la denominación correcta de las áreas que conforman la administración pública municipal, por lo que en aras de proteger el derecho de acceso a la información pública que le asiste es que se invoca este precepto para efecto de suplir la deficiencia y ordenar </w:t>
      </w:r>
      <w:r>
        <w:rPr>
          <w:rFonts w:ascii="Palatino Linotype" w:eastAsia="Palatino Linotype" w:hAnsi="Palatino Linotype" w:cs="Palatino Linotype"/>
          <w:b/>
        </w:rPr>
        <w:t>los recibos de nómina, así como los documentos en los que conste el perfil del Director de Administración</w:t>
      </w:r>
      <w:r>
        <w:rPr>
          <w:rFonts w:ascii="Palatino Linotype" w:eastAsia="Palatino Linotype" w:hAnsi="Palatino Linotype" w:cs="Palatino Linotype"/>
        </w:rPr>
        <w:t xml:space="preserve"> </w:t>
      </w:r>
      <w:r>
        <w:rPr>
          <w:rFonts w:ascii="Palatino Linotype" w:eastAsia="Palatino Linotype" w:hAnsi="Palatino Linotype" w:cs="Palatino Linotype"/>
          <w:b/>
        </w:rPr>
        <w:t>o su equivalente</w:t>
      </w:r>
      <w:r>
        <w:rPr>
          <w:rFonts w:ascii="Palatino Linotype" w:eastAsia="Palatino Linotype" w:hAnsi="Palatino Linotype" w:cs="Palatino Linotype"/>
        </w:rPr>
        <w:t>, esta facultad de este Órgano Garante se encuentra prevista en los artículos 13 y párrafo cuarto del 181 de la Ley de Transparencia y Acceso a la Información Pública del Estado de México y Municipios, como se observa a continuación:</w:t>
      </w:r>
    </w:p>
    <w:p w:rsidR="00CC77A7" w:rsidRDefault="00485E5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w:t>
      </w:r>
      <w:r>
        <w:rPr>
          <w:rFonts w:ascii="Palatino Linotype" w:eastAsia="Palatino Linotype" w:hAnsi="Palatino Linotype" w:cs="Palatino Linotype"/>
          <w:i/>
          <w:sz w:val="22"/>
          <w:szCs w:val="22"/>
        </w:rPr>
        <w:t xml:space="preserve"> El Instituto, en el ámbito de sus atribuciones, deberá suplir cualquier deficiencia para garantizar el ejercicio del derecho de acceso a la información.</w:t>
      </w:r>
    </w:p>
    <w:p w:rsidR="00CC77A7" w:rsidRDefault="00485E5F">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181.</w:t>
      </w:r>
    </w:p>
    <w:p w:rsidR="00CC77A7" w:rsidRDefault="00485E5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C77A7" w:rsidRDefault="00485E5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CC77A7" w:rsidRDefault="00CC77A7">
      <w:pPr>
        <w:spacing w:line="276" w:lineRule="auto"/>
        <w:ind w:right="707"/>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otro orden de ideas, por cuanto hace a los recibos de nómina, el artículo 147 de la Constitución Política del Estado Libre y Soberano de México, que establece que los trabajadores al servicio del Estado, como los miembros de los Ayuntamientos, recibirán una remuneración adecuada e irrenunciable por el desempeño de su </w:t>
      </w:r>
      <w:r>
        <w:rPr>
          <w:rFonts w:ascii="Palatino Linotype" w:eastAsia="Palatino Linotype" w:hAnsi="Palatino Linotype" w:cs="Palatino Linotype"/>
        </w:rPr>
        <w:lastRenderedPageBreak/>
        <w:t xml:space="preserve">empleo, cargo o comisión, que será determinada en el presupuesto de egresos que corresponda. </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esta tesitura,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Además, los Manuales para la Formulación del Anteproyecto de Presupuesto de Egresos del Gobierno del Estado de México, para los ejercicios fiscales dos mil veinte y dos mil veintiuno, establecen, que el capítulo </w:t>
      </w:r>
      <w:r>
        <w:rPr>
          <w:rFonts w:ascii="Palatino Linotype" w:eastAsia="Palatino Linotype" w:hAnsi="Palatino Linotype" w:cs="Palatino Linotype"/>
          <w:b/>
        </w:rPr>
        <w:t>1000 Servicios Personales</w:t>
      </w:r>
      <w:r>
        <w:rPr>
          <w:rFonts w:ascii="Palatino Linotype" w:eastAsia="Palatino Linotype" w:hAnsi="Palatino Linotype" w:cs="Palatino Linotype"/>
        </w:rPr>
        <w:t>,</w:t>
      </w:r>
      <w:r>
        <w:rPr>
          <w:rFonts w:ascii="Palatino Linotype" w:eastAsia="Palatino Linotype" w:hAnsi="Palatino Linotype" w:cs="Palatino Linotype"/>
          <w:b/>
        </w:rPr>
        <w:t xml:space="preserve"> agrupa las remuneraciones al personal que está al servicio del Estado, así como las cuotas y aportaciones a favor de las instituciones de seguridad social, derivadas de los servicios que esas instituciones prestan al personal.</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Pr>
          <w:rFonts w:ascii="Palatino Linotype" w:eastAsia="Palatino Linotype" w:hAnsi="Palatino Linotype" w:cs="Palatino Linotype"/>
          <w:b/>
        </w:rPr>
        <w:t>recibos de pago de salarios o las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constancias documentales del pago de sueldos, </w:t>
      </w:r>
      <w:r>
        <w:rPr>
          <w:rFonts w:ascii="Palatino Linotype" w:eastAsia="Palatino Linotype" w:hAnsi="Palatino Linotype" w:cs="Palatino Linotype"/>
        </w:rPr>
        <w:t>cuando sea por depósito o mediante información electrónica; así como los recibos o constancias de depósito o del medio de información magnética o electrónica que sean utilizadas para el pago de salarios, prima vacacional, aguinaldo y demás prestaciones.</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CC77A7" w:rsidRDefault="00CC77A7">
      <w:pPr>
        <w:spacing w:line="360" w:lineRule="auto"/>
        <w:jc w:val="both"/>
        <w:rPr>
          <w:rFonts w:ascii="Palatino Linotype" w:eastAsia="Palatino Linotype" w:hAnsi="Palatino Linotype" w:cs="Palatino Linotype"/>
        </w:rPr>
      </w:pPr>
    </w:p>
    <w:p w:rsidR="00CC77A7" w:rsidRDefault="00485E5F">
      <w:pPr>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“RECIBOS DE PAGO</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Pr>
          <w:rFonts w:ascii="Palatino Linotype" w:eastAsia="Palatino Linotype" w:hAnsi="Palatino Linotype" w:cs="Palatino Linotype"/>
          <w:i/>
          <w:sz w:val="20"/>
          <w:szCs w:val="20"/>
        </w:rPr>
        <w:t xml:space="preserve">En </w:t>
      </w:r>
      <w:r>
        <w:rPr>
          <w:rFonts w:ascii="Palatino Linotype" w:eastAsia="Palatino Linotype" w:hAnsi="Palatino Linotype" w:cs="Palatino Linotype"/>
          <w:i/>
          <w:sz w:val="20"/>
          <w:szCs w:val="20"/>
        </w:rPr>
        <w:lastRenderedPageBreak/>
        <w:t>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rsidR="00CC77A7" w:rsidRDefault="00CC77A7">
      <w:pPr>
        <w:spacing w:line="360" w:lineRule="auto"/>
        <w:jc w:val="both"/>
        <w:rPr>
          <w:rFonts w:ascii="Palatino Linotype" w:eastAsia="Palatino Linotype" w:hAnsi="Palatino Linotype" w:cs="Palatino Linotype"/>
          <w:b/>
          <w:i/>
          <w:sz w:val="22"/>
          <w:szCs w:val="22"/>
        </w:rPr>
      </w:pP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tesis transcrita, se desprende que </w:t>
      </w:r>
      <w:r>
        <w:rPr>
          <w:rFonts w:ascii="Palatino Linotype" w:eastAsia="Palatino Linotype" w:hAnsi="Palatino Linotype" w:cs="Palatino Linotype"/>
          <w:b/>
        </w:rPr>
        <w:t>en materia burocrática</w:t>
      </w:r>
      <w:r>
        <w:rPr>
          <w:rFonts w:ascii="Palatino Linotype" w:eastAsia="Palatino Linotype" w:hAnsi="Palatino Linotype" w:cs="Palatino Linotype"/>
        </w:rPr>
        <w:t xml:space="preserve"> </w:t>
      </w:r>
      <w:r>
        <w:rPr>
          <w:rFonts w:ascii="Palatino Linotype" w:eastAsia="Palatino Linotype" w:hAnsi="Palatino Linotype" w:cs="Palatino Linotype"/>
          <w:b/>
        </w:rPr>
        <w:t>los recibos de pago acreditan los conceptos y montos que en ellos se insertan</w:t>
      </w:r>
      <w:r>
        <w:rPr>
          <w:rFonts w:ascii="Palatino Linotype" w:eastAsia="Palatino Linotype" w:hAnsi="Palatino Linotype" w:cs="Palatino Linotype"/>
        </w:rPr>
        <w:t xml:space="preserve">, y constituyen prueba para demostrar las percepciones y montos que reciben los servidores públicos. </w:t>
      </w:r>
    </w:p>
    <w:p w:rsidR="00CC77A7" w:rsidRDefault="00CC77A7">
      <w:pPr>
        <w:spacing w:line="360" w:lineRule="auto"/>
        <w:jc w:val="both"/>
        <w:rPr>
          <w:rFonts w:ascii="Palatino Linotype" w:eastAsia="Palatino Linotype" w:hAnsi="Palatino Linotype" w:cs="Palatino Linotype"/>
        </w:rPr>
      </w:pPr>
    </w:p>
    <w:p w:rsidR="00CC77A7" w:rsidRDefault="00485E5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ese orden de ideas, las Políticas para la Integración del Informe Trimestral de los Sujetos de Fiscalización Municipales para el ejercicio fiscal dos mil veintiuno, entre los formatos que maneja en el </w:t>
      </w:r>
      <w:r>
        <w:rPr>
          <w:rFonts w:ascii="Palatino Linotype" w:eastAsia="Palatino Linotype" w:hAnsi="Palatino Linotype" w:cs="Palatino Linotype"/>
          <w:b/>
        </w:rPr>
        <w:t>Módulo 4</w:t>
      </w:r>
      <w:r>
        <w:rPr>
          <w:rFonts w:ascii="Palatino Linotype" w:eastAsia="Palatino Linotype" w:hAnsi="Palatino Linotype" w:cs="Palatino Linotype"/>
        </w:rPr>
        <w:t>, se advierte que se encuentran los Comprobantes Fiscales Digitales por Internet por concepto de Nómina, mismos que serán entregados al Órgano Superior de Fiscalización del Estado de México, que contiene todas las percepciones y deducciones que recibe cada servidor público.</w:t>
      </w:r>
    </w:p>
    <w:p w:rsidR="00CC77A7" w:rsidRDefault="00485E5F">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logra advertir que la pretensión del hoy Recurrente es obtener los recibos de nómina del Director de Administración o unidad equivalente, no obstante,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fue omisa en señalar la temporalidad de la que requería la información por lo que deberán entregarse los recibos de nómina del Director de Administración o su titular equivalente, generados </w:t>
      </w:r>
      <w:r>
        <w:rPr>
          <w:rFonts w:ascii="Palatino Linotype" w:eastAsia="Palatino Linotype" w:hAnsi="Palatino Linotype" w:cs="Palatino Linotype"/>
        </w:rPr>
        <w:lastRenderedPageBreak/>
        <w:t>durante la primera y segunda quincena del mes de diciembre de dos mil veintiuno.</w:t>
      </w:r>
    </w:p>
    <w:p w:rsidR="00CC77A7" w:rsidRDefault="00485E5F">
      <w:pPr>
        <w:spacing w:before="240" w:after="240" w:line="360" w:lineRule="auto"/>
        <w:ind w:right="5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 Finalmente, por lo que </w:t>
      </w:r>
      <w:r>
        <w:rPr>
          <w:rFonts w:ascii="Palatino Linotype" w:eastAsia="Palatino Linotype" w:hAnsi="Palatino Linotype" w:cs="Palatino Linotype"/>
          <w:color w:val="000000"/>
        </w:rPr>
        <w:t xml:space="preserve">respecta al perfil del director de administración o su equivalente, la Ley del Trabajo de los Servidores Públicos del Estado y Municipios, en su artículo 1, señala que es de orden público e interés social, y tiene por objeto regular las relaciones de trabajo, comprendidas entre los poderes públicos del Estado y los Municipios y sus respectivos servidores públicos; por ende, serán sujetos de la Ley, los servidores públicos y las instituciones públicas del Estado de México. </w:t>
      </w:r>
    </w:p>
    <w:p w:rsidR="00CC77A7" w:rsidRDefault="00485E5F">
      <w:pPr>
        <w:spacing w:before="240" w:after="240" w:line="360" w:lineRule="auto"/>
        <w:ind w:right="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Siendo de especial interés lo dispuesto por el Título Cuarto de la Ley en comento, pues en su artículo 98 establece las obligaciones de las instituciones públicas, entre las que destaca:</w:t>
      </w:r>
    </w:p>
    <w:p w:rsidR="00CC77A7" w:rsidRDefault="00485E5F">
      <w:pPr>
        <w:spacing w:before="240"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98. Son obligaciones de las instituciones públicas:</w:t>
      </w:r>
    </w:p>
    <w:p w:rsidR="00CC77A7" w:rsidRDefault="00485E5F">
      <w:pPr>
        <w:spacing w:before="240"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CC77A7" w:rsidRDefault="00485E5F">
      <w:pPr>
        <w:spacing w:before="240"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w:t>
      </w:r>
      <w:r>
        <w:rPr>
          <w:rFonts w:ascii="Palatino Linotype" w:eastAsia="Palatino Linotype" w:hAnsi="Palatino Linotype" w:cs="Palatino Linotype"/>
          <w:b/>
          <w:i/>
          <w:color w:val="000000"/>
          <w:sz w:val="22"/>
          <w:szCs w:val="22"/>
        </w:rPr>
        <w:t>Elaborar un catálogo general de puestos</w:t>
      </w:r>
      <w:r>
        <w:rPr>
          <w:rFonts w:ascii="Palatino Linotype" w:eastAsia="Palatino Linotype" w:hAnsi="Palatino Linotype" w:cs="Palatino Linotype"/>
          <w:i/>
          <w:color w:val="000000"/>
          <w:sz w:val="22"/>
          <w:szCs w:val="22"/>
        </w:rPr>
        <w:t xml:space="preserve"> y un tabulador anual de remuneraciones, tomando en consideración los objetivos de las instituciones públicas, las funciones, actividades y tareas de los servidores públicos, así como la cantidad, calidad y responsabilidad del trabajo; el tabulador deberá respetar las medidas de protección al salario establecidas en la presente ley;”</w:t>
      </w:r>
    </w:p>
    <w:p w:rsidR="00CC77A7" w:rsidRDefault="00485E5F">
      <w:pPr>
        <w:spacing w:before="240"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CC77A7" w:rsidRDefault="00485E5F">
      <w:pPr>
        <w:spacing w:before="240" w:after="240" w:line="360" w:lineRule="auto"/>
        <w:ind w:right="-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Más adelante, la Ley del Trabajo de los Servidores Públicos del Estado y Municipios refiere que las instituciones públicas deberán establecer un sistema de profesionalización que permita el ingreso al servicio a los aspirantes más </w:t>
      </w:r>
      <w:r>
        <w:rPr>
          <w:rFonts w:ascii="Palatino Linotype" w:eastAsia="Palatino Linotype" w:hAnsi="Palatino Linotype" w:cs="Palatino Linotype"/>
          <w:color w:val="000000"/>
        </w:rPr>
        <w:lastRenderedPageBreak/>
        <w:t xml:space="preserve">calificados, y garantice la estabilidad y movilidad laborales de los servidores públicos conforme a su desarrollo profesional y a sus méritos en el servicio. </w:t>
      </w:r>
    </w:p>
    <w:p w:rsidR="00CC77A7" w:rsidRDefault="00485E5F">
      <w:pPr>
        <w:spacing w:before="240" w:after="240" w:line="360" w:lineRule="auto"/>
        <w:ind w:right="-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de los sistemas de profesionalización que establezcan las instituciones públicas deberán conformarse, entre otros, de lo siguiente:</w:t>
      </w:r>
    </w:p>
    <w:p w:rsidR="00CC77A7" w:rsidRDefault="00485E5F">
      <w:pPr>
        <w:spacing w:before="240"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100. Los sistemas de profesionalización que establezcan las instituciones públicas deberán conformarse a partir de las siguientes bases: </w:t>
      </w:r>
    </w:p>
    <w:p w:rsidR="00CC77A7" w:rsidRDefault="00485E5F">
      <w:pPr>
        <w:numPr>
          <w:ilvl w:val="0"/>
          <w:numId w:val="6"/>
        </w:numPr>
        <w:pBdr>
          <w:top w:val="nil"/>
          <w:left w:val="nil"/>
          <w:bottom w:val="nil"/>
          <w:right w:val="nil"/>
          <w:between w:val="nil"/>
        </w:pBdr>
        <w:spacing w:before="240" w:line="276" w:lineRule="auto"/>
        <w:ind w:left="567" w:right="707"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Definición de un catálogo de puestos por institución pública</w:t>
      </w:r>
      <w:r>
        <w:rPr>
          <w:rFonts w:ascii="Palatino Linotype" w:eastAsia="Palatino Linotype" w:hAnsi="Palatino Linotype" w:cs="Palatino Linotype"/>
          <w:i/>
          <w:color w:val="000000"/>
          <w:sz w:val="22"/>
          <w:szCs w:val="22"/>
        </w:rPr>
        <w:t xml:space="preserve"> o dependencia que </w:t>
      </w:r>
      <w:r>
        <w:rPr>
          <w:rFonts w:ascii="Palatino Linotype" w:eastAsia="Palatino Linotype" w:hAnsi="Palatino Linotype" w:cs="Palatino Linotype"/>
          <w:b/>
          <w:i/>
          <w:color w:val="000000"/>
          <w:sz w:val="22"/>
          <w:szCs w:val="22"/>
          <w:u w:val="single"/>
        </w:rPr>
        <w:t>deberá contener el perfil de cada uno de los existentes</w:t>
      </w:r>
      <w:r>
        <w:rPr>
          <w:rFonts w:ascii="Palatino Linotype" w:eastAsia="Palatino Linotype" w:hAnsi="Palatino Linotype" w:cs="Palatino Linotype"/>
          <w:i/>
          <w:color w:val="000000"/>
          <w:sz w:val="22"/>
          <w:szCs w:val="22"/>
        </w:rPr>
        <w:t>, los requisitos necesarios para desempeñarlos y el nivel salarial y escalafonario que les corresponde;”</w:t>
      </w:r>
    </w:p>
    <w:p w:rsidR="00CC77A7" w:rsidRDefault="00CC77A7">
      <w:pPr>
        <w:pBdr>
          <w:top w:val="nil"/>
          <w:left w:val="nil"/>
          <w:bottom w:val="nil"/>
          <w:right w:val="nil"/>
          <w:between w:val="nil"/>
        </w:pBdr>
        <w:spacing w:line="276" w:lineRule="auto"/>
        <w:ind w:left="567" w:right="707"/>
        <w:jc w:val="both"/>
        <w:rPr>
          <w:rFonts w:ascii="Palatino Linotype" w:eastAsia="Palatino Linotype" w:hAnsi="Palatino Linotype" w:cs="Palatino Linotype"/>
          <w:b/>
          <w:i/>
          <w:color w:val="000000"/>
          <w:sz w:val="22"/>
          <w:szCs w:val="22"/>
        </w:rPr>
      </w:pPr>
    </w:p>
    <w:p w:rsidR="00CC77A7" w:rsidRDefault="00485E5F">
      <w:pPr>
        <w:pBdr>
          <w:top w:val="nil"/>
          <w:left w:val="nil"/>
          <w:bottom w:val="nil"/>
          <w:right w:val="nil"/>
          <w:between w:val="nil"/>
        </w:pBdr>
        <w:spacing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CC77A7" w:rsidRDefault="00485E5F">
      <w:pPr>
        <w:spacing w:before="240" w:after="240" w:line="360" w:lineRule="auto"/>
        <w:ind w:right="-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cita, podemos definir al catálogo de puestos como el instrumento de control eficaz que permite enlistar e identificar todos y cada uno de los puestos de trabajo que existen en la administración pública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el cual debe mostrar el perfil de cada uno, los requisitos para desempeñarlos, así como las funciones y actividades encomendadas.</w:t>
      </w:r>
    </w:p>
    <w:p w:rsidR="00CC77A7" w:rsidRDefault="00485E5F">
      <w:pPr>
        <w:spacing w:before="240" w:after="240" w:line="360" w:lineRule="auto"/>
        <w:ind w:right="-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es imperativo señalar que la información solicitada se relaciona con una de las obligaciones de transparencia común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está constreñido a publicar y difundir, de manera permanente y actualizada, a la ciudadanía; ello de acuerdo con lo establecido por la fracción XII del numeral 92 de la Ley de Transparencia y Acceso a la Información Pública del Estado de México y Municipios, y que se transcribe a continuación:</w:t>
      </w:r>
    </w:p>
    <w:p w:rsidR="00CC77A7" w:rsidRDefault="00485E5F">
      <w:pPr>
        <w:spacing w:before="240"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C77A7" w:rsidRDefault="00485E5F">
      <w:pPr>
        <w:spacing w:before="240"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CC77A7" w:rsidRDefault="00485E5F">
      <w:pPr>
        <w:spacing w:before="240" w:after="240" w:line="276" w:lineRule="auto"/>
        <w:ind w:left="567" w:right="70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XII. El perfil de los puestos de los servidores públicos a su servicio en los casos que aplique;”</w:t>
      </w:r>
    </w:p>
    <w:p w:rsidR="00CC77A7" w:rsidRDefault="00485E5F">
      <w:pPr>
        <w:spacing w:before="240" w:after="240" w:line="276" w:lineRule="auto"/>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CC77A7" w:rsidRDefault="00485E5F">
      <w:pPr>
        <w:spacing w:before="240" w:after="240" w:line="360" w:lineRule="auto"/>
        <w:ind w:right="-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efecto de robustecer este pronunciamiento, este Instituto revisó la tabla de aplicabilidad, correspondiente a este Sujeto Obligado, obteniendo lo que se ilustra a continuación: </w:t>
      </w:r>
      <w:r>
        <w:rPr>
          <w:noProof/>
          <w:lang w:val="es-MX"/>
        </w:rPr>
        <w:drawing>
          <wp:anchor distT="0" distB="0" distL="114300" distR="114300" simplePos="0" relativeHeight="251670528" behindDoc="0" locked="0" layoutInCell="1" hidden="0" allowOverlap="1">
            <wp:simplePos x="0" y="0"/>
            <wp:positionH relativeFrom="column">
              <wp:posOffset>1</wp:posOffset>
            </wp:positionH>
            <wp:positionV relativeFrom="paragraph">
              <wp:posOffset>1012825</wp:posOffset>
            </wp:positionV>
            <wp:extent cx="5334000" cy="847725"/>
            <wp:effectExtent l="0" t="0" r="0" b="0"/>
            <wp:wrapTopAndBottom distT="0" dist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r="2777"/>
                    <a:stretch>
                      <a:fillRect/>
                    </a:stretch>
                  </pic:blipFill>
                  <pic:spPr>
                    <a:xfrm>
                      <a:off x="0" y="0"/>
                      <a:ext cx="5334000" cy="847725"/>
                    </a:xfrm>
                    <a:prstGeom prst="rect">
                      <a:avLst/>
                    </a:prstGeom>
                    <a:ln/>
                  </pic:spPr>
                </pic:pic>
              </a:graphicData>
            </a:graphic>
          </wp:anchor>
        </w:drawing>
      </w:r>
    </w:p>
    <w:p w:rsidR="00CC77A7" w:rsidRDefault="00485E5F">
      <w:pPr>
        <w:spacing w:before="240" w:after="240" w:line="360" w:lineRule="auto"/>
        <w:ind w:right="-2"/>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353050" cy="723900"/>
            <wp:effectExtent l="0" t="0" r="0" b="0"/>
            <wp:docPr id="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353050" cy="723900"/>
                    </a:xfrm>
                    <a:prstGeom prst="rect">
                      <a:avLst/>
                    </a:prstGeom>
                    <a:ln/>
                  </pic:spPr>
                </pic:pic>
              </a:graphicData>
            </a:graphic>
          </wp:inline>
        </w:drawing>
      </w:r>
      <w:r>
        <w:rPr>
          <w:noProof/>
          <w:lang w:val="es-MX"/>
        </w:rPr>
        <mc:AlternateContent>
          <mc:Choice Requires="wpg">
            <w:drawing>
              <wp:anchor distT="0" distB="0" distL="114300" distR="114300" simplePos="0" relativeHeight="251671552" behindDoc="0" locked="0" layoutInCell="1" hidden="0" allowOverlap="1">
                <wp:simplePos x="0" y="0"/>
                <wp:positionH relativeFrom="column">
                  <wp:posOffset>12701</wp:posOffset>
                </wp:positionH>
                <wp:positionV relativeFrom="paragraph">
                  <wp:posOffset>1168400</wp:posOffset>
                </wp:positionV>
                <wp:extent cx="5353050" cy="200025"/>
                <wp:effectExtent l="0" t="0" r="0" b="0"/>
                <wp:wrapNone/>
                <wp:docPr id="50" name="Rectángulo 50"/>
                <wp:cNvGraphicFramePr/>
                <a:graphic xmlns:a="http://schemas.openxmlformats.org/drawingml/2006/main">
                  <a:graphicData uri="http://schemas.microsoft.com/office/word/2010/wordprocessingShape">
                    <wps:wsp>
                      <wps:cNvSpPr/>
                      <wps:spPr>
                        <a:xfrm>
                          <a:off x="2683763" y="3694275"/>
                          <a:ext cx="5324475" cy="171450"/>
                        </a:xfrm>
                        <a:prstGeom prst="rect">
                          <a:avLst/>
                        </a:prstGeom>
                        <a:noFill/>
                        <a:ln w="28575" cap="flat" cmpd="sng">
                          <a:solidFill>
                            <a:srgbClr val="002060"/>
                          </a:solidFill>
                          <a:prstDash val="solid"/>
                          <a:round/>
                          <a:headEnd type="none" w="sm" len="sm"/>
                          <a:tailEnd type="none" w="sm" len="sm"/>
                        </a:ln>
                      </wps:spPr>
                      <wps:txbx>
                        <w:txbxContent>
                          <w:p w:rsidR="00CC77A7" w:rsidRDefault="00CC77A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1168400</wp:posOffset>
                </wp:positionV>
                <wp:extent cx="5353050" cy="200025"/>
                <wp:effectExtent b="0" l="0" r="0" t="0"/>
                <wp:wrapNone/>
                <wp:docPr id="50" name="image11.png"/>
                <a:graphic>
                  <a:graphicData uri="http://schemas.openxmlformats.org/drawingml/2006/picture">
                    <pic:pic>
                      <pic:nvPicPr>
                        <pic:cNvPr id="0" name="image11.png"/>
                        <pic:cNvPicPr preferRelativeResize="0"/>
                      </pic:nvPicPr>
                      <pic:blipFill>
                        <a:blip r:embed="rId32"/>
                        <a:srcRect/>
                        <a:stretch>
                          <a:fillRect/>
                        </a:stretch>
                      </pic:blipFill>
                      <pic:spPr>
                        <a:xfrm>
                          <a:off x="0" y="0"/>
                          <a:ext cx="5353050" cy="200025"/>
                        </a:xfrm>
                        <a:prstGeom prst="rect"/>
                        <a:ln/>
                      </pic:spPr>
                    </pic:pic>
                  </a:graphicData>
                </a:graphic>
              </wp:anchor>
            </w:drawing>
          </mc:Fallback>
        </mc:AlternateContent>
      </w:r>
    </w:p>
    <w:p w:rsidR="00CC77A7" w:rsidRDefault="00485E5F">
      <w:pPr>
        <w:spacing w:before="240" w:after="240" w:line="360" w:lineRule="auto"/>
        <w:ind w:right="-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este Órgano Garante procedió a la consulta de la información vertida en el portal de Información Pública de Oficio de este Sujeto Obligado, obteniendo así, lo siguiente: </w:t>
      </w:r>
    </w:p>
    <w:p w:rsidR="00CC77A7" w:rsidRDefault="00485E5F">
      <w:pPr>
        <w:spacing w:before="240" w:after="240" w:line="360" w:lineRule="auto"/>
        <w:ind w:right="5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781550" cy="2943225"/>
            <wp:effectExtent l="0" t="0" r="0" b="0"/>
            <wp:docPr id="7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4781550" cy="2943225"/>
                    </a:xfrm>
                    <a:prstGeom prst="rect">
                      <a:avLst/>
                    </a:prstGeom>
                    <a:ln/>
                  </pic:spPr>
                </pic:pic>
              </a:graphicData>
            </a:graphic>
          </wp:inline>
        </w:drawing>
      </w:r>
    </w:p>
    <w:p w:rsidR="00CC77A7" w:rsidRDefault="00485E5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ilustrado se puede vislumbrar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pudiera contar con los documentos que den cuenta del perfil del puesto para desempeñar el cargo de Director de Administración o titular de la unidad equivalente y, en consecuencia, resulta procedente ordenar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la entrega a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del o los documentos que den cuenta del perfil de puesto, vigente a la fecha de presentación de la solicitud de información esto es, al diez de enero de dos mil veintidós.</w:t>
      </w:r>
    </w:p>
    <w:p w:rsidR="00CC77A7" w:rsidRDefault="00485E5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color w:val="000000"/>
        </w:rPr>
        <w:t xml:space="preserve">Por todo lo anteriormente expuesto, este Órgano Garante considera que el derecho de acceso a la información solamente puede tenerse por satisfecho en el momento en que el particular tenga en su poder los soportes documentales con la información solicitada, por ello se determina ordenar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la entrega 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la información referida en informe justificado, de ser procedente en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tal como se detallará en el considerando siguiente</w:t>
      </w:r>
      <w:r>
        <w:rPr>
          <w:rFonts w:ascii="Palatino Linotype" w:eastAsia="Palatino Linotype" w:hAnsi="Palatino Linotype" w:cs="Palatino Linotype"/>
          <w:b/>
        </w:rPr>
        <w:t>.</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Versión Pública. </w:t>
      </w:r>
      <w:r>
        <w:rPr>
          <w:rFonts w:ascii="Palatino Linotype" w:eastAsia="Palatino Linotype" w:hAnsi="Palatino Linotype" w:cs="Palatino Linotype"/>
        </w:rPr>
        <w:t xml:space="preserve">Finalmente, debe señalarse que de ser el caso en que los documentos que vayan a ser entregados por el </w:t>
      </w:r>
      <w:r>
        <w:rPr>
          <w:rFonts w:ascii="Palatino Linotype" w:eastAsia="Palatino Linotype" w:hAnsi="Palatino Linotype" w:cs="Palatino Linotype"/>
          <w:b/>
        </w:rPr>
        <w:t>Ayuntamiento de Zacazonapan</w:t>
      </w:r>
      <w:r>
        <w:rPr>
          <w:rFonts w:ascii="Palatino Linotype" w:eastAsia="Palatino Linotype" w:hAnsi="Palatino Linotype" w:cs="Palatino Linotype"/>
        </w:rPr>
        <w:t xml:space="preserve">,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sin menoscabo al derecho a la protección de los datos personales de terceros.</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Ahora </w:t>
      </w:r>
      <w:r>
        <w:rPr>
          <w:rFonts w:ascii="Palatino Linotype" w:eastAsia="Palatino Linotype" w:hAnsi="Palatino Linotype" w:cs="Palatino Linotype"/>
        </w:rPr>
        <w:t>bien</w:t>
      </w:r>
      <w:r>
        <w:rPr>
          <w:rFonts w:ascii="Palatino Linotype" w:eastAsia="Palatino Linotype" w:hAnsi="Palatino Linotype" w:cs="Palatino Linotype"/>
          <w:color w:val="000000"/>
        </w:rPr>
        <w:t xml:space="preserve">, con relación a la </w:t>
      </w:r>
      <w:r>
        <w:rPr>
          <w:rFonts w:ascii="Palatino Linotype" w:eastAsia="Palatino Linotype" w:hAnsi="Palatino Linotype" w:cs="Palatino Linotype"/>
          <w:b/>
          <w:color w:val="000000"/>
        </w:rPr>
        <w:t xml:space="preserve">versión pública </w:t>
      </w:r>
      <w:r>
        <w:rPr>
          <w:rFonts w:ascii="Palatino Linotype" w:eastAsia="Palatino Linotype" w:hAnsi="Palatino Linotype" w:cs="Palatino Linotype"/>
          <w:color w:val="000000"/>
        </w:rPr>
        <w:t xml:space="preserve">de la información de la que se ordena su entrega, en términos del artículo 143, fracción I, de la Ley de Transparencia y Acceso a la Información Pública del Estado de México y Municipios, deberá </w:t>
      </w:r>
      <w:r>
        <w:rPr>
          <w:rFonts w:ascii="Palatino Linotype" w:eastAsia="Palatino Linotype" w:hAnsi="Palatino Linotype" w:cs="Palatino Linotype"/>
        </w:rPr>
        <w:t>omitirse, eliminarse o suprimirse la</w:t>
      </w:r>
      <w:r>
        <w:rPr>
          <w:rFonts w:ascii="Palatino Linotype" w:eastAsia="Palatino Linotype" w:hAnsi="Palatino Linotype" w:cs="Palatino Linotype"/>
          <w:color w:val="000000"/>
        </w:rPr>
        <w:t xml:space="preserve"> información </w:t>
      </w:r>
      <w:r>
        <w:rPr>
          <w:rFonts w:ascii="Palatino Linotype" w:eastAsia="Palatino Linotype" w:hAnsi="Palatino Linotype" w:cs="Palatino Linotype"/>
          <w:b/>
          <w:color w:val="000000"/>
        </w:rPr>
        <w:t>confidencial</w:t>
      </w:r>
      <w:r>
        <w:rPr>
          <w:rFonts w:ascii="Palatino Linotype" w:eastAsia="Palatino Linotype" w:hAnsi="Palatino Linotype" w:cs="Palatino Linotype"/>
        </w:rPr>
        <w:t xml:space="preserve">. </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respecto de los documentos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ha de entregar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se deberá omitir, eliminar o suprimir la información personal de los servidores públicos, como Registro Federal de Contribuyentes (RFC), Clave única de Registro de Población (CURP), clave del Instituto de Seguridad Social del Estado de México y Municipios (ISSEMyM), </w:t>
      </w:r>
      <w:r>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Pr>
          <w:rFonts w:ascii="Palatino Linotype" w:eastAsia="Palatino Linotype" w:hAnsi="Palatino Linotype" w:cs="Palatino Linotype"/>
        </w:rPr>
        <w:t>, número de cuenta o cualquier otro dato que ponga en riesgo la vida, seguridad y salud de dichas personas.</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CC77A7" w:rsidRDefault="00485E5F">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Al respecto, </w:t>
      </w:r>
      <w:r>
        <w:rPr>
          <w:rFonts w:ascii="Palatino Linotype" w:eastAsia="Palatino Linotype" w:hAnsi="Palatino Linotype" w:cs="Palatino Linotype"/>
          <w:color w:val="000000"/>
        </w:rPr>
        <w:t>es aplicable el Criterio 19/17 de la Segunda Época, emitido por el INAI, que dice:</w:t>
      </w:r>
      <w:r>
        <w:rPr>
          <w:rFonts w:ascii="Palatino Linotype" w:eastAsia="Palatino Linotype" w:hAnsi="Palatino Linotype" w:cs="Palatino Linotype"/>
          <w:b/>
          <w:color w:val="000000"/>
        </w:rPr>
        <w:t xml:space="preserve"> </w:t>
      </w:r>
    </w:p>
    <w:p w:rsidR="00CC77A7" w:rsidRDefault="00485E5F">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Registro Federal de Contribuyentes (RFC) de personas físicas. El RFC es una clave</w:t>
      </w:r>
      <w:r>
        <w:rPr>
          <w:rFonts w:ascii="Palatino Linotype" w:eastAsia="Palatino Linotype" w:hAnsi="Palatino Linotype" w:cs="Palatino Linotype"/>
          <w:i/>
          <w:sz w:val="22"/>
          <w:szCs w:val="22"/>
        </w:rPr>
        <w:t xml:space="preserve"> de carácter fiscal, única e irrepetible, </w:t>
      </w:r>
      <w:r>
        <w:rPr>
          <w:rFonts w:ascii="Palatino Linotype" w:eastAsia="Palatino Linotype" w:hAnsi="Palatino Linotype" w:cs="Palatino Linotype"/>
          <w:b/>
          <w:i/>
          <w:sz w:val="22"/>
          <w:szCs w:val="22"/>
        </w:rPr>
        <w:t>que permite identificar al titular, su edad y fecha de nacimiento</w:t>
      </w:r>
      <w:r>
        <w:rPr>
          <w:rFonts w:ascii="Palatino Linotype" w:eastAsia="Palatino Linotype" w:hAnsi="Palatino Linotype" w:cs="Palatino Linotype"/>
          <w:i/>
          <w:sz w:val="22"/>
          <w:szCs w:val="22"/>
        </w:rPr>
        <w:t xml:space="preserve">, por lo que </w:t>
      </w:r>
      <w:r>
        <w:rPr>
          <w:rFonts w:ascii="Palatino Linotype" w:eastAsia="Palatino Linotype" w:hAnsi="Palatino Linotype" w:cs="Palatino Linotype"/>
          <w:b/>
          <w:i/>
          <w:sz w:val="22"/>
          <w:szCs w:val="22"/>
        </w:rPr>
        <w:t>es un dato personal de carácter confidencial</w:t>
      </w:r>
      <w:r>
        <w:rPr>
          <w:rFonts w:ascii="Palatino Linotype" w:eastAsia="Palatino Linotype" w:hAnsi="Palatino Linotype" w:cs="Palatino Linotype"/>
          <w:i/>
          <w:sz w:val="22"/>
          <w:szCs w:val="22"/>
        </w:rPr>
        <w:t>.</w:t>
      </w:r>
    </w:p>
    <w:p w:rsidR="00CC77A7" w:rsidRDefault="00485E5F">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rsidR="00CC77A7" w:rsidRDefault="00485E5F">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RRA 0189/17. Morena. 08 de febrero de 2017. Por unanimidad. Comisionado Ponente Joel Salas Suárez.</w:t>
      </w:r>
    </w:p>
    <w:p w:rsidR="00CC77A7" w:rsidRDefault="00485E5F">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0677/17. Universidad Nacional Autónoma de México. 08 de marzo de 2017. Por unanimidad. Comisionado Ponente Rosendoevgueni Monterrey Chepov. </w:t>
      </w:r>
    </w:p>
    <w:p w:rsidR="00CC77A7" w:rsidRDefault="00485E5F">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rsidR="00CC77A7" w:rsidRDefault="00485E5F">
      <w:pPr>
        <w:tabs>
          <w:tab w:val="left" w:pos="7655"/>
        </w:tabs>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CURP</w:t>
      </w:r>
      <w:r>
        <w:rPr>
          <w:rFonts w:ascii="Palatino Linotype" w:eastAsia="Palatino Linotype" w:hAnsi="Palatino Linotype" w:cs="Palatino Linotype"/>
          <w:b/>
        </w:rPr>
        <w:t xml:space="preserve">, </w:t>
      </w:r>
      <w:r>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tiene sustento en los artículos 86 y 91 de la Ley General de Población, la cual señala lo siguiente:</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86. </w:t>
      </w:r>
      <w:r>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91. Al incorporar a una persona en el Registro Nacional de Población</w:t>
      </w:r>
      <w:r>
        <w:rPr>
          <w:rFonts w:ascii="Palatino Linotype" w:eastAsia="Palatino Linotype" w:hAnsi="Palatino Linotype" w:cs="Palatino Linotype"/>
          <w:i/>
          <w:sz w:val="22"/>
          <w:szCs w:val="22"/>
        </w:rPr>
        <w:t xml:space="preserve">, se le asignará una clave </w:t>
      </w:r>
      <w:r>
        <w:rPr>
          <w:rFonts w:ascii="Palatino Linotype" w:eastAsia="Palatino Linotype" w:hAnsi="Palatino Linotype" w:cs="Palatino Linotype"/>
          <w:b/>
          <w:i/>
          <w:sz w:val="22"/>
          <w:szCs w:val="22"/>
        </w:rPr>
        <w:t>que se denominará Clave Única de Registro de Población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Esta servirá para</w:t>
      </w:r>
      <w:r>
        <w:rPr>
          <w:rFonts w:ascii="Palatino Linotype" w:eastAsia="Palatino Linotype" w:hAnsi="Palatino Linotype" w:cs="Palatino Linotype"/>
          <w:i/>
          <w:sz w:val="22"/>
          <w:szCs w:val="22"/>
        </w:rPr>
        <w:t xml:space="preserve"> registrarla e </w:t>
      </w:r>
      <w:r>
        <w:rPr>
          <w:rFonts w:ascii="Palatino Linotype" w:eastAsia="Palatino Linotype" w:hAnsi="Palatino Linotype" w:cs="Palatino Linotype"/>
          <w:b/>
          <w:i/>
          <w:sz w:val="22"/>
          <w:szCs w:val="22"/>
        </w:rPr>
        <w:t>identificarla en forma individual</w:t>
      </w:r>
      <w:r>
        <w:rPr>
          <w:rFonts w:ascii="Palatino Linotype" w:eastAsia="Palatino Linotype" w:hAnsi="Palatino Linotype" w:cs="Palatino Linotype"/>
          <w:i/>
          <w:sz w:val="22"/>
          <w:szCs w:val="22"/>
        </w:rPr>
        <w:t xml:space="preserve">.” </w:t>
      </w:r>
    </w:p>
    <w:p w:rsidR="00CC77A7" w:rsidRDefault="00485E5F">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INAI, a través del Criterio 18/17 de la Segunda Época, señala literalmente lo siguiente:</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Clave Única de Registro de Población (CURP).</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Clave Única de Registro de Población se integra por datos personales que sólo conciernen al particular titular</w:t>
      </w:r>
      <w:r>
        <w:rPr>
          <w:rFonts w:ascii="Palatino Linotype" w:eastAsia="Palatino Linotype" w:hAnsi="Palatino Linotype" w:cs="Palatino Linotype"/>
          <w:i/>
          <w:sz w:val="22"/>
          <w:szCs w:val="22"/>
        </w:rPr>
        <w:t xml:space="preserve"> de la misma, </w:t>
      </w:r>
      <w:r>
        <w:rPr>
          <w:rFonts w:ascii="Palatino Linotype" w:eastAsia="Palatino Linotype" w:hAnsi="Palatino Linotype" w:cs="Palatino Linotype"/>
          <w:b/>
          <w:i/>
          <w:sz w:val="22"/>
          <w:szCs w:val="22"/>
        </w:rPr>
        <w:t>como lo son su nombre, apellidos, fecha de nacimiento, lugar de nacimiento y sexo</w:t>
      </w:r>
      <w:r>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Pr>
          <w:rFonts w:ascii="Palatino Linotype" w:eastAsia="Palatino Linotype" w:hAnsi="Palatino Linotype" w:cs="Palatino Linotype"/>
          <w:b/>
          <w:i/>
          <w:sz w:val="22"/>
          <w:szCs w:val="22"/>
        </w:rPr>
        <w:t>por lo que la CURP está considerada como información confidencial</w:t>
      </w:r>
      <w:r>
        <w:rPr>
          <w:rFonts w:ascii="Palatino Linotype" w:eastAsia="Palatino Linotype" w:hAnsi="Palatino Linotype" w:cs="Palatino Linotype"/>
          <w:i/>
          <w:sz w:val="22"/>
          <w:szCs w:val="22"/>
        </w:rPr>
        <w:t xml:space="preserve">. </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3995/16. Secretaría de la Defensa Nacional. 1 de febrero de 2017. Por unanimidad. Comisionado Ponente Rosendoevgueni Monterrey Chepov.</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RRA 0478/17. Secretaría de Relaciones Exteriores. 26 de abril de 2017. Por unanimidad. Comisionada Ponente Areli Cano Guadiana.” (Sic)</w:t>
      </w:r>
    </w:p>
    <w:p w:rsidR="00CC77A7" w:rsidRDefault="00485E5F">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xml:space="preserve">, estos no deben tener relación con la prestación del servicio; es decir, son confidenciales los préstamos o </w:t>
      </w:r>
      <w:r>
        <w:rPr>
          <w:rFonts w:ascii="Palatino Linotype" w:eastAsia="Palatino Linotype" w:hAnsi="Palatino Linotype" w:cs="Palatino Linotype"/>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rsidR="00CC77A7" w:rsidRDefault="00485E5F">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CC77A7" w:rsidRDefault="00485E5F">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CC77A7" w:rsidRDefault="00485E5F">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CC77A7" w:rsidRDefault="00485E5F">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CC77A7" w:rsidRDefault="00485E5F">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CC77A7" w:rsidRDefault="00485E5F">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(Énfasis añadido)</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CC77A7" w:rsidRDefault="00485E5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C77A7" w:rsidRDefault="00485E5F">
      <w:pPr>
        <w:tabs>
          <w:tab w:val="left" w:pos="8222"/>
        </w:tabs>
        <w:ind w:left="851" w:right="1134"/>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w:t>
      </w:r>
      <w:r>
        <w:rPr>
          <w:rFonts w:ascii="Palatino Linotype" w:eastAsia="Palatino Linotype" w:hAnsi="Palatino Linotype" w:cs="Palatino Linotype"/>
          <w:i/>
          <w:sz w:val="22"/>
          <w:szCs w:val="22"/>
        </w:rPr>
        <w:t>, modificar o revocar la clasificación de la información;</w:t>
      </w:r>
    </w:p>
    <w:p w:rsidR="00CC77A7" w:rsidRDefault="00485E5F">
      <w:pPr>
        <w:tabs>
          <w:tab w:val="left" w:pos="8222"/>
        </w:tabs>
        <w:ind w:left="851" w:righ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CC77A7" w:rsidRDefault="00CC77A7">
      <w:pPr>
        <w:tabs>
          <w:tab w:val="left" w:pos="8222"/>
        </w:tabs>
        <w:ind w:left="851" w:right="1134"/>
        <w:jc w:val="both"/>
        <w:rPr>
          <w:rFonts w:ascii="Palatino Linotype" w:eastAsia="Palatino Linotype" w:hAnsi="Palatino Linotype" w:cs="Palatino Linotype"/>
          <w:i/>
          <w:sz w:val="22"/>
          <w:szCs w:val="22"/>
        </w:rPr>
      </w:pP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rsidR="00CC77A7" w:rsidRDefault="00CC77A7">
      <w:pPr>
        <w:tabs>
          <w:tab w:val="left" w:pos="8222"/>
        </w:tabs>
        <w:ind w:left="851" w:right="1134"/>
        <w:jc w:val="both"/>
        <w:rPr>
          <w:rFonts w:ascii="Palatino Linotype" w:eastAsia="Palatino Linotype" w:hAnsi="Palatino Linotype" w:cs="Palatino Linotype"/>
          <w:i/>
          <w:sz w:val="22"/>
          <w:szCs w:val="22"/>
        </w:rPr>
      </w:pPr>
    </w:p>
    <w:p w:rsidR="00CC77A7" w:rsidRDefault="00485E5F">
      <w:pPr>
        <w:tabs>
          <w:tab w:val="left" w:pos="8222"/>
        </w:tabs>
        <w:ind w:left="851" w:right="1134"/>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Se determine mediante resolución de autoridad competente, o</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CC77A7" w:rsidRDefault="00485E5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CC77A7" w:rsidRDefault="00485E5F">
      <w:pPr>
        <w:tabs>
          <w:tab w:val="left" w:pos="8222"/>
        </w:tabs>
        <w:ind w:left="851"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CC77A7" w:rsidRDefault="00485E5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C77A7" w:rsidRDefault="00485E5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w:t>
      </w:r>
      <w:r>
        <w:rPr>
          <w:rFonts w:ascii="Palatino Linotype" w:eastAsia="Palatino Linotype" w:hAnsi="Palatino Linotype" w:cs="Palatino Linotype"/>
          <w:color w:val="000000"/>
        </w:rPr>
        <w:lastRenderedPageBreak/>
        <w:t>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CC77A7" w:rsidRDefault="00485E5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este Instituto advierte lo siguiente:</w:t>
      </w:r>
    </w:p>
    <w:p w:rsidR="00CC77A7" w:rsidRDefault="00485E5F">
      <w:pPr>
        <w:numPr>
          <w:ilvl w:val="1"/>
          <w:numId w:val="7"/>
        </w:numPr>
        <w:pBdr>
          <w:top w:val="nil"/>
          <w:left w:val="nil"/>
          <w:bottom w:val="nil"/>
          <w:right w:val="nil"/>
          <w:between w:val="nil"/>
        </w:pBdr>
        <w:tabs>
          <w:tab w:val="left" w:pos="8222"/>
        </w:tabs>
        <w:spacing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rsidR="00CC77A7" w:rsidRDefault="00485E5F">
      <w:pPr>
        <w:numPr>
          <w:ilvl w:val="1"/>
          <w:numId w:val="7"/>
        </w:numPr>
        <w:pBdr>
          <w:top w:val="nil"/>
          <w:left w:val="nil"/>
          <w:bottom w:val="nil"/>
          <w:right w:val="nil"/>
          <w:between w:val="nil"/>
        </w:pBdr>
        <w:tabs>
          <w:tab w:val="left" w:pos="8222"/>
        </w:tabs>
        <w:spacing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rsidR="00CC77A7" w:rsidRDefault="00485E5F">
      <w:pPr>
        <w:numPr>
          <w:ilvl w:val="1"/>
          <w:numId w:val="7"/>
        </w:numPr>
        <w:pBdr>
          <w:top w:val="nil"/>
          <w:left w:val="nil"/>
          <w:bottom w:val="nil"/>
          <w:right w:val="nil"/>
          <w:between w:val="nil"/>
        </w:pBdr>
        <w:tabs>
          <w:tab w:val="left" w:pos="8222"/>
        </w:tabs>
        <w:spacing w:after="240"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rsidR="00CC77A7" w:rsidRDefault="00485E5F">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CC77A7" w:rsidRDefault="00485E5F">
      <w:pPr>
        <w:numPr>
          <w:ilvl w:val="0"/>
          <w:numId w:val="1"/>
        </w:numPr>
        <w:pBdr>
          <w:top w:val="nil"/>
          <w:left w:val="nil"/>
          <w:bottom w:val="nil"/>
          <w:right w:val="nil"/>
          <w:between w:val="nil"/>
        </w:pBdr>
        <w:spacing w:before="240" w:after="240" w:line="360" w:lineRule="auto"/>
        <w:ind w:left="284" w:hanging="56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CC77A7" w:rsidRDefault="00485E5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00394/INFOEM/IP/RR/2022,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w:t>
      </w:r>
      <w:r>
        <w:rPr>
          <w:rFonts w:ascii="Palatino Linotype" w:eastAsia="Palatino Linotype" w:hAnsi="Palatino Linotype" w:cs="Palatino Linotype"/>
        </w:rPr>
        <w:lastRenderedPageBreak/>
        <w:t xml:space="preserve">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CC77A7" w:rsidRDefault="00485E5F">
      <w:pPr>
        <w:spacing w:before="240" w:after="240" w:line="360" w:lineRule="auto"/>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de ser el caso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lo siguiente: </w:t>
      </w:r>
    </w:p>
    <w:p w:rsidR="00CC77A7" w:rsidRDefault="00485E5F">
      <w:pPr>
        <w:numPr>
          <w:ilvl w:val="1"/>
          <w:numId w:val="4"/>
        </w:numPr>
        <w:pBdr>
          <w:top w:val="nil"/>
          <w:left w:val="nil"/>
          <w:bottom w:val="nil"/>
          <w:right w:val="nil"/>
          <w:between w:val="nil"/>
        </w:pBdr>
        <w:spacing w:before="240"/>
        <w:ind w:left="567" w:right="707"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Recibos de aguinaldo y prima vacacional que fueron pagados de todos  los servidores públicos que laboraron durante el ejercicio fiscal 2021.</w:t>
      </w:r>
    </w:p>
    <w:p w:rsidR="00CC77A7" w:rsidRDefault="00485E5F">
      <w:pPr>
        <w:numPr>
          <w:ilvl w:val="1"/>
          <w:numId w:val="4"/>
        </w:numPr>
        <w:pBdr>
          <w:top w:val="nil"/>
          <w:left w:val="nil"/>
          <w:bottom w:val="nil"/>
          <w:right w:val="nil"/>
          <w:between w:val="nil"/>
        </w:pBdr>
        <w:ind w:left="567" w:right="707"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Recibos de nómina que fueron pagados al Director de administración o titular de la unidad equivalente, durante la primera y segunda quincena del mes de diciembre de dos mil veintiuno.</w:t>
      </w:r>
    </w:p>
    <w:p w:rsidR="00CC77A7" w:rsidRDefault="00485E5F">
      <w:pPr>
        <w:numPr>
          <w:ilvl w:val="1"/>
          <w:numId w:val="4"/>
        </w:numPr>
        <w:pBdr>
          <w:top w:val="nil"/>
          <w:left w:val="nil"/>
          <w:bottom w:val="nil"/>
          <w:right w:val="nil"/>
          <w:between w:val="nil"/>
        </w:pBdr>
        <w:ind w:left="567" w:right="70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Documento que dé cuenta del perfil de puesto del Director de Administración o titular de la unidad equivalente, vigente al 10 de enero de 2022.</w:t>
      </w:r>
    </w:p>
    <w:p w:rsidR="00CC77A7" w:rsidRDefault="00CC77A7">
      <w:pPr>
        <w:pBdr>
          <w:top w:val="nil"/>
          <w:left w:val="nil"/>
          <w:bottom w:val="nil"/>
          <w:right w:val="nil"/>
          <w:between w:val="nil"/>
        </w:pBdr>
        <w:ind w:left="567" w:right="707"/>
        <w:jc w:val="both"/>
        <w:rPr>
          <w:rFonts w:ascii="Palatino Linotype" w:eastAsia="Palatino Linotype" w:hAnsi="Palatino Linotype" w:cs="Palatino Linotype"/>
          <w:i/>
          <w:color w:val="000000"/>
        </w:rPr>
      </w:pPr>
    </w:p>
    <w:p w:rsidR="00CC77A7" w:rsidRDefault="00485E5F">
      <w:pPr>
        <w:pBdr>
          <w:top w:val="nil"/>
          <w:left w:val="nil"/>
          <w:bottom w:val="nil"/>
          <w:right w:val="nil"/>
          <w:between w:val="nil"/>
        </w:pBdr>
        <w:spacing w:after="12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w:t>
      </w:r>
      <w:r>
        <w:rPr>
          <w:rFonts w:ascii="Palatino Linotype" w:eastAsia="Palatino Linotype" w:hAnsi="Palatino Linotype" w:cs="Palatino Linotype"/>
          <w:b/>
          <w:i/>
          <w:color w:val="000000"/>
          <w:sz w:val="22"/>
          <w:szCs w:val="22"/>
        </w:rPr>
        <w:t>de la particular</w:t>
      </w:r>
      <w:r>
        <w:rPr>
          <w:rFonts w:ascii="Palatino Linotype" w:eastAsia="Palatino Linotype" w:hAnsi="Palatino Linotype" w:cs="Palatino Linotype"/>
          <w:i/>
          <w:color w:val="000000"/>
          <w:sz w:val="22"/>
          <w:szCs w:val="22"/>
        </w:rPr>
        <w:t>.</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C77A7" w:rsidRDefault="00485E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rsidR="00CC77A7" w:rsidRDefault="00485E5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al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bookmarkStart w:id="7" w:name="_heading=h.tyjcwt" w:colFirst="0" w:colLast="0"/>
    <w:bookmarkEnd w:id="7"/>
    <w:p w:rsidR="00CC77A7" w:rsidRDefault="00E61014">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222222"/>
          <w:lang w:val="es-MX"/>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2966085</wp:posOffset>
                </wp:positionV>
                <wp:extent cx="5048250" cy="22669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048250" cy="226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D8C10" id="Conector recto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2pt,233.55pt" to="401.7pt,4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eltgEAALkDAAAOAAAAZHJzL2Uyb0RvYy54bWysU02P0zAQvSPxHyzfadKIrZao6R66gguC&#10;Ctgf4HXGjYW/NDZN+u8ZO20WAUJotRc7Y783M+95sr2brGEnwKi96/h6VXMGTvpeu2PHH769f3PL&#10;WUzC9cJ4Bx0/Q+R3u9evtmNoofGDNz0goyQutmPo+JBSaKsqygGsiCsfwNGl8mhFohCPVY9ipOzW&#10;VE1db6rRYx/QS4iRTu/nS74r+ZUCmT4rFSEx03HqLZUVy/qY12q3Fe0RRRi0vLQhntGFFdpR0SXV&#10;vUiC/UD9RyqrJfroVVpJbyuvlJZQNJCadf2bmq+DCFC0kDkxLDbFl0srP50OyHRPb8eZE5aeaE8P&#10;JZNHhnlj6+zRGGJL0L074CWK4YBZ8KTQ5p2ksKn4el58hSkxSYc39dvb5obsl3TXNJvNOwooT/VE&#10;DxjTB/CW5Y+OG+2ycNGK08eYZugVQrzcztxA+UpnAxls3BdQJIZKrgu7jBHsDbKToAHovxcxVLYg&#10;M0VpYxZS/W/SBZtpUEbrf4kLulT0Li1Eq53Hv1VN07VVNeOvqmetWfaj78/lOYodNB/F0Mss5wH8&#10;NS70pz9u9xMAAP//AwBQSwMEFAAGAAgAAAAhALaYhL3eAAAACQEAAA8AAABkcnMvZG93bnJldi54&#10;bWxMj09PhDAQxe8mfodmTLy5hZUsBCkb45+THhA9eOzSEcjSKaFdQD+948m9zcx7efN7xX61g5hx&#10;8r0jBfEmAoHUONNTq+Dj/fkmA+GDJqMHR6jgGz3sy8uLQufGLfSGcx1awSHkc62gC2HMpfRNh1b7&#10;jRuRWPtyk9WB16mVZtILh9tBbqNoJ63uiT90esSHDptjfbIK0qeXuhqXx9efSqayqmYXsuOnUtdX&#10;6/0diIBr+DfDHz6jQ8lMB3ci48WgIEvYqCDZpTEI1rPoli8HHrZJDLIs5HmD8hcAAP//AwBQSwEC&#10;LQAUAAYACAAAACEAtoM4kv4AAADhAQAAEwAAAAAAAAAAAAAAAAAAAAAAW0NvbnRlbnRfVHlwZXNd&#10;LnhtbFBLAQItABQABgAIAAAAIQA4/SH/1gAAAJQBAAALAAAAAAAAAAAAAAAAAC8BAABfcmVscy8u&#10;cmVsc1BLAQItABQABgAIAAAAIQAWQFeltgEAALkDAAAOAAAAAAAAAAAAAAAAAC4CAABkcnMvZTJv&#10;RG9jLnhtbFBLAQItABQABgAIAAAAIQC2mIS93gAAAAkBAAAPAAAAAAAAAAAAAAAAABAEAABkcnMv&#10;ZG93bnJldi54bWxQSwUGAAAAAAQABADzAAAAGwUAAAAA&#10;" strokecolor="black [3040]"/>
            </w:pict>
          </mc:Fallback>
        </mc:AlternateContent>
      </w:r>
      <w:r w:rsidR="00485E5F">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Pr>
          <w:rFonts w:ascii="Palatino Linotype" w:eastAsia="Palatino Linotype" w:hAnsi="Palatino Linotype" w:cs="Palatino Linotype"/>
          <w:color w:val="222222"/>
          <w:highlight w:val="white"/>
        </w:rPr>
        <w:t>HARON CRISTINA MORALES MARTÍNEZ; EMITIENDO VOTO PARTICULAR,</w:t>
      </w:r>
      <w:r w:rsidR="00485E5F">
        <w:rPr>
          <w:rFonts w:ascii="Palatino Linotype" w:eastAsia="Palatino Linotype" w:hAnsi="Palatino Linotype" w:cs="Palatino Linotype"/>
          <w:color w:val="222222"/>
          <w:highlight w:val="white"/>
        </w:rPr>
        <w:t xml:space="preserve"> LUIS GUSTAVO PARRA NORIEGA Y GUADALUPE RAMÍREZ PEÑA; EN LA DÉCIMO PRIMERA SESIÓN ORDINARIA CELEBRADA EL VEINTICUATRO</w:t>
      </w:r>
      <w:r w:rsidR="00485E5F">
        <w:rPr>
          <w:rFonts w:ascii="Palatino Linotype" w:eastAsia="Palatino Linotype" w:hAnsi="Palatino Linotype" w:cs="Palatino Linotype"/>
        </w:rPr>
        <w:t xml:space="preserve"> DE MARZO DE DOS MIL VEINTIDÓS, ANTE EL SECRETARIO TÉCNICO DEL PLENO ALEXIS TAPIA RAMÍREZ.</w:t>
      </w:r>
    </w:p>
    <w:p w:rsidR="00CC77A7" w:rsidRDefault="00CC77A7">
      <w:pPr>
        <w:spacing w:before="240" w:after="240" w:line="360" w:lineRule="auto"/>
        <w:jc w:val="both"/>
        <w:rPr>
          <w:rFonts w:ascii="Palatino Linotype" w:eastAsia="Palatino Linotype" w:hAnsi="Palatino Linotype" w:cs="Palatino Linotype"/>
        </w:rPr>
      </w:pPr>
    </w:p>
    <w:p w:rsidR="00CC77A7" w:rsidRDefault="00485E5F">
      <w:pPr>
        <w:spacing w:before="240" w:after="240" w:line="360" w:lineRule="auto"/>
        <w:jc w:val="both"/>
        <w:rPr>
          <w:rFonts w:ascii="Palatino Linotype" w:eastAsia="Palatino Linotype" w:hAnsi="Palatino Linotype" w:cs="Palatino Linotype"/>
        </w:rPr>
        <w:sectPr w:rsidR="00CC77A7">
          <w:headerReference w:type="default" r:id="rId34"/>
          <w:footerReference w:type="default" r:id="rId35"/>
          <w:headerReference w:type="first" r:id="rId36"/>
          <w:footerReference w:type="first" r:id="rId37"/>
          <w:pgSz w:w="12240" w:h="15840"/>
          <w:pgMar w:top="1077" w:right="1894" w:bottom="1701" w:left="1701" w:header="709" w:footer="709" w:gutter="0"/>
          <w:pgNumType w:start="1"/>
          <w:cols w:space="720"/>
          <w:titlePg/>
        </w:sectPr>
      </w:pPr>
      <w:r>
        <w:rPr>
          <w:rFonts w:ascii="Palatino Linotype" w:eastAsia="Palatino Linotype" w:hAnsi="Palatino Linotype" w:cs="Palatino Linotype"/>
        </w:rPr>
        <w:t xml:space="preserve"> </w:t>
      </w:r>
    </w:p>
    <w:p w:rsidR="00CC77A7" w:rsidRDefault="00CC77A7">
      <w:pPr>
        <w:spacing w:before="240" w:after="240" w:line="360" w:lineRule="auto"/>
        <w:jc w:val="both"/>
        <w:rPr>
          <w:rFonts w:ascii="Palatino Linotype" w:eastAsia="Palatino Linotype" w:hAnsi="Palatino Linotype" w:cs="Palatino Linotype"/>
        </w:rPr>
      </w:pPr>
    </w:p>
    <w:sectPr w:rsidR="00CC77A7">
      <w:headerReference w:type="first" r:id="rId3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E5F" w:rsidRDefault="00485E5F">
      <w:r>
        <w:separator/>
      </w:r>
    </w:p>
  </w:endnote>
  <w:endnote w:type="continuationSeparator" w:id="0">
    <w:p w:rsidR="00485E5F" w:rsidRDefault="0048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charset w:val="00"/>
    <w:family w:val="swiss"/>
    <w:pitch w:val="variable"/>
    <w:sig w:usb0="00000003" w:usb1="0200E0A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A7" w:rsidRDefault="00485E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A78A2">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A78A2">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rsidR="00CC77A7" w:rsidRDefault="00CC77A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A7" w:rsidRDefault="00485E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A78A2">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A78A2">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rsidR="00CC77A7" w:rsidRDefault="00CC77A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E5F" w:rsidRDefault="00485E5F">
      <w:r>
        <w:separator/>
      </w:r>
    </w:p>
  </w:footnote>
  <w:footnote w:type="continuationSeparator" w:id="0">
    <w:p w:rsidR="00485E5F" w:rsidRDefault="00485E5F">
      <w:r>
        <w:continuationSeparator/>
      </w:r>
    </w:p>
  </w:footnote>
  <w:footnote w:id="1">
    <w:p w:rsidR="00CC77A7" w:rsidRDefault="00485E5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 xml:space="preserve">Consultado en: </w:t>
      </w:r>
      <w:hyperlink r:id="rId1">
        <w:r>
          <w:rPr>
            <w:rFonts w:ascii="Palatino Linotype" w:eastAsia="Palatino Linotype" w:hAnsi="Palatino Linotype" w:cs="Palatino Linotype"/>
            <w:color w:val="0000FF"/>
            <w:sz w:val="20"/>
            <w:szCs w:val="20"/>
            <w:u w:val="single"/>
          </w:rPr>
          <w:t>http://zaloamati.azc.uam.mx/handle/11191/4673</w:t>
        </w:r>
      </w:hyperlink>
      <w:r>
        <w:rPr>
          <w:rFonts w:ascii="Palatino Linotype" w:eastAsia="Palatino Linotype" w:hAnsi="Palatino Linotype" w:cs="Palatino Linotype"/>
          <w:color w:val="000000"/>
          <w:sz w:val="20"/>
          <w:szCs w:val="20"/>
        </w:rPr>
        <w:t>, el diecisiete de marzo a las 12:06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A7" w:rsidRDefault="00485E5F">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-1121408</wp:posOffset>
          </wp:positionH>
          <wp:positionV relativeFrom="paragraph">
            <wp:posOffset>-415288</wp:posOffset>
          </wp:positionV>
          <wp:extent cx="7809865" cy="10165715"/>
          <wp:effectExtent l="0" t="0" r="0" b="0"/>
          <wp:wrapNone/>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CC77A7">
      <w:tc>
        <w:tcPr>
          <w:tcW w:w="2489" w:type="dxa"/>
          <w:shd w:val="clear" w:color="auto" w:fill="auto"/>
        </w:tcPr>
        <w:p w:rsidR="00CC77A7" w:rsidRDefault="00485E5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CC77A7" w:rsidRDefault="00485E5F">
          <w:pPr>
            <w:ind w:left="-46" w:right="385"/>
            <w:jc w:val="both"/>
            <w:rPr>
              <w:rFonts w:ascii="Palatino Linotype" w:eastAsia="Palatino Linotype" w:hAnsi="Palatino Linotype" w:cs="Palatino Linotype"/>
              <w:b/>
            </w:rPr>
          </w:pPr>
          <w:r>
            <w:rPr>
              <w:rFonts w:ascii="Palatino Linotype" w:eastAsia="Palatino Linotype" w:hAnsi="Palatino Linotype" w:cs="Palatino Linotype"/>
              <w:b/>
            </w:rPr>
            <w:t xml:space="preserve">00394/INFOEM/IP/RR/2022 </w:t>
          </w:r>
        </w:p>
      </w:tc>
    </w:tr>
    <w:tr w:rsidR="00CC77A7">
      <w:trPr>
        <w:trHeight w:val="228"/>
      </w:trPr>
      <w:tc>
        <w:tcPr>
          <w:tcW w:w="2489" w:type="dxa"/>
          <w:shd w:val="clear" w:color="auto" w:fill="auto"/>
          <w:vAlign w:val="center"/>
        </w:tcPr>
        <w:p w:rsidR="00CC77A7" w:rsidRDefault="00485E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CC77A7" w:rsidRDefault="00485E5F">
          <w:pPr>
            <w:ind w:left="-45" w:right="1309"/>
            <w:jc w:val="both"/>
            <w:rPr>
              <w:rFonts w:ascii="Palatino Linotype" w:eastAsia="Palatino Linotype" w:hAnsi="Palatino Linotype" w:cs="Palatino Linotype"/>
              <w:b/>
            </w:rPr>
          </w:pPr>
          <w:r>
            <w:rPr>
              <w:rFonts w:ascii="Palatino Linotype" w:eastAsia="Palatino Linotype" w:hAnsi="Palatino Linotype" w:cs="Palatino Linotype"/>
              <w:b/>
            </w:rPr>
            <w:t>Ayuntamiento de Zacazonapan</w:t>
          </w:r>
        </w:p>
      </w:tc>
    </w:tr>
    <w:tr w:rsidR="00CC77A7">
      <w:tc>
        <w:tcPr>
          <w:tcW w:w="2489" w:type="dxa"/>
          <w:shd w:val="clear" w:color="auto" w:fill="auto"/>
          <w:vAlign w:val="center"/>
        </w:tcPr>
        <w:p w:rsidR="00CC77A7" w:rsidRDefault="00485E5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CC77A7" w:rsidRDefault="00485E5F">
          <w:pPr>
            <w:ind w:left="-46" w:right="38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C77A7" w:rsidRDefault="00485E5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A7" w:rsidRDefault="00CC77A7">
    <w:pPr>
      <w:widowControl w:val="0"/>
      <w:pBdr>
        <w:top w:val="nil"/>
        <w:left w:val="nil"/>
        <w:bottom w:val="nil"/>
        <w:right w:val="nil"/>
        <w:between w:val="nil"/>
      </w:pBdr>
      <w:spacing w:line="276" w:lineRule="auto"/>
      <w:rPr>
        <w:rFonts w:ascii="Palatino Linotype" w:eastAsia="Palatino Linotype" w:hAnsi="Palatino Linotype" w:cs="Palatino Linotype"/>
      </w:rPr>
    </w:pPr>
  </w:p>
  <w:tbl>
    <w:tblPr>
      <w:tblStyle w:val="a"/>
      <w:tblW w:w="5670" w:type="dxa"/>
      <w:tblInd w:w="3261" w:type="dxa"/>
      <w:tblLayout w:type="fixed"/>
      <w:tblLook w:val="0400" w:firstRow="0" w:lastRow="0" w:firstColumn="0" w:lastColumn="0" w:noHBand="0" w:noVBand="1"/>
    </w:tblPr>
    <w:tblGrid>
      <w:gridCol w:w="2551"/>
      <w:gridCol w:w="3119"/>
    </w:tblGrid>
    <w:tr w:rsidR="00CC77A7">
      <w:tc>
        <w:tcPr>
          <w:tcW w:w="2551" w:type="dxa"/>
          <w:shd w:val="clear" w:color="auto" w:fill="auto"/>
          <w:vAlign w:val="center"/>
        </w:tcPr>
        <w:p w:rsidR="00CC77A7" w:rsidRDefault="00485E5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rsidR="00CC77A7" w:rsidRDefault="00485E5F">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00394/INFOEM/IP/RR/2022 </w:t>
          </w:r>
        </w:p>
      </w:tc>
    </w:tr>
    <w:tr w:rsidR="00CC77A7">
      <w:trPr>
        <w:trHeight w:val="130"/>
      </w:trPr>
      <w:tc>
        <w:tcPr>
          <w:tcW w:w="2551" w:type="dxa"/>
          <w:shd w:val="clear" w:color="auto" w:fill="auto"/>
          <w:vAlign w:val="center"/>
        </w:tcPr>
        <w:p w:rsidR="00CC77A7" w:rsidRDefault="00485E5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rsidR="00CC77A7" w:rsidRDefault="00FA78A2">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XXXXXXXX</w:t>
          </w:r>
        </w:p>
      </w:tc>
    </w:tr>
    <w:tr w:rsidR="00CC77A7">
      <w:trPr>
        <w:trHeight w:val="228"/>
      </w:trPr>
      <w:tc>
        <w:tcPr>
          <w:tcW w:w="2551" w:type="dxa"/>
          <w:shd w:val="clear" w:color="auto" w:fill="auto"/>
          <w:vAlign w:val="center"/>
        </w:tcPr>
        <w:p w:rsidR="00CC77A7" w:rsidRDefault="00485E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rsidR="00CC77A7" w:rsidRDefault="00485E5F">
          <w:pPr>
            <w:ind w:left="-45" w:right="1168"/>
            <w:jc w:val="both"/>
            <w:rPr>
              <w:rFonts w:ascii="Palatino Linotype" w:eastAsia="Palatino Linotype" w:hAnsi="Palatino Linotype" w:cs="Palatino Linotype"/>
              <w:b/>
            </w:rPr>
          </w:pPr>
          <w:r>
            <w:rPr>
              <w:rFonts w:ascii="Palatino Linotype" w:eastAsia="Palatino Linotype" w:hAnsi="Palatino Linotype" w:cs="Palatino Linotype"/>
              <w:b/>
            </w:rPr>
            <w:t>Ayuntamiento de Zacazonapan</w:t>
          </w:r>
        </w:p>
      </w:tc>
    </w:tr>
    <w:tr w:rsidR="00CC77A7">
      <w:tc>
        <w:tcPr>
          <w:tcW w:w="2551" w:type="dxa"/>
          <w:shd w:val="clear" w:color="auto" w:fill="auto"/>
          <w:vAlign w:val="center"/>
        </w:tcPr>
        <w:p w:rsidR="00CC77A7" w:rsidRDefault="00485E5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rsidR="00CC77A7" w:rsidRDefault="00485E5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C77A7" w:rsidRDefault="00485E5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-1080133</wp:posOffset>
          </wp:positionH>
          <wp:positionV relativeFrom="paragraph">
            <wp:posOffset>-1322703</wp:posOffset>
          </wp:positionV>
          <wp:extent cx="7809876" cy="10165823"/>
          <wp:effectExtent l="0" t="0" r="0" b="0"/>
          <wp:wrapNone/>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7A7" w:rsidRDefault="00CC77A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226FC"/>
    <w:multiLevelType w:val="multilevel"/>
    <w:tmpl w:val="79FADE72"/>
    <w:lvl w:ilvl="0">
      <w:start w:val="1"/>
      <w:numFmt w:val="upperRoman"/>
      <w:lvlText w:val="%1."/>
      <w:lvlJc w:val="left"/>
      <w:pPr>
        <w:ind w:left="1080" w:hanging="72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EB419A8"/>
    <w:multiLevelType w:val="multilevel"/>
    <w:tmpl w:val="06683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Palatino Linotype" w:eastAsia="Palatino Linotype" w:hAnsi="Palatino Linotype" w:cs="Palatino Linotype"/>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8173F4F"/>
    <w:multiLevelType w:val="multilevel"/>
    <w:tmpl w:val="EECE152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15547B6"/>
    <w:multiLevelType w:val="multilevel"/>
    <w:tmpl w:val="8EA83C88"/>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49C66D5F"/>
    <w:multiLevelType w:val="multilevel"/>
    <w:tmpl w:val="34C4D350"/>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6AF306C"/>
    <w:multiLevelType w:val="multilevel"/>
    <w:tmpl w:val="CF78D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A505FD6"/>
    <w:multiLevelType w:val="multilevel"/>
    <w:tmpl w:val="CFF45378"/>
    <w:lvl w:ilvl="0">
      <w:start w:val="1"/>
      <w:numFmt w:val="lowerLetter"/>
      <w:pStyle w:val="Listaconvietas3"/>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5"/>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7A7"/>
    <w:rsid w:val="00485E5F"/>
    <w:rsid w:val="006142EE"/>
    <w:rsid w:val="00CC77A7"/>
    <w:rsid w:val="00E61014"/>
    <w:rsid w:val="00FA78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C3E47-4A3D-494F-9DC5-FDF1BE89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8C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table" w:customStyle="1" w:styleId="a">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0">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2.png"/><Relationship Id="rId26" Type="http://schemas.openxmlformats.org/officeDocument/2006/relationships/image" Target="media/image80.png"/><Relationship Id="rId39" Type="http://schemas.openxmlformats.org/officeDocument/2006/relationships/fontTable" Target="fontTable.xml"/><Relationship Id="rId21" Type="http://schemas.openxmlformats.org/officeDocument/2006/relationships/image" Target="media/image7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9.png"/><Relationship Id="rId32" Type="http://schemas.openxmlformats.org/officeDocument/2006/relationships/image" Target="media/image110.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5.png"/><Relationship Id="rId14" Type="http://schemas.openxmlformats.org/officeDocument/2006/relationships/image" Target="media/image15.png"/><Relationship Id="rId22" Type="http://schemas.openxmlformats.org/officeDocument/2006/relationships/image" Target="media/image9.png"/><Relationship Id="rId27" Type="http://schemas.openxmlformats.org/officeDocument/2006/relationships/hyperlink" Target="http://dof.gob.mx/nota_detalle.php?codigo=5492254&amp;fecha=28/07/2017"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zaloamati.azc.uam.mx/handle/11191/467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9ChpH/UMmPNB/O3rNXogI/C/EA==">AMUW2mV/IzDcuIO+6Ni1oM83wDa6hL9+zMiiktZldRsufPFRbqvW87UmICi/LDHNSzWhbZwpSm8VPln7wEFle4HmrX3hXUHqSzdWofwxtxwXg/FH336Wcdr35JKebcNEX2HsbKwb9f4Fto4LzilFdbH5BqV04RbJkSbcUbyYx8p+Lov5dIGG03Ibkot5BW9RP0FsVt4Ld7EKHNwximDmzyxgEtK9HfhDMw==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10872</Words>
  <Characters>59799</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2022-04-04T22:51:00Z</dcterms:created>
  <dcterms:modified xsi:type="dcterms:W3CDTF">2022-04-04T22:51:00Z</dcterms:modified>
</cp:coreProperties>
</file>