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86BDE" w14:textId="77777777" w:rsidR="00380394" w:rsidRDefault="00F9637A" w:rsidP="0054423A">
      <w:pPr>
        <w:spacing w:after="0" w:line="360" w:lineRule="auto"/>
        <w:ind w:right="139"/>
        <w:jc w:val="both"/>
        <w:rPr>
          <w:rFonts w:ascii="Palatino Linotype" w:eastAsia="Palatino Linotype" w:hAnsi="Palatino Linotype" w:cs="Palatino Linotype"/>
          <w:b/>
        </w:rPr>
      </w:pPr>
      <w:bookmarkStart w:id="0" w:name="_heading=h.30j0zll" w:colFirst="0" w:colLast="0"/>
      <w:bookmarkStart w:id="1" w:name="_GoBack"/>
      <w:bookmarkEnd w:id="0"/>
      <w:bookmarkEnd w:id="1"/>
      <w:r w:rsidRPr="0054423A">
        <w:rPr>
          <w:rFonts w:ascii="Palatino Linotype" w:eastAsia="Palatino Linotype" w:hAnsi="Palatino Linotype" w:cs="Palatino Linotype"/>
          <w:b/>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CUADRAGÉSIMA </w:t>
      </w:r>
      <w:r w:rsidR="006B1C13">
        <w:rPr>
          <w:rFonts w:ascii="Palatino Linotype" w:eastAsia="Palatino Linotype" w:hAnsi="Palatino Linotype" w:cs="Palatino Linotype"/>
          <w:b/>
        </w:rPr>
        <w:t>SEGUNDA</w:t>
      </w:r>
      <w:r w:rsidRPr="0054423A">
        <w:rPr>
          <w:rFonts w:ascii="Palatino Linotype" w:eastAsia="Palatino Linotype" w:hAnsi="Palatino Linotype" w:cs="Palatino Linotype"/>
          <w:b/>
        </w:rPr>
        <w:t xml:space="preserve"> SESIÓN ORDINARIA CELEBRADA EL D</w:t>
      </w:r>
      <w:r w:rsidR="007244A0" w:rsidRPr="0054423A">
        <w:rPr>
          <w:rFonts w:ascii="Palatino Linotype" w:eastAsia="Palatino Linotype" w:hAnsi="Palatino Linotype" w:cs="Palatino Linotype"/>
          <w:b/>
        </w:rPr>
        <w:t>IECIOCHO</w:t>
      </w:r>
      <w:r w:rsidRPr="0054423A">
        <w:rPr>
          <w:rFonts w:ascii="Palatino Linotype" w:eastAsia="Palatino Linotype" w:hAnsi="Palatino Linotype" w:cs="Palatino Linotype"/>
          <w:b/>
        </w:rPr>
        <w:t xml:space="preserve"> DE NOVIEMBRE DE DOS MIL VEINTIDÓS,</w:t>
      </w:r>
      <w:r w:rsidR="007244A0" w:rsidRPr="0054423A">
        <w:rPr>
          <w:rFonts w:ascii="Palatino Linotype" w:eastAsia="Palatino Linotype" w:hAnsi="Palatino Linotype" w:cs="Palatino Linotype"/>
          <w:b/>
        </w:rPr>
        <w:t xml:space="preserve"> EN EL RECURSO DE REVISIÓN 05936</w:t>
      </w:r>
      <w:r w:rsidRPr="0054423A">
        <w:rPr>
          <w:rFonts w:ascii="Palatino Linotype" w:eastAsia="Palatino Linotype" w:hAnsi="Palatino Linotype" w:cs="Palatino Linotype"/>
          <w:b/>
        </w:rPr>
        <w:t>/INFOEM/IP/RR/2022.</w:t>
      </w:r>
    </w:p>
    <w:p w14:paraId="20EED853" w14:textId="77777777" w:rsidR="00811D8B" w:rsidRPr="0054423A" w:rsidRDefault="00811D8B" w:rsidP="0054423A">
      <w:pPr>
        <w:spacing w:after="0" w:line="360" w:lineRule="auto"/>
        <w:ind w:right="139"/>
        <w:jc w:val="both"/>
        <w:rPr>
          <w:rFonts w:ascii="Palatino Linotype" w:eastAsia="Palatino Linotype" w:hAnsi="Palatino Linotype" w:cs="Palatino Linotype"/>
          <w:b/>
        </w:rPr>
      </w:pPr>
    </w:p>
    <w:p w14:paraId="05EDB63C" w14:textId="77777777" w:rsidR="00380394" w:rsidRDefault="00F9637A" w:rsidP="0054423A">
      <w:pPr>
        <w:spacing w:after="0" w:line="360" w:lineRule="auto"/>
        <w:ind w:right="139"/>
        <w:jc w:val="both"/>
        <w:rPr>
          <w:rFonts w:ascii="Palatino Linotype" w:eastAsia="Palatino Linotype" w:hAnsi="Palatino Linotype" w:cs="Palatino Linotype"/>
        </w:rPr>
      </w:pPr>
      <w:r w:rsidRPr="0054423A">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sidRPr="0054423A">
        <w:rPr>
          <w:rFonts w:ascii="Palatino Linotype" w:eastAsia="Palatino Linotype" w:hAnsi="Palatino Linotype" w:cs="Palatino Linotype"/>
          <w:b/>
        </w:rPr>
        <w:t>VOTO DISIDENTE</w:t>
      </w:r>
      <w:r w:rsidRPr="0054423A">
        <w:rPr>
          <w:rFonts w:ascii="Palatino Linotype" w:eastAsia="Palatino Linotype" w:hAnsi="Palatino Linotype" w:cs="Palatino Linotype"/>
        </w:rPr>
        <w:t xml:space="preserve"> respecto a la resolución dictada en el recurso de revisión número </w:t>
      </w:r>
      <w:r w:rsidR="007244A0" w:rsidRPr="0054423A">
        <w:rPr>
          <w:rFonts w:ascii="Palatino Linotype" w:eastAsia="Palatino Linotype" w:hAnsi="Palatino Linotype" w:cs="Palatino Linotype"/>
          <w:b/>
        </w:rPr>
        <w:t>05936</w:t>
      </w:r>
      <w:r w:rsidRPr="0054423A">
        <w:rPr>
          <w:rFonts w:ascii="Palatino Linotype" w:eastAsia="Palatino Linotype" w:hAnsi="Palatino Linotype" w:cs="Palatino Linotype"/>
          <w:b/>
        </w:rPr>
        <w:t>/INFOEM/IP/RR/2022</w:t>
      </w:r>
      <w:r w:rsidRPr="0054423A">
        <w:rPr>
          <w:rFonts w:ascii="Palatino Linotype" w:eastAsia="Palatino Linotype" w:hAnsi="Palatino Linotype" w:cs="Palatino Linotype"/>
        </w:rPr>
        <w:t xml:space="preserve">, pronunciada por el Pleno de este Instituto ante el proyecto presentado por el Comisionado </w:t>
      </w:r>
      <w:r w:rsidR="007244A0" w:rsidRPr="0054423A">
        <w:rPr>
          <w:rFonts w:ascii="Palatino Linotype" w:eastAsia="Palatino Linotype" w:hAnsi="Palatino Linotype" w:cs="Palatino Linotype"/>
        </w:rPr>
        <w:t>Luis Gustavo Parra Noriega</w:t>
      </w:r>
      <w:r w:rsidRPr="0054423A">
        <w:rPr>
          <w:rFonts w:ascii="Palatino Linotype" w:eastAsia="Palatino Linotype" w:hAnsi="Palatino Linotype" w:cs="Palatino Linotype"/>
        </w:rPr>
        <w:t xml:space="preserve">, que es del tenor siguiente: </w:t>
      </w:r>
    </w:p>
    <w:p w14:paraId="0B74BEC1" w14:textId="77777777" w:rsidR="00811D8B" w:rsidRPr="0054423A" w:rsidRDefault="00811D8B" w:rsidP="0054423A">
      <w:pPr>
        <w:spacing w:after="0" w:line="360" w:lineRule="auto"/>
        <w:ind w:right="139"/>
        <w:jc w:val="both"/>
        <w:rPr>
          <w:rFonts w:ascii="Palatino Linotype" w:eastAsia="Palatino Linotype" w:hAnsi="Palatino Linotype" w:cs="Palatino Linotype"/>
        </w:rPr>
      </w:pPr>
    </w:p>
    <w:p w14:paraId="18C6AE9F" w14:textId="77777777" w:rsidR="00380394" w:rsidRDefault="00F9637A" w:rsidP="0054423A">
      <w:pPr>
        <w:spacing w:after="0" w:line="360" w:lineRule="auto"/>
        <w:ind w:right="139"/>
        <w:jc w:val="both"/>
        <w:rPr>
          <w:rFonts w:ascii="Palatino Linotype" w:eastAsia="Palatino Linotype" w:hAnsi="Palatino Linotype" w:cs="Palatino Linotype"/>
          <w:b/>
        </w:rPr>
      </w:pPr>
      <w:r w:rsidRPr="0054423A">
        <w:rPr>
          <w:rFonts w:ascii="Palatino Linotype" w:eastAsia="Palatino Linotype" w:hAnsi="Palatino Linotype" w:cs="Palatino Linotype"/>
          <w:b/>
        </w:rPr>
        <w:t>I. Antecedentes.</w:t>
      </w:r>
    </w:p>
    <w:p w14:paraId="1925C3F2" w14:textId="77777777" w:rsidR="00811D8B" w:rsidRPr="0054423A" w:rsidRDefault="00811D8B" w:rsidP="0054423A">
      <w:pPr>
        <w:spacing w:after="0" w:line="360" w:lineRule="auto"/>
        <w:ind w:right="139"/>
        <w:jc w:val="both"/>
        <w:rPr>
          <w:rFonts w:ascii="Palatino Linotype" w:eastAsia="Palatino Linotype" w:hAnsi="Palatino Linotype" w:cs="Palatino Linotype"/>
        </w:rPr>
      </w:pPr>
    </w:p>
    <w:p w14:paraId="58DAE342" w14:textId="77777777" w:rsidR="00380394" w:rsidRDefault="00F9637A" w:rsidP="0054423A">
      <w:pPr>
        <w:spacing w:after="0" w:line="360" w:lineRule="auto"/>
        <w:ind w:right="139"/>
        <w:jc w:val="both"/>
        <w:rPr>
          <w:rFonts w:ascii="Palatino Linotype" w:eastAsia="Palatino Linotype" w:hAnsi="Palatino Linotype" w:cs="Palatino Linotype"/>
        </w:rPr>
      </w:pPr>
      <w:r w:rsidRPr="0054423A">
        <w:rPr>
          <w:rFonts w:ascii="Palatino Linotype" w:eastAsia="Palatino Linotype" w:hAnsi="Palatino Linotype" w:cs="Palatino Linotype"/>
        </w:rPr>
        <w:t xml:space="preserve">Como quedó debidamente asentado en la resolución, materia del presente voto disidente, la persona solicitante requirió del </w:t>
      </w:r>
      <w:r w:rsidRPr="0054423A">
        <w:rPr>
          <w:rFonts w:ascii="Palatino Linotype" w:eastAsia="Palatino Linotype" w:hAnsi="Palatino Linotype" w:cs="Palatino Linotype"/>
          <w:b/>
        </w:rPr>
        <w:t>Sujeto Obligado</w:t>
      </w:r>
      <w:r w:rsidRPr="0054423A">
        <w:rPr>
          <w:rFonts w:ascii="Palatino Linotype" w:eastAsia="Palatino Linotype" w:hAnsi="Palatino Linotype" w:cs="Palatino Linotype"/>
        </w:rPr>
        <w:t xml:space="preserve">, la siguiente información: </w:t>
      </w:r>
    </w:p>
    <w:p w14:paraId="604D2FFB" w14:textId="77777777" w:rsidR="00811D8B" w:rsidRPr="0054423A" w:rsidRDefault="00811D8B" w:rsidP="0054423A">
      <w:pPr>
        <w:spacing w:after="0" w:line="360" w:lineRule="auto"/>
        <w:ind w:right="139"/>
        <w:jc w:val="both"/>
        <w:rPr>
          <w:rFonts w:ascii="Palatino Linotype" w:eastAsia="Palatino Linotype" w:hAnsi="Palatino Linotype" w:cs="Palatino Linotype"/>
        </w:rPr>
      </w:pPr>
    </w:p>
    <w:p w14:paraId="0C369FFB" w14:textId="77777777" w:rsidR="00380394" w:rsidRDefault="00F9637A" w:rsidP="00A05636">
      <w:pPr>
        <w:spacing w:after="0" w:line="276" w:lineRule="auto"/>
        <w:ind w:left="567" w:right="900"/>
        <w:jc w:val="both"/>
        <w:rPr>
          <w:rFonts w:ascii="Palatino Linotype" w:eastAsia="Palatino Linotype" w:hAnsi="Palatino Linotype" w:cs="Palatino Linotype"/>
          <w:i/>
        </w:rPr>
      </w:pPr>
      <w:r w:rsidRPr="0054423A">
        <w:rPr>
          <w:rFonts w:ascii="Palatino Linotype" w:eastAsia="Palatino Linotype" w:hAnsi="Palatino Linotype" w:cs="Palatino Linotype"/>
          <w:i/>
        </w:rPr>
        <w:t>“</w:t>
      </w:r>
      <w:r w:rsidR="007244A0" w:rsidRPr="0054423A">
        <w:rPr>
          <w:rFonts w:ascii="Palatino Linotype" w:eastAsia="Times New Roman" w:hAnsi="Palatino Linotype" w:cs="Tahoma"/>
          <w:bCs/>
          <w:i/>
          <w:iCs/>
          <w:lang w:eastAsia="es-ES"/>
        </w:rPr>
        <w:t xml:space="preserve">y va de nuevo ,Por este medio solicito información de la empresa Comercializadora Macano, S.A. de C.V. la cual tiene un contrato de servicios con la Comisión del Agua del Estado de México. 1. Detalle de la licitación en la cual fue autorizada dicha </w:t>
      </w:r>
      <w:r w:rsidR="007244A0" w:rsidRPr="0054423A">
        <w:rPr>
          <w:rFonts w:ascii="Palatino Linotype" w:eastAsia="Times New Roman" w:hAnsi="Palatino Linotype" w:cs="Tahoma"/>
          <w:bCs/>
          <w:i/>
          <w:iCs/>
          <w:lang w:eastAsia="es-ES"/>
        </w:rPr>
        <w:lastRenderedPageBreak/>
        <w:t>empresa como Proveedor de la Comisión del agua del estado de México. 2. Copia del Contrato con la con la empresa Comercializadora Macano, S.A. de C.V. 3. Copia de Documentos base para el alta como proveedor tales como: acta constitutiva, poder legal, comprobante de domicilio, Constancia de Situación Fiscal Además, solicitamos un Detalle de cada una de las operaciones efectuadas durante el ejercicio fiscal 2021 con la empresa Comercializadora Macano, S.A. de C.V. por mantenimiento mecánico, en la cual se especifique de forma clara la siguiente información: a) Concentrado en el cual se especifique la fecha, Número Económico de la Unidad, Tipo (Auto, camioneta, equipo pesado), Marca, Modelo, Placas, Numero Orden de servicio, descripción de la Orden de servicio donde se especifiquen los trabajos realizados, monto y dirección a la cual pertenece la unidad, Numero de Factura, y Cantidad pagada. b) Además, solicitamos Copias de cada una de las facturas, así como la copia del SPEI, Cheque, Transferencia u otro medio, donde fue efectuado el pago de cada una de las facturas a la empresa Comercializadora Macano, S.A. de C.V. por parte de la Comisión del Agua del Estado de México, especificadas en el concentrado antes solicitado</w:t>
      </w:r>
      <w:r w:rsidRPr="0054423A">
        <w:rPr>
          <w:rFonts w:ascii="Palatino Linotype" w:eastAsia="Palatino Linotype" w:hAnsi="Palatino Linotype" w:cs="Palatino Linotype"/>
          <w:i/>
        </w:rPr>
        <w:t>.” (Sic)</w:t>
      </w:r>
    </w:p>
    <w:p w14:paraId="26A413F6" w14:textId="77777777" w:rsidR="00811D8B" w:rsidRPr="0054423A" w:rsidRDefault="00811D8B" w:rsidP="0054423A">
      <w:pPr>
        <w:spacing w:after="0" w:line="360" w:lineRule="auto"/>
        <w:ind w:left="567" w:right="900"/>
        <w:jc w:val="both"/>
        <w:rPr>
          <w:rFonts w:ascii="Palatino Linotype" w:eastAsia="Palatino Linotype" w:hAnsi="Palatino Linotype" w:cs="Palatino Linotype"/>
          <w:i/>
        </w:rPr>
      </w:pPr>
    </w:p>
    <w:p w14:paraId="7F9E8B8C" w14:textId="77777777" w:rsidR="007244A0" w:rsidRDefault="00F9637A"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bookmarkStart w:id="2" w:name="_heading=h.1fob9te" w:colFirst="0" w:colLast="0"/>
      <w:bookmarkEnd w:id="2"/>
      <w:r w:rsidRPr="0054423A">
        <w:rPr>
          <w:rFonts w:ascii="Palatino Linotype" w:eastAsia="Palatino Linotype" w:hAnsi="Palatino Linotype" w:cs="Palatino Linotype"/>
        </w:rPr>
        <w:t xml:space="preserve">En respuesta, el </w:t>
      </w:r>
      <w:r w:rsidRPr="0054423A">
        <w:rPr>
          <w:rFonts w:ascii="Palatino Linotype" w:eastAsia="Palatino Linotype" w:hAnsi="Palatino Linotype" w:cs="Palatino Linotype"/>
          <w:b/>
        </w:rPr>
        <w:t>Sujeto Obligado</w:t>
      </w:r>
      <w:r w:rsidRPr="0054423A">
        <w:rPr>
          <w:rFonts w:ascii="Palatino Linotype" w:eastAsia="Palatino Linotype" w:hAnsi="Palatino Linotype" w:cs="Palatino Linotype"/>
        </w:rPr>
        <w:t xml:space="preserve"> </w:t>
      </w:r>
      <w:r w:rsidR="00811D8B">
        <w:rPr>
          <w:rFonts w:ascii="Palatino Linotype" w:eastAsia="Palatino Linotype" w:hAnsi="Palatino Linotype" w:cs="Palatino Linotype"/>
        </w:rPr>
        <w:t>precisó lo siguiente:</w:t>
      </w:r>
    </w:p>
    <w:p w14:paraId="005C6922" w14:textId="77777777" w:rsidR="00811D8B" w:rsidRPr="0054423A" w:rsidRDefault="00811D8B"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14:paraId="7439E6C9" w14:textId="77777777" w:rsidR="007244A0" w:rsidRPr="0054423A" w:rsidRDefault="007244A0" w:rsidP="00A05636">
      <w:pPr>
        <w:spacing w:after="0" w:line="276" w:lineRule="auto"/>
        <w:ind w:left="567" w:right="567"/>
        <w:jc w:val="both"/>
        <w:rPr>
          <w:rFonts w:ascii="Palatino Linotype" w:hAnsi="Palatino Linotype"/>
          <w:i/>
          <w:iCs/>
          <w:lang w:val="es-ES"/>
        </w:rPr>
      </w:pPr>
      <w:r w:rsidRPr="0054423A">
        <w:rPr>
          <w:rFonts w:ascii="Palatino Linotype" w:hAnsi="Palatino Linotype"/>
          <w:i/>
          <w:iCs/>
          <w:lang w:val="es-ES"/>
        </w:rPr>
        <w:t>“…</w:t>
      </w:r>
      <w:r w:rsidRPr="0054423A">
        <w:rPr>
          <w:rFonts w:ascii="Palatino Linotype" w:hAnsi="Palatino Linotype"/>
          <w:b/>
          <w:i/>
          <w:iCs/>
          <w:u w:val="single"/>
          <w:lang w:val="es-ES"/>
        </w:rPr>
        <w:t>En ese sentido, me permito informarle que la información solicitada supera la capacidad de nuestro servidor informático para hacer entrega por medio del sistema SAIMEX, ya la respuesta la integran 27,884 fojas, cuyo peso es de 15 Gigabytes.</w:t>
      </w:r>
      <w:r w:rsidRPr="0054423A">
        <w:rPr>
          <w:rFonts w:ascii="Palatino Linotype" w:hAnsi="Palatino Linotype"/>
          <w:i/>
          <w:iCs/>
          <w:lang w:val="es-ES"/>
        </w:rPr>
        <w:t xml:space="preserve"> Cabe mencionar que se ha intentado subir la información, pero no nos lo permite el sistema SAIMEX; así mismo, se ha particionado en varios archivos, pero con el mismo resultado.</w:t>
      </w:r>
    </w:p>
    <w:p w14:paraId="6C579804" w14:textId="77777777" w:rsidR="007244A0" w:rsidRPr="0054423A" w:rsidRDefault="007244A0" w:rsidP="00A05636">
      <w:pPr>
        <w:spacing w:after="0" w:line="276" w:lineRule="auto"/>
        <w:ind w:left="567" w:right="567"/>
        <w:jc w:val="both"/>
        <w:rPr>
          <w:rFonts w:ascii="Palatino Linotype" w:hAnsi="Palatino Linotype"/>
          <w:i/>
          <w:iCs/>
          <w:lang w:val="es-ES"/>
        </w:rPr>
      </w:pPr>
    </w:p>
    <w:p w14:paraId="776FC85C" w14:textId="77777777" w:rsidR="007244A0" w:rsidRPr="0054423A" w:rsidRDefault="007244A0" w:rsidP="00A05636">
      <w:pPr>
        <w:spacing w:after="0" w:line="276" w:lineRule="auto"/>
        <w:ind w:left="567" w:right="567"/>
        <w:jc w:val="both"/>
        <w:rPr>
          <w:rFonts w:ascii="Palatino Linotype" w:hAnsi="Palatino Linotype"/>
          <w:i/>
          <w:iCs/>
          <w:lang w:val="es-ES"/>
        </w:rPr>
      </w:pPr>
      <w:r w:rsidRPr="0054423A">
        <w:rPr>
          <w:rFonts w:ascii="Palatino Linotype" w:hAnsi="Palatino Linotype"/>
          <w:i/>
          <w:iCs/>
          <w:lang w:val="es-ES"/>
        </w:rPr>
        <w:t xml:space="preserve">Por lo tanto, con base en los Artículo 12 y 164 de la cita Ley de Transparencia y Acceso a la Información Pública del Estado de México y Municipios y debido a que la entrega solicitada vía SAIMEX, supera nuestra capacidad técnica, ponemos a su disposición la información en medio magnético, la cual podrá obtener de manera gratuita en las oficinas </w:t>
      </w:r>
      <w:r w:rsidRPr="0054423A">
        <w:rPr>
          <w:rFonts w:ascii="Palatino Linotype" w:hAnsi="Palatino Linotype"/>
          <w:i/>
          <w:iCs/>
          <w:lang w:val="es-ES"/>
        </w:rPr>
        <w:lastRenderedPageBreak/>
        <w:t>centrales de la Comisión del Agua del Estado de México, con domicilio en Félix Guzmán núm. 7, segundo piso, Col. El Parque, C.P. 53398 Naucalpan de Juárez, Estado de México, en la Unidad de Información, Planeación, Programación y Evaluación (UIPPE), Tel:55767937 en un horario de lunes a viernes de 9:00 a.m. a 18:00 p.m. hrs, con atención del Ing. Oscar Lopez Vargas, Encargado del Módulo de Transparencia.</w:t>
      </w:r>
    </w:p>
    <w:p w14:paraId="16667BD1" w14:textId="77777777" w:rsidR="007244A0" w:rsidRPr="0054423A" w:rsidRDefault="007244A0" w:rsidP="00A05636">
      <w:pPr>
        <w:spacing w:after="0" w:line="276" w:lineRule="auto"/>
        <w:ind w:left="567" w:right="567"/>
        <w:jc w:val="both"/>
        <w:rPr>
          <w:rFonts w:ascii="Palatino Linotype" w:hAnsi="Palatino Linotype"/>
          <w:i/>
          <w:iCs/>
          <w:lang w:val="es-ES"/>
        </w:rPr>
      </w:pPr>
    </w:p>
    <w:p w14:paraId="74A8C748" w14:textId="77777777" w:rsidR="007244A0" w:rsidRPr="0054423A" w:rsidRDefault="007244A0" w:rsidP="00A05636">
      <w:pPr>
        <w:spacing w:after="0" w:line="276" w:lineRule="auto"/>
        <w:ind w:left="567" w:right="567"/>
        <w:jc w:val="both"/>
        <w:rPr>
          <w:rFonts w:ascii="Palatino Linotype" w:hAnsi="Palatino Linotype"/>
          <w:i/>
          <w:iCs/>
        </w:rPr>
      </w:pPr>
      <w:r w:rsidRPr="0054423A">
        <w:rPr>
          <w:rFonts w:ascii="Palatino Linotype" w:hAnsi="Palatino Linotype"/>
          <w:i/>
          <w:iCs/>
          <w:lang w:val="es-ES"/>
        </w:rPr>
        <w:t xml:space="preserve">Por último, es menester hacer de conocimiento al solicitante que, el acta constitutiva de </w:t>
      </w:r>
      <w:r w:rsidRPr="0054423A">
        <w:rPr>
          <w:rFonts w:ascii="Palatino Linotype" w:hAnsi="Palatino Linotype"/>
          <w:i/>
          <w:iCs/>
        </w:rPr>
        <w:t>“Comercializadora MACANO S.A. DE C.V.”, se entregara en versión publica, exhibiendo la resolución de clasificación como confidencial que da sustento, lo anterior por contener datos personales susceptibles de protección.</w:t>
      </w:r>
    </w:p>
    <w:p w14:paraId="09F20481" w14:textId="77777777" w:rsidR="007244A0" w:rsidRDefault="007244A0" w:rsidP="0054423A">
      <w:pPr>
        <w:spacing w:after="0" w:line="360" w:lineRule="auto"/>
        <w:ind w:left="567" w:right="567"/>
        <w:jc w:val="both"/>
        <w:rPr>
          <w:rFonts w:ascii="Palatino Linotype" w:hAnsi="Palatino Linotype"/>
          <w:i/>
          <w:iCs/>
        </w:rPr>
      </w:pPr>
      <w:r w:rsidRPr="0054423A">
        <w:rPr>
          <w:rFonts w:ascii="Palatino Linotype" w:hAnsi="Palatino Linotype"/>
          <w:i/>
          <w:iCs/>
        </w:rPr>
        <w:t xml:space="preserve">…” (Sic) </w:t>
      </w:r>
    </w:p>
    <w:p w14:paraId="24A37958" w14:textId="77777777" w:rsidR="00811D8B" w:rsidRPr="0054423A" w:rsidRDefault="00811D8B" w:rsidP="0054423A">
      <w:pPr>
        <w:spacing w:after="0" w:line="360" w:lineRule="auto"/>
        <w:ind w:left="567" w:right="567"/>
        <w:jc w:val="both"/>
        <w:rPr>
          <w:rFonts w:ascii="Palatino Linotype" w:hAnsi="Palatino Linotype"/>
          <w:i/>
          <w:iCs/>
        </w:rPr>
      </w:pPr>
    </w:p>
    <w:p w14:paraId="2E72EC74" w14:textId="77777777" w:rsidR="007244A0" w:rsidRDefault="00F9637A"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sidRPr="0054423A">
        <w:rPr>
          <w:rFonts w:ascii="Palatino Linotype" w:eastAsia="Palatino Linotype" w:hAnsi="Palatino Linotype" w:cs="Palatino Linotype"/>
        </w:rPr>
        <w:t>Una vez conocida la respuesta, la</w:t>
      </w:r>
      <w:r w:rsidR="007244A0" w:rsidRPr="0054423A">
        <w:rPr>
          <w:rFonts w:ascii="Palatino Linotype" w:eastAsia="Palatino Linotype" w:hAnsi="Palatino Linotype" w:cs="Palatino Linotype"/>
        </w:rPr>
        <w:t xml:space="preserve"> parte solicitante se inconformó </w:t>
      </w:r>
      <w:r w:rsidR="00811D8B">
        <w:rPr>
          <w:rFonts w:ascii="Palatino Linotype" w:eastAsia="Palatino Linotype" w:hAnsi="Palatino Linotype" w:cs="Palatino Linotype"/>
        </w:rPr>
        <w:t xml:space="preserve">arguyendo que: </w:t>
      </w:r>
    </w:p>
    <w:p w14:paraId="09E5DC8F" w14:textId="77777777" w:rsidR="00811D8B" w:rsidRPr="0054423A" w:rsidRDefault="00811D8B"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14:paraId="524B1930" w14:textId="77777777" w:rsidR="007244A0" w:rsidRDefault="00811D8B" w:rsidP="00A05636">
      <w:pPr>
        <w:pBdr>
          <w:top w:val="nil"/>
          <w:left w:val="nil"/>
          <w:bottom w:val="nil"/>
          <w:right w:val="nil"/>
          <w:between w:val="nil"/>
        </w:pBdr>
        <w:spacing w:after="0" w:line="276" w:lineRule="auto"/>
        <w:ind w:left="567" w:right="616"/>
        <w:jc w:val="both"/>
        <w:rPr>
          <w:rFonts w:ascii="Palatino Linotype" w:hAnsi="Palatino Linotype"/>
          <w:i/>
        </w:rPr>
      </w:pPr>
      <w:r>
        <w:rPr>
          <w:rFonts w:ascii="Palatino Linotype" w:hAnsi="Palatino Linotype"/>
          <w:i/>
        </w:rPr>
        <w:t>“</w:t>
      </w:r>
      <w:r w:rsidR="007244A0" w:rsidRPr="00811D8B">
        <w:rPr>
          <w:rFonts w:ascii="Palatino Linotype" w:hAnsi="Palatino Linotype"/>
          <w:b/>
          <w:i/>
          <w:u w:val="single"/>
        </w:rPr>
        <w:t xml:space="preserve">como es posible que en la solicitud 0015 en donde se pide lo mismo no cambian la modalidad y en esta solicitud la cambian porque es mucha informacion </w:t>
      </w:r>
      <w:r>
        <w:rPr>
          <w:rFonts w:ascii="Palatino Linotype" w:hAnsi="Palatino Linotype"/>
          <w:i/>
        </w:rPr>
        <w:t>…”</w:t>
      </w:r>
    </w:p>
    <w:p w14:paraId="26122BF8" w14:textId="77777777" w:rsidR="00811D8B" w:rsidRPr="0054423A" w:rsidRDefault="00811D8B" w:rsidP="00811D8B">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rPr>
      </w:pPr>
    </w:p>
    <w:p w14:paraId="222D814B" w14:textId="77777777" w:rsidR="00380394" w:rsidRDefault="00F9637A"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sidRPr="0054423A">
        <w:rPr>
          <w:rFonts w:ascii="Palatino Linotype" w:eastAsia="Palatino Linotype" w:hAnsi="Palatino Linotype" w:cs="Palatino Linotype"/>
        </w:rPr>
        <w:t>Posteriormente, tras el recurso de revisión, en términos del artículo 185 fracción II</w:t>
      </w:r>
      <w:r w:rsidRPr="0054423A">
        <w:rPr>
          <w:rFonts w:ascii="Palatino Linotype" w:eastAsia="Palatino Linotype" w:hAnsi="Palatino Linotype" w:cs="Palatino Linotype"/>
          <w:vertAlign w:val="superscript"/>
        </w:rPr>
        <w:footnoteReference w:id="1"/>
      </w:r>
      <w:r w:rsidRPr="0054423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cabe señalar que </w:t>
      </w:r>
      <w:r w:rsidR="007244A0" w:rsidRPr="0054423A">
        <w:rPr>
          <w:rFonts w:ascii="Palatino Linotype" w:eastAsia="Palatino Linotype" w:hAnsi="Palatino Linotype" w:cs="Palatino Linotype"/>
        </w:rPr>
        <w:t xml:space="preserve">el sujeto obligado rindió su informe justificado, en el que ratificó su respuesta inicial. </w:t>
      </w:r>
    </w:p>
    <w:p w14:paraId="46C5D690" w14:textId="77777777" w:rsidR="00811D8B" w:rsidRPr="0054423A" w:rsidRDefault="00811D8B"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14:paraId="2EC5349F" w14:textId="77777777" w:rsidR="007244A0" w:rsidRDefault="00F9637A"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sidRPr="0054423A">
        <w:rPr>
          <w:rFonts w:ascii="Palatino Linotype" w:eastAsia="Palatino Linotype" w:hAnsi="Palatino Linotype" w:cs="Palatino Linotype"/>
        </w:rPr>
        <w:lastRenderedPageBreak/>
        <w:t>En tal sentido,</w:t>
      </w:r>
      <w:r w:rsidR="007244A0" w:rsidRPr="0054423A">
        <w:rPr>
          <w:rFonts w:ascii="Palatino Linotype" w:eastAsia="Palatino Linotype" w:hAnsi="Palatino Linotype" w:cs="Palatino Linotype"/>
        </w:rPr>
        <w:t xml:space="preserve"> la Ponencia consideró pertinente realizar un requerimiento de información adicional, en el que solicitó al sujeto obligado proporcionara los siguientes elementos: </w:t>
      </w:r>
    </w:p>
    <w:p w14:paraId="5E807739" w14:textId="77777777" w:rsidR="00811D8B" w:rsidRPr="0054423A" w:rsidRDefault="00811D8B"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14:paraId="016AC025" w14:textId="77777777" w:rsidR="007244A0" w:rsidRPr="0054423A" w:rsidRDefault="007244A0" w:rsidP="00F9637A">
      <w:pPr>
        <w:spacing w:after="0" w:line="276" w:lineRule="auto"/>
        <w:ind w:left="567" w:right="567"/>
        <w:jc w:val="both"/>
        <w:rPr>
          <w:rFonts w:ascii="Palatino Linotype" w:hAnsi="Palatino Linotype" w:cs="Tahoma"/>
          <w:i/>
          <w:iCs/>
          <w:lang w:val="es-ES"/>
        </w:rPr>
      </w:pPr>
      <w:r w:rsidRPr="0054423A">
        <w:rPr>
          <w:rFonts w:ascii="Palatino Linotype" w:hAnsi="Palatino Linotype" w:cs="Tahoma"/>
          <w:i/>
          <w:iCs/>
          <w:lang w:val="es-ES"/>
        </w:rPr>
        <w:t>“…</w:t>
      </w:r>
    </w:p>
    <w:p w14:paraId="7759F745" w14:textId="77777777" w:rsidR="007244A0" w:rsidRPr="00811D8B" w:rsidRDefault="007244A0" w:rsidP="00F9637A">
      <w:pPr>
        <w:spacing w:after="0" w:line="276" w:lineRule="auto"/>
        <w:ind w:left="567" w:right="567"/>
        <w:jc w:val="both"/>
        <w:rPr>
          <w:rFonts w:ascii="Palatino Linotype" w:hAnsi="Palatino Linotype" w:cs="Tahoma"/>
          <w:b/>
          <w:bCs/>
          <w:i/>
          <w:iCs/>
          <w:lang w:val="es-ES"/>
        </w:rPr>
      </w:pPr>
      <w:r w:rsidRPr="0054423A">
        <w:rPr>
          <w:rFonts w:ascii="Palatino Linotype" w:hAnsi="Palatino Linotype" w:cs="Tahoma"/>
          <w:b/>
          <w:bCs/>
          <w:i/>
          <w:iCs/>
          <w:lang w:val="es-ES"/>
        </w:rPr>
        <w:t>a) Precise en que consiste la variación de la información entregada en la solicitud 00015/CAEM/IP/2022, a la solicitud 00044/CAEM/IP/2022.</w:t>
      </w:r>
    </w:p>
    <w:p w14:paraId="51701C3C" w14:textId="77777777" w:rsidR="007244A0" w:rsidRPr="0054423A" w:rsidRDefault="007244A0" w:rsidP="00F9637A">
      <w:pPr>
        <w:spacing w:after="0" w:line="276" w:lineRule="auto"/>
        <w:ind w:left="567" w:right="567"/>
        <w:jc w:val="both"/>
        <w:rPr>
          <w:rFonts w:ascii="Palatino Linotype" w:hAnsi="Palatino Linotype" w:cs="Tahoma"/>
          <w:i/>
          <w:iCs/>
          <w:lang w:val="es-ES"/>
        </w:rPr>
      </w:pPr>
      <w:r w:rsidRPr="0054423A">
        <w:rPr>
          <w:rFonts w:ascii="Palatino Linotype" w:hAnsi="Palatino Linotype" w:cs="Tahoma"/>
          <w:i/>
          <w:iCs/>
          <w:lang w:val="es-ES"/>
        </w:rPr>
        <w:t xml:space="preserve">Al momento del ingreso y otorgamiento de la respuesta relativa al folio 00015/CAEM/IP/2022 la documentación soporte (1407 cuentas por pagar, 1218 fojas de SPEIS por transferencias y 61 fojas de cheques emitidos a favor de Comercializadora Mecano S.A. de C.V.) se encontraba en revisión debido al proceso de </w:t>
      </w:r>
      <w:r w:rsidRPr="0054423A">
        <w:rPr>
          <w:rFonts w:ascii="Palatino Linotype" w:hAnsi="Palatino Linotype" w:cs="Tahoma"/>
          <w:i/>
          <w:iCs/>
          <w:u w:val="single"/>
          <w:lang w:val="es-ES"/>
        </w:rPr>
        <w:t>Dictaminación de los Estados Financieros y Cierre Presupuestal 2021</w:t>
      </w:r>
      <w:r w:rsidRPr="0054423A">
        <w:rPr>
          <w:rFonts w:ascii="Palatino Linotype" w:hAnsi="Palatino Linotype" w:cs="Tahoma"/>
          <w:i/>
          <w:iCs/>
          <w:lang w:val="es-ES"/>
        </w:rPr>
        <w:t xml:space="preserve"> que, en ese momento se realizaba en conjunto con el despacho externo asignado por la Secretaría de</w:t>
      </w:r>
      <w:r w:rsidR="00811D8B">
        <w:rPr>
          <w:rFonts w:ascii="Palatino Linotype" w:hAnsi="Palatino Linotype" w:cs="Tahoma"/>
          <w:i/>
          <w:iCs/>
          <w:lang w:val="es-ES"/>
        </w:rPr>
        <w:t xml:space="preserve"> la Contraloría, adjuntando el d</w:t>
      </w:r>
      <w:r w:rsidRPr="0054423A">
        <w:rPr>
          <w:rFonts w:ascii="Palatino Linotype" w:hAnsi="Palatino Linotype" w:cs="Tahoma"/>
          <w:i/>
          <w:iCs/>
          <w:lang w:val="es-ES"/>
        </w:rPr>
        <w:t xml:space="preserve">ocumento probatorio correspondiente, de hecho que, </w:t>
      </w:r>
      <w:r w:rsidRPr="0054423A">
        <w:rPr>
          <w:rFonts w:ascii="Palatino Linotype" w:hAnsi="Palatino Linotype" w:cs="Tahoma"/>
          <w:b/>
          <w:bCs/>
          <w:i/>
          <w:iCs/>
          <w:lang w:val="es-ES"/>
        </w:rPr>
        <w:t>para el momento del ingreso y atención del folio 00044/CAEM/IP/2022 ya había concluido, sin embargo, tal y como comunicó la entonces Directora de Finanzas mediante nota informativa (adjunta) la documentación que daba atención a parte de la solicitud consistía en 27,884 fojas</w:t>
      </w:r>
      <w:r w:rsidRPr="0054423A">
        <w:rPr>
          <w:rFonts w:ascii="Palatino Linotype" w:hAnsi="Palatino Linotype" w:cs="Tahoma"/>
          <w:i/>
          <w:iCs/>
          <w:lang w:val="es-ES"/>
        </w:rPr>
        <w:t xml:space="preserve">, hecho que sobrepasaba las capacidad técnicas administrativas y humanas de este Sujeto Obligado, para cumplir con el procesamiento de los documentos (reproducción en formatos abiertos para la entrega y reproducción.) </w:t>
      </w:r>
    </w:p>
    <w:p w14:paraId="54F80D13" w14:textId="77777777" w:rsidR="007244A0" w:rsidRPr="00811D8B" w:rsidRDefault="007244A0" w:rsidP="00F9637A">
      <w:pPr>
        <w:spacing w:after="0" w:line="276" w:lineRule="auto"/>
        <w:ind w:left="567" w:right="567"/>
        <w:jc w:val="both"/>
        <w:rPr>
          <w:rFonts w:ascii="Palatino Linotype" w:hAnsi="Palatino Linotype" w:cs="Tahoma"/>
          <w:b/>
          <w:bCs/>
          <w:i/>
          <w:iCs/>
        </w:rPr>
      </w:pPr>
      <w:r w:rsidRPr="0054423A">
        <w:rPr>
          <w:rFonts w:ascii="Palatino Linotype" w:hAnsi="Palatino Linotype" w:cs="Tahoma"/>
          <w:b/>
          <w:bCs/>
          <w:i/>
          <w:iCs/>
        </w:rPr>
        <w:t>b) En relación al punto anterior, señale el número y tipo de documentos que atienden a ambas solicitudes de información.</w:t>
      </w:r>
    </w:p>
    <w:p w14:paraId="4B1A8597" w14:textId="77777777" w:rsidR="007244A0" w:rsidRPr="0054423A" w:rsidRDefault="007244A0" w:rsidP="00F9637A">
      <w:pPr>
        <w:spacing w:after="0" w:line="276" w:lineRule="auto"/>
        <w:ind w:left="567" w:right="567"/>
        <w:jc w:val="both"/>
        <w:rPr>
          <w:rFonts w:ascii="Palatino Linotype" w:hAnsi="Palatino Linotype" w:cs="Tahoma"/>
          <w:i/>
          <w:iCs/>
          <w:lang w:val="es-ES"/>
        </w:rPr>
      </w:pPr>
      <w:r w:rsidRPr="0054423A">
        <w:rPr>
          <w:rFonts w:ascii="Palatino Linotype" w:hAnsi="Palatino Linotype" w:cs="Tahoma"/>
          <w:i/>
          <w:iCs/>
          <w:lang w:val="es-ES"/>
        </w:rPr>
        <w:t xml:space="preserve">Mediante el siguiente cuadro comparativo se detalla el número y tipo de documentos que dan atención en los folios: </w:t>
      </w:r>
    </w:p>
    <w:p w14:paraId="5383DD14" w14:textId="77777777" w:rsidR="007244A0" w:rsidRPr="0054423A" w:rsidRDefault="007244A0" w:rsidP="00F9637A">
      <w:pPr>
        <w:spacing w:after="0" w:line="276" w:lineRule="auto"/>
        <w:ind w:left="567" w:right="567"/>
        <w:jc w:val="both"/>
        <w:rPr>
          <w:rFonts w:ascii="Palatino Linotype" w:hAnsi="Palatino Linotype" w:cs="Tahoma"/>
          <w:i/>
          <w:iCs/>
          <w:lang w:val="es-ES"/>
        </w:rPr>
      </w:pPr>
      <w:r w:rsidRPr="0054423A">
        <w:rPr>
          <w:rFonts w:ascii="Palatino Linotype" w:hAnsi="Palatino Linotype" w:cs="Tahoma"/>
          <w:i/>
          <w:iCs/>
          <w:noProof/>
          <w:lang w:val="es-MX"/>
        </w:rPr>
        <w:lastRenderedPageBreak/>
        <w:drawing>
          <wp:inline distT="0" distB="0" distL="0" distR="0" wp14:anchorId="045BCC16" wp14:editId="50B12AAD">
            <wp:extent cx="5191125" cy="90379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236406" cy="911679"/>
                    </a:xfrm>
                    <a:prstGeom prst="rect">
                      <a:avLst/>
                    </a:prstGeom>
                  </pic:spPr>
                </pic:pic>
              </a:graphicData>
            </a:graphic>
          </wp:inline>
        </w:drawing>
      </w:r>
      <w:r w:rsidRPr="0054423A">
        <w:rPr>
          <w:rFonts w:ascii="Palatino Linotype" w:hAnsi="Palatino Linotype" w:cs="Tahoma"/>
          <w:i/>
          <w:iCs/>
          <w:noProof/>
          <w:lang w:val="es-MX"/>
        </w:rPr>
        <w:drawing>
          <wp:inline distT="0" distB="0" distL="0" distR="0" wp14:anchorId="37BF2203" wp14:editId="3A88ADE6">
            <wp:extent cx="5190490" cy="3171825"/>
            <wp:effectExtent l="0" t="0" r="0" b="9525"/>
            <wp:docPr id="2" name="Imagen 2"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ptura de pantalla de un celular&#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5213631" cy="3185966"/>
                    </a:xfrm>
                    <a:prstGeom prst="rect">
                      <a:avLst/>
                    </a:prstGeom>
                  </pic:spPr>
                </pic:pic>
              </a:graphicData>
            </a:graphic>
          </wp:inline>
        </w:drawing>
      </w:r>
    </w:p>
    <w:p w14:paraId="04C51F56" w14:textId="77777777" w:rsidR="007244A0" w:rsidRPr="00811D8B" w:rsidRDefault="007244A0" w:rsidP="00F9637A">
      <w:pPr>
        <w:spacing w:after="0" w:line="276" w:lineRule="auto"/>
        <w:ind w:left="567" w:right="567"/>
        <w:jc w:val="both"/>
        <w:rPr>
          <w:rFonts w:ascii="Palatino Linotype" w:hAnsi="Palatino Linotype" w:cs="Tahoma"/>
          <w:b/>
          <w:bCs/>
          <w:i/>
          <w:iCs/>
          <w:lang w:val="es-ES"/>
        </w:rPr>
      </w:pPr>
      <w:r w:rsidRPr="0054423A">
        <w:rPr>
          <w:rFonts w:ascii="Palatino Linotype" w:hAnsi="Palatino Linotype" w:cs="Tahoma"/>
          <w:b/>
          <w:bCs/>
          <w:i/>
          <w:iCs/>
          <w:lang w:val="es-ES"/>
        </w:rPr>
        <w:t>c) Señale cual es la imposibilidad técnica de atender la solicitud de información 00044/CAEM/IP/2022.</w:t>
      </w:r>
    </w:p>
    <w:p w14:paraId="194FDC45" w14:textId="77777777" w:rsidR="007244A0" w:rsidRPr="0054423A" w:rsidRDefault="007244A0" w:rsidP="00F9637A">
      <w:pPr>
        <w:spacing w:after="0" w:line="276" w:lineRule="auto"/>
        <w:ind w:left="567" w:right="567"/>
        <w:jc w:val="both"/>
        <w:rPr>
          <w:rFonts w:ascii="Palatino Linotype" w:hAnsi="Palatino Linotype" w:cs="Tahoma"/>
          <w:i/>
          <w:iCs/>
          <w:lang w:val="es-ES"/>
        </w:rPr>
      </w:pPr>
      <w:r w:rsidRPr="0054423A">
        <w:rPr>
          <w:rFonts w:ascii="Palatino Linotype" w:hAnsi="Palatino Linotype" w:cs="Tahoma"/>
          <w:i/>
          <w:iCs/>
          <w:lang w:val="es-ES"/>
        </w:rPr>
        <w:t xml:space="preserve">La imposibilidad técnica consistió en su momento, en que la información que conformaba la respuesta al folio 00044/CAEM/IP/2022 tenia un tamaño aproximado de 15 GB, situación que sobrepasaba las capacidades técnicas del Sistema SAIMEX. </w:t>
      </w:r>
    </w:p>
    <w:p w14:paraId="27C1F51F" w14:textId="77777777" w:rsidR="007244A0" w:rsidRPr="0054423A" w:rsidRDefault="007244A0" w:rsidP="00F9637A">
      <w:pPr>
        <w:spacing w:after="0" w:line="276" w:lineRule="auto"/>
        <w:ind w:left="567" w:right="567"/>
        <w:jc w:val="both"/>
        <w:rPr>
          <w:rFonts w:ascii="Palatino Linotype" w:hAnsi="Palatino Linotype" w:cs="Tahoma"/>
          <w:i/>
          <w:iCs/>
          <w:lang w:val="es-ES"/>
        </w:rPr>
      </w:pPr>
      <w:r w:rsidRPr="0054423A">
        <w:rPr>
          <w:rFonts w:ascii="Palatino Linotype" w:hAnsi="Palatino Linotype" w:cs="Tahoma"/>
          <w:i/>
          <w:iCs/>
          <w:lang w:val="es-ES"/>
        </w:rPr>
        <w:t xml:space="preserve">Lo anterior, tiene sustento en: </w:t>
      </w:r>
    </w:p>
    <w:p w14:paraId="56E566A0" w14:textId="77777777" w:rsidR="007244A0" w:rsidRPr="00811D8B" w:rsidRDefault="007244A0" w:rsidP="00F9637A">
      <w:pPr>
        <w:pStyle w:val="Prrafodelista"/>
        <w:numPr>
          <w:ilvl w:val="0"/>
          <w:numId w:val="4"/>
        </w:numPr>
        <w:spacing w:line="276" w:lineRule="auto"/>
        <w:ind w:right="567"/>
        <w:jc w:val="both"/>
        <w:rPr>
          <w:rFonts w:ascii="Palatino Linotype" w:hAnsi="Palatino Linotype" w:cs="Tahoma"/>
          <w:i/>
          <w:iCs/>
          <w:sz w:val="22"/>
          <w:szCs w:val="22"/>
        </w:rPr>
      </w:pPr>
      <w:r w:rsidRPr="0054423A">
        <w:rPr>
          <w:rFonts w:ascii="Palatino Linotype" w:hAnsi="Palatino Linotype" w:cs="Tahoma"/>
          <w:i/>
          <w:iCs/>
          <w:sz w:val="22"/>
          <w:szCs w:val="22"/>
        </w:rPr>
        <w:t>Oficio 219C0117L/539/2022 de fecha 22 de marzo de 2022, mediante el cual se requirió la intervención de la Unidad de Transparencia con la finalidad de comunicar al INFOEM que la información que conformaba la respuesta al folio 00044/CAEM/IP/2022 tenia un tamaño aproximado de 15 GB y, esto sobrepasaba las capacidades técnicas del sistema SAIMEX.</w:t>
      </w:r>
    </w:p>
    <w:p w14:paraId="399EE317" w14:textId="77777777" w:rsidR="007244A0" w:rsidRPr="00811D8B" w:rsidRDefault="007244A0" w:rsidP="00F9637A">
      <w:pPr>
        <w:pStyle w:val="Prrafodelista"/>
        <w:numPr>
          <w:ilvl w:val="0"/>
          <w:numId w:val="4"/>
        </w:numPr>
        <w:spacing w:line="276" w:lineRule="auto"/>
        <w:ind w:right="567"/>
        <w:jc w:val="both"/>
        <w:rPr>
          <w:rFonts w:ascii="Palatino Linotype" w:hAnsi="Palatino Linotype" w:cs="Tahoma"/>
          <w:i/>
          <w:iCs/>
          <w:sz w:val="22"/>
          <w:szCs w:val="22"/>
        </w:rPr>
      </w:pPr>
      <w:r w:rsidRPr="0054423A">
        <w:rPr>
          <w:rFonts w:ascii="Palatino Linotype" w:hAnsi="Palatino Linotype" w:cs="Tahoma"/>
          <w:i/>
          <w:iCs/>
          <w:sz w:val="22"/>
          <w:szCs w:val="22"/>
        </w:rPr>
        <w:lastRenderedPageBreak/>
        <w:t xml:space="preserve">Oficio INFOEM/DGI/126/2022 del 24 de marzo de 2022 se informó que la incidencia técnica se había registrado en la bitácora, debido a que esto no sobrepasa las capacidades técnicas del sistema SAIMEX. </w:t>
      </w:r>
    </w:p>
    <w:p w14:paraId="1F7AB077" w14:textId="77777777" w:rsidR="007244A0" w:rsidRPr="00811D8B" w:rsidRDefault="007244A0" w:rsidP="00F9637A">
      <w:pPr>
        <w:pStyle w:val="Prrafodelista"/>
        <w:numPr>
          <w:ilvl w:val="0"/>
          <w:numId w:val="4"/>
        </w:numPr>
        <w:spacing w:line="276" w:lineRule="auto"/>
        <w:ind w:right="567"/>
        <w:jc w:val="both"/>
        <w:rPr>
          <w:rFonts w:ascii="Palatino Linotype" w:hAnsi="Palatino Linotype" w:cs="Tahoma"/>
          <w:i/>
          <w:iCs/>
          <w:sz w:val="22"/>
          <w:szCs w:val="22"/>
        </w:rPr>
      </w:pPr>
      <w:r w:rsidRPr="0054423A">
        <w:rPr>
          <w:rFonts w:ascii="Palatino Linotype" w:hAnsi="Palatino Linotype" w:cs="Tahoma"/>
          <w:i/>
          <w:iCs/>
          <w:sz w:val="22"/>
          <w:szCs w:val="22"/>
        </w:rPr>
        <w:t>El 04 de marzo de 2022 se celebró la sesión extraordinaria 67 del Comité de Transparencia, en la cual se aprobó el cambio de modalidad de entrega de la información, así como la clasificación como confidencial del acta constitutiva de “Comercializadora MECANO S.A. de C.V. así como de la cédula de identificación fiscal.</w:t>
      </w:r>
    </w:p>
    <w:p w14:paraId="40D0872B" w14:textId="77777777" w:rsidR="007244A0" w:rsidRPr="00811D8B" w:rsidRDefault="007244A0" w:rsidP="00F9637A">
      <w:pPr>
        <w:pStyle w:val="Prrafodelista"/>
        <w:numPr>
          <w:ilvl w:val="0"/>
          <w:numId w:val="4"/>
        </w:numPr>
        <w:spacing w:line="276" w:lineRule="auto"/>
        <w:ind w:right="567"/>
        <w:jc w:val="both"/>
        <w:rPr>
          <w:rFonts w:ascii="Palatino Linotype" w:hAnsi="Palatino Linotype" w:cs="Tahoma"/>
          <w:i/>
          <w:iCs/>
          <w:sz w:val="22"/>
          <w:szCs w:val="22"/>
        </w:rPr>
      </w:pPr>
      <w:r w:rsidRPr="0054423A">
        <w:rPr>
          <w:rFonts w:ascii="Palatino Linotype" w:hAnsi="Palatino Linotype" w:cs="Tahoma"/>
          <w:i/>
          <w:iCs/>
          <w:sz w:val="22"/>
          <w:szCs w:val="22"/>
        </w:rPr>
        <w:t>Por unanimidad de votos al Comité aprobó lo propuesto mediante acuerdo COMINFORM-067-E-04042022-04.</w:t>
      </w:r>
    </w:p>
    <w:p w14:paraId="1ADE5078" w14:textId="77777777" w:rsidR="007244A0" w:rsidRPr="00811D8B" w:rsidRDefault="007244A0" w:rsidP="00F9637A">
      <w:pPr>
        <w:pStyle w:val="Prrafodelista"/>
        <w:numPr>
          <w:ilvl w:val="0"/>
          <w:numId w:val="4"/>
        </w:numPr>
        <w:spacing w:line="276" w:lineRule="auto"/>
        <w:ind w:right="567"/>
        <w:jc w:val="both"/>
        <w:rPr>
          <w:rFonts w:ascii="Palatino Linotype" w:hAnsi="Palatino Linotype" w:cs="Tahoma"/>
          <w:i/>
          <w:iCs/>
          <w:sz w:val="22"/>
          <w:szCs w:val="22"/>
        </w:rPr>
      </w:pPr>
      <w:r w:rsidRPr="0054423A">
        <w:rPr>
          <w:rFonts w:ascii="Palatino Linotype" w:hAnsi="Palatino Linotype" w:cs="Tahoma"/>
          <w:i/>
          <w:iCs/>
          <w:sz w:val="22"/>
          <w:szCs w:val="22"/>
        </w:rPr>
        <w:t>EL 05 DE ABRIL DE 2022 mediante plataforma SAIMEX, el entonces Titular de la Unidad de Transparencia notifico al requirente el lugar, fecha, horarios y el servidor público que la diera atención a efectos de que el peticionario acudiera a obtener la información</w:t>
      </w:r>
      <w:r w:rsidRPr="00811D8B">
        <w:rPr>
          <w:rFonts w:ascii="Palatino Linotype" w:hAnsi="Palatino Linotype" w:cs="Tahoma"/>
          <w:i/>
          <w:iCs/>
          <w:sz w:val="22"/>
          <w:szCs w:val="22"/>
        </w:rPr>
        <w:t xml:space="preserve">…” (Sic) </w:t>
      </w:r>
    </w:p>
    <w:p w14:paraId="5DC1C8E2" w14:textId="77777777" w:rsidR="007244A0" w:rsidRPr="0054423A" w:rsidRDefault="007244A0" w:rsidP="0054423A">
      <w:pPr>
        <w:spacing w:after="0" w:line="360" w:lineRule="auto"/>
        <w:ind w:left="567" w:right="567"/>
        <w:jc w:val="both"/>
        <w:rPr>
          <w:rFonts w:ascii="Palatino Linotype" w:hAnsi="Palatino Linotype" w:cs="Tahoma"/>
          <w:i/>
          <w:iCs/>
          <w:lang w:val="es-ES"/>
        </w:rPr>
      </w:pPr>
    </w:p>
    <w:p w14:paraId="6E447644" w14:textId="77777777" w:rsidR="0054423A" w:rsidRDefault="0054423A" w:rsidP="0054423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D</w:t>
      </w:r>
      <w:r w:rsidR="00F9637A" w:rsidRPr="0054423A">
        <w:rPr>
          <w:rFonts w:ascii="Palatino Linotype" w:eastAsia="Palatino Linotype" w:hAnsi="Palatino Linotype" w:cs="Palatino Linotype"/>
        </w:rPr>
        <w:t>erivado del análisis efectuado,</w:t>
      </w:r>
      <w:r w:rsidR="007244A0" w:rsidRPr="0054423A">
        <w:rPr>
          <w:rFonts w:ascii="Palatino Linotype" w:eastAsia="Palatino Linotype" w:hAnsi="Palatino Linotype" w:cs="Palatino Linotype"/>
        </w:rPr>
        <w:t xml:space="preserve"> la Ponencia Resolutora</w:t>
      </w:r>
      <w:r w:rsidR="00F9637A" w:rsidRPr="0054423A">
        <w:rPr>
          <w:rFonts w:ascii="Palatino Linotype" w:eastAsia="Palatino Linotype" w:hAnsi="Palatino Linotype" w:cs="Palatino Linotype"/>
        </w:rPr>
        <w:t xml:space="preserve"> consideró </w:t>
      </w:r>
      <w:r w:rsidR="007244A0" w:rsidRPr="0054423A">
        <w:rPr>
          <w:rFonts w:ascii="Palatino Linotype" w:eastAsia="Palatino Linotype" w:hAnsi="Palatino Linotype" w:cs="Palatino Linotype"/>
        </w:rPr>
        <w:t xml:space="preserve">que </w:t>
      </w:r>
      <w:r>
        <w:rPr>
          <w:rFonts w:ascii="Palatino Linotype" w:eastAsia="Palatino Linotype" w:hAnsi="Palatino Linotype" w:cs="Palatino Linotype"/>
        </w:rPr>
        <w:t>parte de la informaci</w:t>
      </w:r>
      <w:r w:rsidR="00811D8B">
        <w:rPr>
          <w:rFonts w:ascii="Palatino Linotype" w:eastAsia="Palatino Linotype" w:hAnsi="Palatino Linotype" w:cs="Palatino Linotype"/>
        </w:rPr>
        <w:t>ón que se solicitab</w:t>
      </w:r>
      <w:r>
        <w:rPr>
          <w:rFonts w:ascii="Palatino Linotype" w:eastAsia="Palatino Linotype" w:hAnsi="Palatino Linotype" w:cs="Palatino Linotype"/>
        </w:rPr>
        <w:t>a podía ser entregada vía Sistema de Acceso a la Información Mexiquense, toda vez que se advirtió que el Sujeto Obligado tanto en respuesta a la solicitud de f</w:t>
      </w:r>
      <w:r w:rsidRPr="009A5FE7">
        <w:rPr>
          <w:rFonts w:ascii="Palatino Linotype" w:eastAsia="Palatino Linotype" w:hAnsi="Palatino Linotype" w:cs="Palatino Linotype"/>
        </w:rPr>
        <w:t xml:space="preserve">olio 00015/CAEM/IP/2022, como en el cumplimiento del Recurso de Revisión 03944/INFOEM/IP/RR/2022, ya existía el antecedente de que la información obraba en los archivos de la Comisión del Agua del Estado de México y que a su vez esta información se entregó al Recurrente a través del Sistema de Acceso a la </w:t>
      </w:r>
      <w:r>
        <w:rPr>
          <w:rFonts w:ascii="Palatino Linotype" w:eastAsia="Palatino Linotype" w:hAnsi="Palatino Linotype" w:cs="Palatino Linotype"/>
        </w:rPr>
        <w:t>Información Mexiquense.</w:t>
      </w:r>
    </w:p>
    <w:p w14:paraId="537A0BAF" w14:textId="77777777" w:rsidR="0054423A" w:rsidRDefault="0054423A" w:rsidP="0054423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C1F1185" w14:textId="77777777" w:rsidR="0054423A" w:rsidRPr="0054423A" w:rsidRDefault="0054423A" w:rsidP="0054423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otro lado, aquella información que no se había proporcionado</w:t>
      </w:r>
      <w:r w:rsidR="00811D8B">
        <w:rPr>
          <w:rFonts w:ascii="Palatino Linotype" w:eastAsia="Palatino Linotype" w:hAnsi="Palatino Linotype" w:cs="Palatino Linotype"/>
        </w:rPr>
        <w:t xml:space="preserve"> anteriormente mediante esa vía</w:t>
      </w:r>
      <w:r>
        <w:rPr>
          <w:rFonts w:ascii="Palatino Linotype" w:eastAsia="Palatino Linotype" w:hAnsi="Palatino Linotype" w:cs="Palatino Linotype"/>
        </w:rPr>
        <w:t>, podía ser entregada</w:t>
      </w:r>
      <w:r w:rsidR="00811D8B">
        <w:rPr>
          <w:rFonts w:ascii="Palatino Linotype" w:eastAsia="Palatino Linotype" w:hAnsi="Palatino Linotype" w:cs="Palatino Linotype"/>
        </w:rPr>
        <w:t xml:space="preserve"> al Particular </w:t>
      </w:r>
      <w:r>
        <w:rPr>
          <w:rFonts w:ascii="Palatino Linotype" w:eastAsia="Palatino Linotype" w:hAnsi="Palatino Linotype" w:cs="Palatino Linotype"/>
        </w:rPr>
        <w:t>vía Consulta D</w:t>
      </w:r>
      <w:r w:rsidR="00780306">
        <w:rPr>
          <w:rFonts w:ascii="Palatino Linotype" w:eastAsia="Palatino Linotype" w:hAnsi="Palatino Linotype" w:cs="Palatino Linotype"/>
        </w:rPr>
        <w:t>irecta</w:t>
      </w:r>
      <w:r>
        <w:rPr>
          <w:rFonts w:ascii="Palatino Linotype" w:eastAsia="Palatino Linotype" w:hAnsi="Palatino Linotype" w:cs="Palatino Linotype"/>
        </w:rPr>
        <w:t xml:space="preserve">. </w:t>
      </w:r>
    </w:p>
    <w:p w14:paraId="1EEFBFBC" w14:textId="77777777" w:rsidR="007244A0" w:rsidRPr="0054423A" w:rsidRDefault="007244A0" w:rsidP="0054423A">
      <w:pPr>
        <w:pBdr>
          <w:top w:val="nil"/>
          <w:left w:val="nil"/>
          <w:bottom w:val="nil"/>
          <w:right w:val="nil"/>
          <w:between w:val="nil"/>
        </w:pBdr>
        <w:spacing w:after="0" w:line="360" w:lineRule="auto"/>
        <w:ind w:right="139"/>
        <w:jc w:val="both"/>
        <w:rPr>
          <w:rFonts w:ascii="Palatino Linotype" w:eastAsia="Palatino Linotype" w:hAnsi="Palatino Linotype" w:cs="Palatino Linotype"/>
          <w:b/>
          <w:i/>
        </w:rPr>
      </w:pPr>
    </w:p>
    <w:p w14:paraId="6E9B4D69" w14:textId="77777777" w:rsidR="00380394" w:rsidRDefault="00F9637A" w:rsidP="0054423A">
      <w:pPr>
        <w:spacing w:after="0" w:line="360" w:lineRule="auto"/>
        <w:ind w:right="139"/>
        <w:jc w:val="both"/>
        <w:rPr>
          <w:rFonts w:ascii="Palatino Linotype" w:eastAsia="Palatino Linotype" w:hAnsi="Palatino Linotype" w:cs="Palatino Linotype"/>
          <w:b/>
        </w:rPr>
      </w:pPr>
      <w:r w:rsidRPr="0054423A">
        <w:rPr>
          <w:rFonts w:ascii="Palatino Linotype" w:eastAsia="Palatino Linotype" w:hAnsi="Palatino Linotype" w:cs="Palatino Linotype"/>
          <w:b/>
        </w:rPr>
        <w:t>II. Razones del Voto Disidente.</w:t>
      </w:r>
    </w:p>
    <w:p w14:paraId="56F5A53C" w14:textId="77777777" w:rsidR="00780306" w:rsidRPr="0054423A" w:rsidRDefault="00780306" w:rsidP="0054423A">
      <w:pPr>
        <w:spacing w:after="0" w:line="360" w:lineRule="auto"/>
        <w:ind w:right="139"/>
        <w:jc w:val="both"/>
        <w:rPr>
          <w:rFonts w:ascii="Palatino Linotype" w:eastAsia="Palatino Linotype" w:hAnsi="Palatino Linotype" w:cs="Palatino Linotype"/>
          <w:b/>
        </w:rPr>
      </w:pPr>
    </w:p>
    <w:p w14:paraId="28D0E4D0" w14:textId="77777777" w:rsidR="00380394" w:rsidRDefault="00F9637A" w:rsidP="0054423A">
      <w:pPr>
        <w:spacing w:after="0" w:line="360" w:lineRule="auto"/>
        <w:ind w:right="139"/>
        <w:jc w:val="both"/>
        <w:rPr>
          <w:rFonts w:ascii="Palatino Linotype" w:eastAsia="Palatino Linotype" w:hAnsi="Palatino Linotype" w:cs="Palatino Linotype"/>
        </w:rPr>
      </w:pPr>
      <w:r w:rsidRPr="0054423A">
        <w:rPr>
          <w:rFonts w:ascii="Palatino Linotype" w:eastAsia="Palatino Linotype" w:hAnsi="Palatino Linotype" w:cs="Palatino Linotype"/>
        </w:rPr>
        <w:t xml:space="preserve">En términos generales es de señalar que </w:t>
      </w:r>
      <w:r w:rsidR="00780306">
        <w:rPr>
          <w:rFonts w:ascii="Palatino Linotype" w:eastAsia="Palatino Linotype" w:hAnsi="Palatino Linotype" w:cs="Palatino Linotype"/>
        </w:rPr>
        <w:t xml:space="preserve">no </w:t>
      </w:r>
      <w:r w:rsidRPr="0054423A">
        <w:rPr>
          <w:rFonts w:ascii="Palatino Linotype" w:eastAsia="Palatino Linotype" w:hAnsi="Palatino Linotype" w:cs="Palatino Linotype"/>
        </w:rPr>
        <w:t>se comparte el sentido de la resolución, por los argumentos que se exponen a continuación:</w:t>
      </w:r>
    </w:p>
    <w:p w14:paraId="70E6B642" w14:textId="77777777" w:rsidR="00780306" w:rsidRPr="0054423A" w:rsidRDefault="00780306" w:rsidP="0054423A">
      <w:pPr>
        <w:spacing w:after="0" w:line="360" w:lineRule="auto"/>
        <w:ind w:right="139"/>
        <w:jc w:val="both"/>
        <w:rPr>
          <w:rFonts w:ascii="Palatino Linotype" w:eastAsia="Palatino Linotype" w:hAnsi="Palatino Linotype" w:cs="Palatino Linotype"/>
        </w:rPr>
      </w:pPr>
    </w:p>
    <w:p w14:paraId="5DEAF2BE" w14:textId="77777777" w:rsidR="00380394" w:rsidRDefault="00F9637A" w:rsidP="00780306">
      <w:pPr>
        <w:spacing w:after="0" w:line="360" w:lineRule="auto"/>
        <w:ind w:right="139"/>
        <w:jc w:val="both"/>
        <w:rPr>
          <w:rFonts w:ascii="Palatino Linotype" w:eastAsia="Palatino Linotype" w:hAnsi="Palatino Linotype" w:cs="Palatino Linotype"/>
        </w:rPr>
      </w:pPr>
      <w:bookmarkStart w:id="3" w:name="_heading=h.gjdgxs" w:colFirst="0" w:colLast="0"/>
      <w:bookmarkEnd w:id="3"/>
      <w:r w:rsidRPr="0054423A">
        <w:rPr>
          <w:rFonts w:ascii="Palatino Linotype" w:eastAsia="Palatino Linotype" w:hAnsi="Palatino Linotype" w:cs="Palatino Linotype"/>
        </w:rPr>
        <w:t xml:space="preserve">Derivado del análisis a las constancias que conforman el expediente electrónico, el Comisionado Ponente determinó que </w:t>
      </w:r>
      <w:r w:rsidR="00780306">
        <w:rPr>
          <w:rFonts w:ascii="Palatino Linotype" w:eastAsia="Palatino Linotype" w:hAnsi="Palatino Linotype" w:cs="Palatino Linotype"/>
        </w:rPr>
        <w:t xml:space="preserve">la información solicitada, podía ser proporcionada a través de dos vías; Sistema de Acceso a la Información Mexiquense y Consulta Directa. </w:t>
      </w:r>
    </w:p>
    <w:p w14:paraId="196F4B1A" w14:textId="77777777" w:rsidR="00780306" w:rsidRDefault="00780306" w:rsidP="00780306">
      <w:pPr>
        <w:spacing w:after="0" w:line="360" w:lineRule="auto"/>
        <w:ind w:right="139"/>
        <w:jc w:val="both"/>
        <w:rPr>
          <w:rFonts w:ascii="Palatino Linotype" w:eastAsia="Palatino Linotype" w:hAnsi="Palatino Linotype" w:cs="Palatino Linotype"/>
        </w:rPr>
      </w:pPr>
    </w:p>
    <w:p w14:paraId="5DA0E362" w14:textId="77777777" w:rsidR="00780306" w:rsidRDefault="00780306" w:rsidP="00780306">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es importante hacer mención que, si bien, el artículo 155, fracción V de la Ley de Transparencia y Acceso a la Información Pública del Estado de México y Municipios precisa que para presentar una solicitud, los particulares podrán señalar la modalidad en la que prefiere se otorgue el acceso, también lo es que el artículo 158 establece que, de manera excepcional cuando de forma fundada y motivada lo determine el sujeto obligado, en los casos </w:t>
      </w:r>
      <w:r w:rsidRPr="00780306">
        <w:rPr>
          <w:rFonts w:ascii="Palatino Linotype" w:eastAsia="Palatino Linotype" w:hAnsi="Palatino Linotype" w:cs="Palatino Linotype"/>
        </w:rPr>
        <w:t>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04016A0" w14:textId="77777777" w:rsidR="00780306" w:rsidRDefault="00780306" w:rsidP="00780306">
      <w:pPr>
        <w:spacing w:after="0" w:line="360" w:lineRule="auto"/>
        <w:jc w:val="both"/>
        <w:rPr>
          <w:rFonts w:ascii="Palatino Linotype" w:eastAsia="Palatino Linotype" w:hAnsi="Palatino Linotype" w:cs="Palatino Linotype"/>
        </w:rPr>
      </w:pPr>
    </w:p>
    <w:p w14:paraId="35B09A71" w14:textId="77777777" w:rsidR="00780306" w:rsidRPr="00780306" w:rsidRDefault="00780306" w:rsidP="00780306">
      <w:pPr>
        <w:spacing w:after="0" w:line="360" w:lineRule="auto"/>
        <w:ind w:right="-28"/>
        <w:contextualSpacing/>
        <w:jc w:val="both"/>
        <w:rPr>
          <w:rFonts w:ascii="Palatino Linotype" w:hAnsi="Palatino Linotype" w:cs="Tahoma"/>
          <w:bCs/>
          <w:iCs/>
        </w:rPr>
      </w:pPr>
      <w:r w:rsidRPr="00780306">
        <w:rPr>
          <w:rFonts w:ascii="Palatino Linotype" w:hAnsi="Palatino Linotype" w:cs="Tahoma"/>
          <w:bCs/>
          <w:iCs/>
          <w:lang w:val="es-ES"/>
        </w:rPr>
        <w:t xml:space="preserve">En ese orden de ideas, el artículo 164 de dicho ordenamiento jurídico, prevé que </w:t>
      </w:r>
      <w:r w:rsidRPr="00780306">
        <w:rPr>
          <w:rFonts w:ascii="Palatino Linotype" w:hAnsi="Palatino Linotype" w:cs="Tahoma"/>
          <w:bCs/>
          <w:iCs/>
        </w:rPr>
        <w:t>el acceso se dará en la modalidad de entrega y, en su caso, de en</w:t>
      </w:r>
      <w:r w:rsidR="00F9637A">
        <w:rPr>
          <w:rFonts w:ascii="Palatino Linotype" w:hAnsi="Palatino Linotype" w:cs="Tahoma"/>
          <w:bCs/>
          <w:iCs/>
        </w:rPr>
        <w:t>vío elegidos por al solicitante, sin embargo, c</w:t>
      </w:r>
      <w:r w:rsidRPr="00780306">
        <w:rPr>
          <w:rFonts w:ascii="Palatino Linotype" w:hAnsi="Palatino Linotype" w:cs="Tahoma"/>
          <w:b/>
          <w:bCs/>
          <w:iCs/>
        </w:rPr>
        <w:t>uando la información no pueda entregarse o enviarse en la modalidad elegida, el sujeto obligado deberá ofrecer otra u otras modalidades de entrega.</w:t>
      </w:r>
      <w:r w:rsidRPr="00780306">
        <w:rPr>
          <w:rFonts w:ascii="Palatino Linotype" w:hAnsi="Palatino Linotype" w:cs="Tahoma"/>
          <w:bCs/>
          <w:iCs/>
        </w:rPr>
        <w:t xml:space="preserve"> En cualquier caso, </w:t>
      </w:r>
      <w:r w:rsidRPr="00780306">
        <w:rPr>
          <w:rFonts w:ascii="Palatino Linotype" w:hAnsi="Palatino Linotype" w:cs="Tahoma"/>
          <w:b/>
          <w:bCs/>
          <w:iCs/>
        </w:rPr>
        <w:t>se deberá fundar y motivar</w:t>
      </w:r>
      <w:r w:rsidRPr="00780306">
        <w:rPr>
          <w:rFonts w:ascii="Palatino Linotype" w:hAnsi="Palatino Linotype" w:cs="Tahoma"/>
          <w:bCs/>
          <w:iCs/>
        </w:rPr>
        <w:t xml:space="preserve"> la necesidad de ofrecer otras modalidades.</w:t>
      </w:r>
    </w:p>
    <w:p w14:paraId="5321C23C" w14:textId="77777777" w:rsidR="00780306" w:rsidRPr="00780306" w:rsidRDefault="00780306" w:rsidP="00780306">
      <w:pPr>
        <w:spacing w:after="0" w:line="360" w:lineRule="auto"/>
        <w:jc w:val="both"/>
        <w:rPr>
          <w:rFonts w:ascii="Palatino Linotype" w:eastAsia="Palatino Linotype" w:hAnsi="Palatino Linotype" w:cs="Palatino Linotype"/>
        </w:rPr>
      </w:pPr>
    </w:p>
    <w:p w14:paraId="51255036" w14:textId="77777777" w:rsidR="00F9637A" w:rsidRDefault="00780306" w:rsidP="00780306">
      <w:pPr>
        <w:spacing w:after="0" w:line="360" w:lineRule="auto"/>
        <w:ind w:right="-28"/>
        <w:contextualSpacing/>
        <w:jc w:val="both"/>
        <w:rPr>
          <w:rFonts w:ascii="Palatino Linotype" w:hAnsi="Palatino Linotype" w:cs="Tahoma"/>
          <w:bCs/>
          <w:iCs/>
          <w:lang w:val="es-ES"/>
        </w:rPr>
      </w:pPr>
      <w:r w:rsidRPr="00780306">
        <w:rPr>
          <w:rFonts w:ascii="Palatino Linotype" w:hAnsi="Palatino Linotype" w:cs="Tahoma"/>
          <w:bCs/>
          <w:iCs/>
          <w:lang w:val="es-E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1F830E59" w14:textId="77777777" w:rsidR="00F9637A" w:rsidRDefault="00F9637A" w:rsidP="00780306">
      <w:pPr>
        <w:spacing w:after="0" w:line="360" w:lineRule="auto"/>
        <w:ind w:right="-28"/>
        <w:contextualSpacing/>
        <w:jc w:val="both"/>
        <w:rPr>
          <w:rFonts w:ascii="Palatino Linotype" w:hAnsi="Palatino Linotype" w:cs="Tahoma"/>
          <w:bCs/>
          <w:iCs/>
          <w:lang w:val="es-ES"/>
        </w:rPr>
      </w:pPr>
    </w:p>
    <w:p w14:paraId="01CA20F0" w14:textId="77777777" w:rsidR="00780306" w:rsidRDefault="00780306" w:rsidP="00780306">
      <w:pPr>
        <w:spacing w:after="0" w:line="360" w:lineRule="auto"/>
        <w:ind w:right="-28"/>
        <w:contextualSpacing/>
        <w:jc w:val="both"/>
        <w:rPr>
          <w:rFonts w:ascii="Palatino Linotype" w:hAnsi="Palatino Linotype" w:cs="Tahoma"/>
          <w:bCs/>
          <w:iCs/>
          <w:lang w:val="es-ES"/>
        </w:rPr>
      </w:pPr>
      <w:r w:rsidRPr="00780306">
        <w:rPr>
          <w:rFonts w:ascii="Palatino Linotype" w:hAnsi="Palatino Linotype" w:cs="Tahoma"/>
          <w:bCs/>
          <w:iCs/>
          <w:lang w:val="es-ES"/>
        </w:rPr>
        <w:t xml:space="preserve">En tales consideraciones, la entrega deberá hacerse, </w:t>
      </w:r>
      <w:r w:rsidRPr="00780306">
        <w:rPr>
          <w:rFonts w:ascii="Palatino Linotype" w:hAnsi="Palatino Linotype" w:cs="Tahoma"/>
          <w:b/>
          <w:bCs/>
          <w:iCs/>
          <w:lang w:val="es-ES"/>
        </w:rPr>
        <w:t>en la medida de lo posible, en la forma solicitada por el interesado, salvo que exista un impedimento justificado para atenderla</w:t>
      </w:r>
      <w:r w:rsidRPr="00780306">
        <w:rPr>
          <w:rFonts w:ascii="Palatino Linotype" w:hAnsi="Palatino Linotype" w:cs="Tahoma"/>
          <w:bCs/>
          <w:iCs/>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780306">
        <w:rPr>
          <w:rFonts w:ascii="Palatino Linotype" w:hAnsi="Palatino Linotype" w:cs="Tahoma"/>
          <w:b/>
          <w:bCs/>
          <w:iCs/>
          <w:lang w:val="es-ES"/>
        </w:rPr>
        <w:t>sólo procede, en caso de que se acredite la imposibilidad de atenderla.</w:t>
      </w:r>
      <w:r w:rsidRPr="00780306">
        <w:rPr>
          <w:rFonts w:ascii="Palatino Linotype" w:hAnsi="Palatino Linotype" w:cs="Tahoma"/>
          <w:bCs/>
          <w:iCs/>
          <w:lang w:val="es-ES"/>
        </w:rPr>
        <w:t xml:space="preserve"> </w:t>
      </w:r>
    </w:p>
    <w:p w14:paraId="425E37EE" w14:textId="77777777" w:rsidR="00F9637A" w:rsidRPr="00780306" w:rsidRDefault="00F9637A" w:rsidP="00780306">
      <w:pPr>
        <w:spacing w:after="0" w:line="360" w:lineRule="auto"/>
        <w:ind w:right="-28"/>
        <w:contextualSpacing/>
        <w:jc w:val="both"/>
        <w:rPr>
          <w:rFonts w:ascii="Palatino Linotype" w:hAnsi="Palatino Linotype" w:cs="Tahoma"/>
          <w:bCs/>
          <w:iCs/>
          <w:lang w:val="es-ES"/>
        </w:rPr>
      </w:pPr>
    </w:p>
    <w:p w14:paraId="33948DC4" w14:textId="77777777" w:rsidR="00780306" w:rsidRPr="00780306" w:rsidRDefault="00780306" w:rsidP="00780306">
      <w:pPr>
        <w:spacing w:after="0" w:line="360" w:lineRule="auto"/>
        <w:ind w:right="-28"/>
        <w:contextualSpacing/>
        <w:jc w:val="both"/>
        <w:rPr>
          <w:rFonts w:ascii="Palatino Linotype" w:hAnsi="Palatino Linotype" w:cs="Tahoma"/>
          <w:bCs/>
          <w:iCs/>
          <w:lang w:val="es-ES"/>
        </w:rPr>
      </w:pPr>
      <w:r w:rsidRPr="00780306">
        <w:rPr>
          <w:rFonts w:ascii="Palatino Linotype" w:hAnsi="Palatino Linotype" w:cs="Tahoma"/>
          <w:bCs/>
          <w:iCs/>
          <w:lang w:val="es-ES"/>
        </w:rPr>
        <w:t xml:space="preserve">Así, cuando se justifique el impedimento, </w:t>
      </w:r>
      <w:r w:rsidRPr="00780306">
        <w:rPr>
          <w:rFonts w:ascii="Palatino Linotype" w:hAnsi="Palatino Linotype" w:cs="Tahoma"/>
          <w:b/>
          <w:bCs/>
          <w:iCs/>
          <w:lang w:val="es-ES"/>
        </w:rPr>
        <w:t>los Sujetos Obligados deberán ofrecer al particular otras modalidades de entrega que permita la información</w:t>
      </w:r>
      <w:r w:rsidRPr="00780306">
        <w:rPr>
          <w:rFonts w:ascii="Palatino Linotype" w:hAnsi="Palatino Linotype" w:cs="Tahoma"/>
          <w:bCs/>
          <w:iCs/>
          <w:lang w:val="es-ES"/>
        </w:rPr>
        <w:t>, como consulta directa en las oficinas de la Unidad de Transparencia; lo anterior, es robustecido con el Criterio: SO/008/2017, emitido por el Pleno del Instituto Nacional de Transparencia, Acceso a la Información y Protección de Datos Personales, el cual establece lo siguiente:</w:t>
      </w:r>
    </w:p>
    <w:p w14:paraId="650F5CB0" w14:textId="77777777" w:rsidR="00780306" w:rsidRPr="00780306" w:rsidRDefault="00780306" w:rsidP="00780306">
      <w:pPr>
        <w:spacing w:after="0" w:line="360" w:lineRule="auto"/>
        <w:ind w:right="-28"/>
        <w:contextualSpacing/>
        <w:jc w:val="both"/>
        <w:rPr>
          <w:rFonts w:ascii="Palatino Linotype" w:hAnsi="Palatino Linotype" w:cs="Tahoma"/>
          <w:bCs/>
          <w:iCs/>
          <w:lang w:val="es-ES"/>
        </w:rPr>
      </w:pPr>
    </w:p>
    <w:p w14:paraId="1963A687" w14:textId="77777777" w:rsidR="00780306" w:rsidRPr="00F9637A" w:rsidRDefault="00780306" w:rsidP="00F9637A">
      <w:pPr>
        <w:spacing w:after="0" w:line="276" w:lineRule="auto"/>
        <w:ind w:left="567" w:right="567"/>
        <w:contextualSpacing/>
        <w:jc w:val="both"/>
        <w:rPr>
          <w:rFonts w:ascii="Palatino Linotype" w:hAnsi="Palatino Linotype" w:cs="Tahoma"/>
          <w:bCs/>
          <w:i/>
          <w:iCs/>
          <w:lang w:val="es-ES"/>
        </w:rPr>
      </w:pPr>
      <w:r w:rsidRPr="00F9637A">
        <w:rPr>
          <w:rFonts w:ascii="Palatino Linotype" w:hAnsi="Palatino Linotype" w:cs="Tahoma"/>
          <w:b/>
          <w:bCs/>
          <w:i/>
          <w:iCs/>
          <w:lang w:val="es-ES"/>
        </w:rPr>
        <w:t>“Modalidad de entrega. Procedencia de proporcionar la información solicitada en una diversa a la elegida por el solicitante.</w:t>
      </w:r>
      <w:r w:rsidRPr="00F9637A">
        <w:rPr>
          <w:rFonts w:ascii="Palatino Linotype" w:hAnsi="Palatino Linotype" w:cs="Tahoma"/>
          <w:bCs/>
          <w:i/>
          <w:iCs/>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EF853AD" w14:textId="77777777" w:rsidR="00780306" w:rsidRPr="00780306" w:rsidRDefault="00780306" w:rsidP="00780306">
      <w:pPr>
        <w:spacing w:after="0" w:line="360" w:lineRule="auto"/>
        <w:ind w:right="-28"/>
        <w:contextualSpacing/>
        <w:jc w:val="both"/>
        <w:rPr>
          <w:rFonts w:ascii="Palatino Linotype" w:hAnsi="Palatino Linotype" w:cs="Tahoma"/>
          <w:b/>
          <w:bCs/>
          <w:iCs/>
          <w:lang w:val="es-ES"/>
        </w:rPr>
      </w:pPr>
      <w:r w:rsidRPr="00780306">
        <w:rPr>
          <w:rFonts w:ascii="Palatino Linotype" w:hAnsi="Palatino Linotype" w:cs="Tahoma"/>
          <w:bCs/>
          <w:iCs/>
          <w:lang w:val="es-ES"/>
        </w:rPr>
        <w:lastRenderedPageBreak/>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780306">
        <w:rPr>
          <w:rFonts w:ascii="Palatino Linotype" w:hAnsi="Palatino Linotype" w:cs="Tahoma"/>
          <w:b/>
          <w:bCs/>
          <w:iCs/>
          <w:lang w:val="es-ES"/>
        </w:rPr>
        <w:t>información en todas las modalidades que lo permitan, procurando reducir los costos de entrega.</w:t>
      </w:r>
    </w:p>
    <w:p w14:paraId="37AEC407" w14:textId="77777777" w:rsidR="00780306" w:rsidRDefault="00780306" w:rsidP="00780306">
      <w:pPr>
        <w:spacing w:after="0" w:line="360" w:lineRule="auto"/>
        <w:ind w:right="139"/>
        <w:jc w:val="both"/>
        <w:rPr>
          <w:rFonts w:ascii="Palatino Linotype" w:eastAsia="Palatino Linotype" w:hAnsi="Palatino Linotype" w:cs="Palatino Linotype"/>
          <w:b/>
          <w:color w:val="000000"/>
        </w:rPr>
      </w:pPr>
    </w:p>
    <w:p w14:paraId="46A31284" w14:textId="77777777" w:rsidR="00380394" w:rsidRDefault="00F9637A" w:rsidP="0054423A">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Dicho esto, e</w:t>
      </w:r>
      <w:r w:rsidR="00780306">
        <w:rPr>
          <w:rFonts w:ascii="Palatino Linotype" w:eastAsia="Palatino Linotype" w:hAnsi="Palatino Linotype" w:cs="Palatino Linotype"/>
        </w:rPr>
        <w:t xml:space="preserve">n el presente caso, se prevé que el Sujeto Obligado justificó cabalmente que la información solicitada no podía ser proporcionada a través del Sistema de Acceso a la Información Mexiquense, </w:t>
      </w:r>
      <w:r w:rsidR="00811D8B">
        <w:rPr>
          <w:rFonts w:ascii="Palatino Linotype" w:eastAsia="Palatino Linotype" w:hAnsi="Palatino Linotype" w:cs="Palatino Linotype"/>
        </w:rPr>
        <w:t>no obstante, la Ponencia Resolutora determinó que, toda vez que parte de esta, había sido entregada mediante respuesta a solicitud distinta y en cumplimiento a su resolución; el Sujeto Obligado debía hacer entrega de la información vía Saimex, a excepción de aquella que no se había proporcionado</w:t>
      </w:r>
      <w:r w:rsidR="004B7279">
        <w:rPr>
          <w:rFonts w:ascii="Palatino Linotype" w:eastAsia="Palatino Linotype" w:hAnsi="Palatino Linotype" w:cs="Palatino Linotype"/>
        </w:rPr>
        <w:t>,</w:t>
      </w:r>
      <w:r w:rsidR="00811D8B">
        <w:rPr>
          <w:rFonts w:ascii="Palatino Linotype" w:eastAsia="Palatino Linotype" w:hAnsi="Palatino Linotype" w:cs="Palatino Linotype"/>
        </w:rPr>
        <w:t xml:space="preserve"> la cual debía ser entregada In situ. </w:t>
      </w:r>
    </w:p>
    <w:p w14:paraId="790A20D9" w14:textId="77777777" w:rsidR="004B7279" w:rsidRDefault="004B7279" w:rsidP="0054423A">
      <w:pPr>
        <w:spacing w:after="0" w:line="360" w:lineRule="auto"/>
        <w:ind w:right="139"/>
        <w:jc w:val="both"/>
        <w:rPr>
          <w:rFonts w:ascii="Palatino Linotype" w:eastAsia="Palatino Linotype" w:hAnsi="Palatino Linotype" w:cs="Palatino Linotype"/>
        </w:rPr>
      </w:pPr>
    </w:p>
    <w:p w14:paraId="149B2F4D" w14:textId="77777777" w:rsidR="004B7279" w:rsidRDefault="004B7279" w:rsidP="0054423A">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considero que debido a que el Sujeto Obligado justificó que la información peticionada en la solicitud de información que dio origen al Recurso de Revisión 05936/INFOEM/IP/RR/2022 sobrepasaba las capacidades técnicas del sistema, y tal como quedó asentado en el estudio del Comisionado Ponente, el cambio de modalidad de entrega da la información propuesto, resultaba procedente, sin embargo, únicamente a través de una modalidad; </w:t>
      </w:r>
      <w:r w:rsidRPr="00F9637A">
        <w:rPr>
          <w:rFonts w:ascii="Palatino Linotype" w:eastAsia="Palatino Linotype" w:hAnsi="Palatino Linotype" w:cs="Palatino Linotype"/>
          <w:b/>
        </w:rPr>
        <w:t>Consulta Directa</w:t>
      </w:r>
      <w:r>
        <w:rPr>
          <w:rFonts w:ascii="Palatino Linotype" w:eastAsia="Palatino Linotype" w:hAnsi="Palatino Linotype" w:cs="Palatino Linotype"/>
        </w:rPr>
        <w:t xml:space="preserve">, no así a través de dos vías. </w:t>
      </w:r>
    </w:p>
    <w:p w14:paraId="20726A3A" w14:textId="77777777" w:rsidR="004B7279" w:rsidRDefault="004B7279" w:rsidP="0054423A">
      <w:pPr>
        <w:spacing w:after="0" w:line="360" w:lineRule="auto"/>
        <w:ind w:right="139"/>
        <w:jc w:val="both"/>
        <w:rPr>
          <w:rFonts w:ascii="Palatino Linotype" w:eastAsia="Palatino Linotype" w:hAnsi="Palatino Linotype" w:cs="Palatino Linotype"/>
        </w:rPr>
      </w:pPr>
    </w:p>
    <w:p w14:paraId="6061F0F6" w14:textId="77777777" w:rsidR="004B7279" w:rsidRDefault="004B7279" w:rsidP="0054423A">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Ello, es así, porque a nada práctico conduce que </w:t>
      </w:r>
      <w:r w:rsidR="004E0D05">
        <w:rPr>
          <w:rFonts w:ascii="Palatino Linotype" w:eastAsia="Palatino Linotype" w:hAnsi="Palatino Linotype" w:cs="Palatino Linotype"/>
        </w:rPr>
        <w:t>el Sujeto Obligado fundamente y motive</w:t>
      </w:r>
      <w:r>
        <w:rPr>
          <w:rFonts w:ascii="Palatino Linotype" w:eastAsia="Palatino Linotype" w:hAnsi="Palatino Linotype" w:cs="Palatino Linotype"/>
        </w:rPr>
        <w:t xml:space="preserve"> las razones por las cuales la información solicitada, sobrepasa las capacidades técnicas, administrativas y humanas para entregar la información mediante la vía solicitada, si al </w:t>
      </w:r>
      <w:r>
        <w:rPr>
          <w:rFonts w:ascii="Palatino Linotype" w:eastAsia="Palatino Linotype" w:hAnsi="Palatino Linotype" w:cs="Palatino Linotype"/>
        </w:rPr>
        <w:lastRenderedPageBreak/>
        <w:t>momento de resolver el</w:t>
      </w:r>
      <w:r w:rsidR="004E0D05">
        <w:rPr>
          <w:rFonts w:ascii="Palatino Linotype" w:eastAsia="Palatino Linotype" w:hAnsi="Palatino Linotype" w:cs="Palatino Linotype"/>
        </w:rPr>
        <w:t xml:space="preserve"> presente</w:t>
      </w:r>
      <w:r>
        <w:rPr>
          <w:rFonts w:ascii="Palatino Linotype" w:eastAsia="Palatino Linotype" w:hAnsi="Palatino Linotype" w:cs="Palatino Linotype"/>
        </w:rPr>
        <w:t xml:space="preserve"> </w:t>
      </w:r>
      <w:r w:rsidR="004E0D05">
        <w:rPr>
          <w:rFonts w:ascii="Palatino Linotype" w:eastAsia="Palatino Linotype" w:hAnsi="Palatino Linotype" w:cs="Palatino Linotype"/>
        </w:rPr>
        <w:t xml:space="preserve">Recurso de Revisión, se tomaron </w:t>
      </w:r>
      <w:r>
        <w:rPr>
          <w:rFonts w:ascii="Palatino Linotype" w:eastAsia="Palatino Linotype" w:hAnsi="Palatino Linotype" w:cs="Palatino Linotype"/>
        </w:rPr>
        <w:t xml:space="preserve">en cuenta </w:t>
      </w:r>
      <w:r w:rsidR="004E0D05">
        <w:rPr>
          <w:rFonts w:ascii="Palatino Linotype" w:eastAsia="Palatino Linotype" w:hAnsi="Palatino Linotype" w:cs="Palatino Linotype"/>
        </w:rPr>
        <w:t xml:space="preserve">cuestiones derivadas </w:t>
      </w:r>
      <w:r w:rsidR="00156753">
        <w:rPr>
          <w:rFonts w:ascii="Palatino Linotype" w:eastAsia="Palatino Linotype" w:hAnsi="Palatino Linotype" w:cs="Palatino Linotype"/>
        </w:rPr>
        <w:t xml:space="preserve">en </w:t>
      </w:r>
      <w:r w:rsidR="004E0D05">
        <w:rPr>
          <w:rFonts w:ascii="Palatino Linotype" w:eastAsia="Palatino Linotype" w:hAnsi="Palatino Linotype" w:cs="Palatino Linotype"/>
        </w:rPr>
        <w:t xml:space="preserve">un recurso de revisión diverso </w:t>
      </w:r>
      <w:r>
        <w:rPr>
          <w:rFonts w:ascii="Palatino Linotype" w:eastAsia="Palatino Linotype" w:hAnsi="Palatino Linotype" w:cs="Palatino Linotype"/>
        </w:rPr>
        <w:t xml:space="preserve">a las que se </w:t>
      </w:r>
      <w:r w:rsidR="00156753">
        <w:rPr>
          <w:rFonts w:ascii="Palatino Linotype" w:eastAsia="Palatino Linotype" w:hAnsi="Palatino Linotype" w:cs="Palatino Linotype"/>
        </w:rPr>
        <w:t xml:space="preserve">debieron </w:t>
      </w:r>
      <w:r w:rsidR="00F9637A">
        <w:rPr>
          <w:rFonts w:ascii="Palatino Linotype" w:eastAsia="Palatino Linotype" w:hAnsi="Palatino Linotype" w:cs="Palatino Linotype"/>
        </w:rPr>
        <w:t xml:space="preserve">resolver en el medio </w:t>
      </w:r>
      <w:r w:rsidR="008A0589">
        <w:rPr>
          <w:rFonts w:ascii="Palatino Linotype" w:eastAsia="Palatino Linotype" w:hAnsi="Palatino Linotype" w:cs="Palatino Linotype"/>
        </w:rPr>
        <w:t xml:space="preserve">de impugnación que se desahoga, además de que, no se tiene certeza de que el Particular que requirió la información en ambas solicitudes de información, sea la misma persona. </w:t>
      </w:r>
    </w:p>
    <w:p w14:paraId="2865E88F" w14:textId="77777777" w:rsidR="004B7279" w:rsidRDefault="004B7279" w:rsidP="0054423A">
      <w:pPr>
        <w:spacing w:after="0" w:line="360" w:lineRule="auto"/>
        <w:ind w:right="139"/>
        <w:jc w:val="both"/>
        <w:rPr>
          <w:rFonts w:ascii="Palatino Linotype" w:eastAsia="Palatino Linotype" w:hAnsi="Palatino Linotype" w:cs="Palatino Linotype"/>
        </w:rPr>
      </w:pPr>
    </w:p>
    <w:p w14:paraId="68976B99" w14:textId="77777777" w:rsidR="00F9637A" w:rsidRDefault="004B7279" w:rsidP="0054423A">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al considerar que el Sujeto Obligado justificó los motivos por los cuales no podía entregar la información completa mediante el sistema electrónico, </w:t>
      </w:r>
      <w:r w:rsidR="00F9637A">
        <w:rPr>
          <w:rFonts w:ascii="Palatino Linotype" w:eastAsia="Palatino Linotype" w:hAnsi="Palatino Linotype" w:cs="Palatino Linotype"/>
        </w:rPr>
        <w:t xml:space="preserve">el cambio de modalidad de entrega de la información, resultaba procedente en su totalidad. </w:t>
      </w:r>
    </w:p>
    <w:p w14:paraId="1407A886" w14:textId="77777777" w:rsidR="00F9637A" w:rsidRDefault="00F9637A" w:rsidP="0054423A">
      <w:pPr>
        <w:spacing w:after="0" w:line="360" w:lineRule="auto"/>
        <w:ind w:right="139"/>
        <w:jc w:val="both"/>
        <w:rPr>
          <w:rFonts w:ascii="Palatino Linotype" w:eastAsia="Palatino Linotype" w:hAnsi="Palatino Linotype" w:cs="Palatino Linotype"/>
        </w:rPr>
      </w:pPr>
    </w:p>
    <w:p w14:paraId="04D8CB4A" w14:textId="77777777" w:rsidR="004B7279" w:rsidRDefault="00F9637A" w:rsidP="0054423A">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Por los motivos esgrimidos, emito el presente Voto Disidente. </w:t>
      </w:r>
      <w:r w:rsidR="004B7279">
        <w:rPr>
          <w:rFonts w:ascii="Palatino Linotype" w:eastAsia="Palatino Linotype" w:hAnsi="Palatino Linotype" w:cs="Palatino Linotype"/>
        </w:rPr>
        <w:t xml:space="preserve"> </w:t>
      </w:r>
    </w:p>
    <w:p w14:paraId="0BFB889D" w14:textId="77777777" w:rsidR="00811D8B" w:rsidRPr="0054423A" w:rsidRDefault="00811D8B" w:rsidP="0054423A">
      <w:pPr>
        <w:spacing w:after="0" w:line="360" w:lineRule="auto"/>
        <w:ind w:right="139"/>
        <w:jc w:val="both"/>
        <w:rPr>
          <w:rFonts w:ascii="Palatino Linotype" w:eastAsia="Palatino Linotype" w:hAnsi="Palatino Linotype" w:cs="Palatino Linotype"/>
        </w:rPr>
      </w:pPr>
    </w:p>
    <w:p w14:paraId="4BB4A163" w14:textId="77777777" w:rsidR="00380394" w:rsidRDefault="00380394" w:rsidP="0054423A">
      <w:pPr>
        <w:spacing w:after="0" w:line="360" w:lineRule="auto"/>
        <w:ind w:right="139"/>
        <w:jc w:val="both"/>
        <w:rPr>
          <w:rFonts w:ascii="Palatino Linotype" w:eastAsia="Palatino Linotype" w:hAnsi="Palatino Linotype" w:cs="Palatino Linotype"/>
        </w:rPr>
      </w:pPr>
    </w:p>
    <w:p w14:paraId="6BA02F33" w14:textId="77777777" w:rsidR="008A0589" w:rsidRDefault="008A0589" w:rsidP="0054423A">
      <w:pPr>
        <w:spacing w:after="0" w:line="360" w:lineRule="auto"/>
        <w:ind w:right="139"/>
        <w:jc w:val="both"/>
        <w:rPr>
          <w:rFonts w:ascii="Palatino Linotype" w:eastAsia="Palatino Linotype" w:hAnsi="Palatino Linotype" w:cs="Palatino Linotype"/>
        </w:rPr>
      </w:pPr>
    </w:p>
    <w:p w14:paraId="7B3FA85E" w14:textId="77777777" w:rsidR="008A0589" w:rsidRDefault="008A0589" w:rsidP="0054423A">
      <w:pPr>
        <w:spacing w:after="0" w:line="360" w:lineRule="auto"/>
        <w:ind w:right="139"/>
        <w:jc w:val="both"/>
        <w:rPr>
          <w:rFonts w:ascii="Palatino Linotype" w:eastAsia="Palatino Linotype" w:hAnsi="Palatino Linotype" w:cs="Palatino Linotype"/>
        </w:rPr>
      </w:pPr>
    </w:p>
    <w:p w14:paraId="542B0D44" w14:textId="77777777" w:rsidR="008A0589" w:rsidRDefault="008A0589" w:rsidP="0054423A">
      <w:pPr>
        <w:spacing w:after="0" w:line="360" w:lineRule="auto"/>
        <w:ind w:right="139"/>
        <w:jc w:val="both"/>
        <w:rPr>
          <w:rFonts w:ascii="Palatino Linotype" w:eastAsia="Palatino Linotype" w:hAnsi="Palatino Linotype" w:cs="Palatino Linotype"/>
        </w:rPr>
      </w:pPr>
    </w:p>
    <w:p w14:paraId="12A8D1EE" w14:textId="77777777" w:rsidR="008A0589" w:rsidRDefault="008A0589" w:rsidP="0054423A">
      <w:pPr>
        <w:spacing w:after="0" w:line="360" w:lineRule="auto"/>
        <w:ind w:right="139"/>
        <w:jc w:val="both"/>
        <w:rPr>
          <w:rFonts w:ascii="Palatino Linotype" w:eastAsia="Palatino Linotype" w:hAnsi="Palatino Linotype" w:cs="Palatino Linotype"/>
        </w:rPr>
      </w:pPr>
    </w:p>
    <w:p w14:paraId="718A6456" w14:textId="77777777" w:rsidR="008A0589" w:rsidRDefault="008A0589" w:rsidP="0054423A">
      <w:pPr>
        <w:spacing w:after="0" w:line="360" w:lineRule="auto"/>
        <w:ind w:right="139"/>
        <w:jc w:val="both"/>
        <w:rPr>
          <w:rFonts w:ascii="Palatino Linotype" w:eastAsia="Palatino Linotype" w:hAnsi="Palatino Linotype" w:cs="Palatino Linotype"/>
        </w:rPr>
      </w:pPr>
    </w:p>
    <w:p w14:paraId="65381F04" w14:textId="77777777" w:rsidR="008A0589" w:rsidRDefault="008A0589" w:rsidP="0054423A">
      <w:pPr>
        <w:spacing w:after="0" w:line="360" w:lineRule="auto"/>
        <w:ind w:right="139"/>
        <w:jc w:val="both"/>
        <w:rPr>
          <w:rFonts w:ascii="Palatino Linotype" w:eastAsia="Palatino Linotype" w:hAnsi="Palatino Linotype" w:cs="Palatino Linotype"/>
        </w:rPr>
      </w:pPr>
    </w:p>
    <w:p w14:paraId="350ACC52" w14:textId="77777777" w:rsidR="008A0589" w:rsidRDefault="008A0589" w:rsidP="0054423A">
      <w:pPr>
        <w:spacing w:after="0" w:line="360" w:lineRule="auto"/>
        <w:ind w:right="139"/>
        <w:jc w:val="both"/>
        <w:rPr>
          <w:rFonts w:ascii="Palatino Linotype" w:eastAsia="Palatino Linotype" w:hAnsi="Palatino Linotype" w:cs="Palatino Linotype"/>
        </w:rPr>
      </w:pPr>
    </w:p>
    <w:p w14:paraId="7A4D46E5" w14:textId="77777777" w:rsidR="008A0589" w:rsidRDefault="008A0589" w:rsidP="0054423A">
      <w:pPr>
        <w:spacing w:after="0" w:line="360" w:lineRule="auto"/>
        <w:ind w:right="139"/>
        <w:jc w:val="both"/>
        <w:rPr>
          <w:rFonts w:ascii="Palatino Linotype" w:eastAsia="Palatino Linotype" w:hAnsi="Palatino Linotype" w:cs="Palatino Linotype"/>
        </w:rPr>
      </w:pPr>
    </w:p>
    <w:p w14:paraId="01A5A89F" w14:textId="77777777" w:rsidR="008A0589" w:rsidRDefault="008A0589" w:rsidP="0054423A">
      <w:pPr>
        <w:spacing w:after="0" w:line="360" w:lineRule="auto"/>
        <w:ind w:right="139"/>
        <w:jc w:val="both"/>
        <w:rPr>
          <w:rFonts w:ascii="Palatino Linotype" w:eastAsia="Palatino Linotype" w:hAnsi="Palatino Linotype" w:cs="Palatino Linotype"/>
        </w:rPr>
      </w:pPr>
    </w:p>
    <w:p w14:paraId="4B427EC1" w14:textId="77777777" w:rsidR="008A0589" w:rsidRDefault="008A0589" w:rsidP="0054423A">
      <w:pPr>
        <w:spacing w:after="0" w:line="360" w:lineRule="auto"/>
        <w:ind w:right="139"/>
        <w:jc w:val="both"/>
        <w:rPr>
          <w:rFonts w:ascii="Palatino Linotype" w:eastAsia="Palatino Linotype" w:hAnsi="Palatino Linotype" w:cs="Palatino Linotype"/>
        </w:rPr>
      </w:pPr>
    </w:p>
    <w:p w14:paraId="51058549" w14:textId="77777777" w:rsidR="008A0589" w:rsidRDefault="008A0589" w:rsidP="0054423A">
      <w:pPr>
        <w:spacing w:after="0" w:line="360" w:lineRule="auto"/>
        <w:ind w:right="139"/>
        <w:jc w:val="both"/>
        <w:rPr>
          <w:rFonts w:ascii="Palatino Linotype" w:eastAsia="Palatino Linotype" w:hAnsi="Palatino Linotype" w:cs="Palatino Linotype"/>
        </w:rPr>
      </w:pPr>
    </w:p>
    <w:p w14:paraId="5BD71849" w14:textId="77777777" w:rsidR="008A0589" w:rsidRDefault="008A0589" w:rsidP="0054423A">
      <w:pPr>
        <w:spacing w:after="0" w:line="360" w:lineRule="auto"/>
        <w:ind w:right="139"/>
        <w:jc w:val="both"/>
        <w:rPr>
          <w:rFonts w:ascii="Palatino Linotype" w:eastAsia="Palatino Linotype" w:hAnsi="Palatino Linotype" w:cs="Palatino Linotype"/>
        </w:rPr>
      </w:pPr>
    </w:p>
    <w:p w14:paraId="65CB8F65" w14:textId="77777777" w:rsidR="008A0589" w:rsidRDefault="008A0589" w:rsidP="0054423A">
      <w:pPr>
        <w:spacing w:after="0" w:line="360" w:lineRule="auto"/>
        <w:ind w:right="139"/>
        <w:jc w:val="both"/>
        <w:rPr>
          <w:rFonts w:ascii="Palatino Linotype" w:eastAsia="Palatino Linotype" w:hAnsi="Palatino Linotype" w:cs="Palatino Linotype"/>
        </w:rPr>
      </w:pPr>
    </w:p>
    <w:p w14:paraId="4D48FE97" w14:textId="77777777" w:rsidR="008A0589" w:rsidRPr="0054423A" w:rsidRDefault="008A0589" w:rsidP="0054423A">
      <w:pPr>
        <w:spacing w:after="0" w:line="360" w:lineRule="auto"/>
        <w:ind w:right="139"/>
        <w:jc w:val="both"/>
        <w:rPr>
          <w:rFonts w:ascii="Palatino Linotype" w:eastAsia="Palatino Linotype" w:hAnsi="Palatino Linotype" w:cs="Palatino Linotype"/>
        </w:rPr>
      </w:pPr>
    </w:p>
    <w:sectPr w:rsidR="008A0589" w:rsidRPr="0054423A">
      <w:headerReference w:type="default" r:id="rId10"/>
      <w:footerReference w:type="default" r:id="rId11"/>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27583" w14:textId="77777777" w:rsidR="005E1527" w:rsidRDefault="005E1527">
      <w:pPr>
        <w:spacing w:after="0" w:line="240" w:lineRule="auto"/>
      </w:pPr>
      <w:r>
        <w:separator/>
      </w:r>
    </w:p>
  </w:endnote>
  <w:endnote w:type="continuationSeparator" w:id="0">
    <w:p w14:paraId="2FA772FB" w14:textId="77777777" w:rsidR="005E1527" w:rsidRDefault="005E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0F551" w14:textId="77777777" w:rsidR="00380394" w:rsidRDefault="00F9637A">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4108DD">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4108DD">
      <w:rPr>
        <w:rFonts w:ascii="Times New Roman" w:eastAsia="Times New Roman" w:hAnsi="Times New Roman" w:cs="Times New Roman"/>
        <w:b/>
        <w:noProof/>
        <w:color w:val="000000"/>
        <w:sz w:val="20"/>
        <w:szCs w:val="20"/>
      </w:rPr>
      <w:t>11</w:t>
    </w:r>
    <w:r>
      <w:rPr>
        <w:rFonts w:ascii="Times New Roman" w:eastAsia="Times New Roman" w:hAnsi="Times New Roman" w:cs="Times New Roman"/>
        <w:b/>
        <w:color w:val="000000"/>
        <w:sz w:val="20"/>
        <w:szCs w:val="20"/>
      </w:rPr>
      <w:fldChar w:fldCharType="end"/>
    </w:r>
  </w:p>
  <w:p w14:paraId="116FFC8B" w14:textId="77777777" w:rsidR="00380394" w:rsidRDefault="0038039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41E1B" w14:textId="77777777" w:rsidR="005E1527" w:rsidRDefault="005E1527">
      <w:pPr>
        <w:spacing w:after="0" w:line="240" w:lineRule="auto"/>
      </w:pPr>
      <w:r>
        <w:separator/>
      </w:r>
    </w:p>
  </w:footnote>
  <w:footnote w:type="continuationSeparator" w:id="0">
    <w:p w14:paraId="2E25911B" w14:textId="77777777" w:rsidR="005E1527" w:rsidRDefault="005E1527">
      <w:pPr>
        <w:spacing w:after="0" w:line="240" w:lineRule="auto"/>
      </w:pPr>
      <w:r>
        <w:continuationSeparator/>
      </w:r>
    </w:p>
  </w:footnote>
  <w:footnote w:id="1">
    <w:p w14:paraId="55CC471C" w14:textId="77777777" w:rsidR="00380394" w:rsidRDefault="00F9637A">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8D0D956" w14:textId="77777777" w:rsidR="00380394" w:rsidRDefault="00F9637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71C0" w14:textId="77777777" w:rsidR="00380394" w:rsidRDefault="00F9637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r>
      <w:rPr>
        <w:noProof/>
        <w:lang w:val="es-MX"/>
      </w:rPr>
      <w:drawing>
        <wp:anchor distT="0" distB="0" distL="0" distR="0" simplePos="0" relativeHeight="251658240" behindDoc="1" locked="0" layoutInCell="1" hidden="0" allowOverlap="1" wp14:anchorId="22331E44" wp14:editId="1E1CE6BB">
          <wp:simplePos x="0" y="0"/>
          <wp:positionH relativeFrom="column">
            <wp:posOffset>-1009013</wp:posOffset>
          </wp:positionH>
          <wp:positionV relativeFrom="paragraph">
            <wp:posOffset>-568324</wp:posOffset>
          </wp:positionV>
          <wp:extent cx="7510628" cy="9883775"/>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9BC95F5" w14:textId="77777777" w:rsidR="00380394" w:rsidRDefault="00F9637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05936/INFOEM/IP/RR/2022</w:t>
    </w:r>
  </w:p>
  <w:p w14:paraId="02D1D596" w14:textId="77777777" w:rsidR="00380394" w:rsidRDefault="0038039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5532A"/>
    <w:multiLevelType w:val="multilevel"/>
    <w:tmpl w:val="5E9AC004"/>
    <w:lvl w:ilvl="0">
      <w:start w:val="1"/>
      <w:numFmt w:val="decimal"/>
      <w:lvlText w:val="%1."/>
      <w:lvlJc w:val="left"/>
      <w:pPr>
        <w:ind w:left="709" w:hanging="424"/>
      </w:pPr>
      <w:rPr>
        <w:i/>
      </w:rPr>
    </w:lvl>
    <w:lvl w:ilvl="1">
      <w:start w:val="1"/>
      <w:numFmt w:val="decimal"/>
      <w:lvlText w:val="%1.%2."/>
      <w:lvlJc w:val="left"/>
      <w:pPr>
        <w:ind w:left="1276" w:hanging="567"/>
      </w:pPr>
      <w:rPr>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10529D"/>
    <w:multiLevelType w:val="multilevel"/>
    <w:tmpl w:val="35AC84A6"/>
    <w:lvl w:ilvl="0">
      <w:start w:val="1"/>
      <w:numFmt w:val="bullet"/>
      <w:lvlText w:val="●"/>
      <w:lvlJc w:val="left"/>
      <w:pPr>
        <w:ind w:left="709" w:hanging="42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761F3F"/>
    <w:multiLevelType w:val="hybridMultilevel"/>
    <w:tmpl w:val="EF9CF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7AB37151"/>
    <w:multiLevelType w:val="multilevel"/>
    <w:tmpl w:val="F2D201EA"/>
    <w:lvl w:ilvl="0">
      <w:start w:val="1"/>
      <w:numFmt w:val="bullet"/>
      <w:lvlText w:val="●"/>
      <w:lvlJc w:val="left"/>
      <w:pPr>
        <w:ind w:left="709" w:hanging="42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94"/>
    <w:rsid w:val="00156753"/>
    <w:rsid w:val="002D693E"/>
    <w:rsid w:val="00380394"/>
    <w:rsid w:val="004108DD"/>
    <w:rsid w:val="004B7279"/>
    <w:rsid w:val="004E0D05"/>
    <w:rsid w:val="0054423A"/>
    <w:rsid w:val="005E1527"/>
    <w:rsid w:val="006B1C13"/>
    <w:rsid w:val="007244A0"/>
    <w:rsid w:val="007377B7"/>
    <w:rsid w:val="00780306"/>
    <w:rsid w:val="00811D8B"/>
    <w:rsid w:val="008A0589"/>
    <w:rsid w:val="008B06B8"/>
    <w:rsid w:val="009A5FE7"/>
    <w:rsid w:val="00A05636"/>
    <w:rsid w:val="00F66972"/>
    <w:rsid w:val="00F963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7CF2"/>
  <w15:docId w15:val="{EC945FF6-C19D-48B4-A21D-33978C71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4">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qIHrzL73FzshPrg/IczqorXxPA==">AMUW2mVmRZTZGDM41FxWXOsfVV7OnO1HHAgj5K/Ib1Q1cPBmhENfDZyQZe0Kh/avHeu/ptV5/9F9HbYFbbc3aqs+zGG2IfFwVCKzKO2JrpAhEp0GZm/0oD6cmSbYIx/SF1QF/5ADxGNtxMAIPIqH5JhRPblywqaAhFC1TAwNmofFHQL64+RHJvk=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2260</Words>
  <Characters>12430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2022-11-24T21:22:00Z</cp:lastPrinted>
  <dcterms:created xsi:type="dcterms:W3CDTF">2023-10-16T20:42:00Z</dcterms:created>
  <dcterms:modified xsi:type="dcterms:W3CDTF">2023-10-16T20:42:00Z</dcterms:modified>
</cp:coreProperties>
</file>