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8B02" w14:textId="3C0F0198" w:rsidR="00976B1D" w:rsidRPr="00FA5A0F" w:rsidRDefault="00A5441A" w:rsidP="00820C84">
      <w:pPr>
        <w:tabs>
          <w:tab w:val="left" w:pos="1843"/>
        </w:tabs>
        <w:spacing w:after="0" w:line="360" w:lineRule="auto"/>
        <w:jc w:val="both"/>
        <w:rPr>
          <w:rFonts w:ascii="Palatino Linotype" w:hAnsi="Palatino Linotype"/>
          <w:b/>
          <w:lang w:val="es-MX"/>
        </w:rPr>
      </w:pPr>
      <w:r w:rsidRPr="00FA5A0F">
        <w:rPr>
          <w:rFonts w:ascii="Palatino Linotype" w:hAnsi="Palatino Linotype" w:cs="Tahoma"/>
          <w:b/>
        </w:rPr>
        <w:t>VOTO</w:t>
      </w:r>
      <w:r w:rsidR="009E0861" w:rsidRPr="00FA5A0F">
        <w:rPr>
          <w:rFonts w:ascii="Palatino Linotype" w:hAnsi="Palatino Linotype" w:cs="Tahoma"/>
          <w:b/>
        </w:rPr>
        <w:t xml:space="preserve"> PARTICULAR QUE FORMULA EL COMISIONADO LUIS GUSTAVO PARRA NORIEGA, </w:t>
      </w:r>
      <w:r w:rsidR="00E659E3" w:rsidRPr="00FA5A0F">
        <w:rPr>
          <w:rFonts w:ascii="Palatino Linotype" w:hAnsi="Palatino Linotype" w:cs="Tahoma"/>
          <w:b/>
        </w:rPr>
        <w:t>A</w:t>
      </w:r>
      <w:r w:rsidR="009E0861" w:rsidRPr="00FA5A0F">
        <w:rPr>
          <w:rFonts w:ascii="Palatino Linotype" w:hAnsi="Palatino Linotype" w:cs="Tahoma"/>
          <w:b/>
        </w:rPr>
        <w:t xml:space="preserve"> LA RESOLUCIÓN DEL RECURSO DE REVISIÓN </w:t>
      </w:r>
      <w:r w:rsidR="0078512E">
        <w:rPr>
          <w:rFonts w:ascii="Palatino Linotype" w:eastAsia="Palatino Linotype" w:hAnsi="Palatino Linotype" w:cs="Palatino Linotype"/>
          <w:b/>
        </w:rPr>
        <w:t>04147</w:t>
      </w:r>
      <w:r w:rsidR="003F6215">
        <w:rPr>
          <w:rFonts w:ascii="Palatino Linotype" w:eastAsia="Palatino Linotype" w:hAnsi="Palatino Linotype" w:cs="Palatino Linotype"/>
          <w:b/>
        </w:rPr>
        <w:t>/INFOEM/IP/RR/</w:t>
      </w:r>
      <w:r w:rsidR="0078512E">
        <w:rPr>
          <w:rFonts w:ascii="Palatino Linotype" w:eastAsia="Palatino Linotype" w:hAnsi="Palatino Linotype" w:cs="Palatino Linotype"/>
          <w:b/>
        </w:rPr>
        <w:t>2022</w:t>
      </w:r>
      <w:r w:rsidR="00A34E38" w:rsidRPr="00FA5A0F">
        <w:rPr>
          <w:rFonts w:ascii="Palatino Linotype" w:hAnsi="Palatino Linotype" w:cs="Tahoma"/>
          <w:b/>
        </w:rPr>
        <w:t xml:space="preserve">, </w:t>
      </w:r>
      <w:r w:rsidR="006563A1" w:rsidRPr="00FA5A0F">
        <w:rPr>
          <w:rFonts w:ascii="Palatino Linotype" w:hAnsi="Palatino Linotype" w:cs="Tahoma"/>
          <w:b/>
        </w:rPr>
        <w:t xml:space="preserve">PROMOVIDO EN CONTRA </w:t>
      </w:r>
      <w:r w:rsidR="00B46D61" w:rsidRPr="00FA5A0F">
        <w:rPr>
          <w:rFonts w:ascii="Palatino Linotype" w:hAnsi="Palatino Linotype" w:cs="Tahoma"/>
          <w:b/>
        </w:rPr>
        <w:t>DE</w:t>
      </w:r>
      <w:r w:rsidR="0078512E">
        <w:rPr>
          <w:rFonts w:ascii="Palatino Linotype" w:hAnsi="Palatino Linotype" w:cs="Tahoma"/>
          <w:b/>
        </w:rPr>
        <w:t>L AYUNTAMIENTO DE TEOLOYUCAN</w:t>
      </w:r>
    </w:p>
    <w:p w14:paraId="20FF4B48" w14:textId="77777777" w:rsidR="00FA5A0F" w:rsidRPr="00FA5A0F" w:rsidRDefault="00FA5A0F" w:rsidP="00820C84">
      <w:pPr>
        <w:tabs>
          <w:tab w:val="left" w:pos="1843"/>
        </w:tabs>
        <w:spacing w:after="0" w:line="360" w:lineRule="auto"/>
        <w:jc w:val="both"/>
        <w:rPr>
          <w:rFonts w:ascii="Palatino Linotype" w:hAnsi="Palatino Linotype" w:cs="Arial"/>
          <w:b/>
        </w:rPr>
      </w:pPr>
    </w:p>
    <w:p w14:paraId="560BF44F" w14:textId="0B2FD5EA" w:rsidR="00E659E3" w:rsidRPr="00FA5A0F" w:rsidRDefault="0078512E" w:rsidP="00820C84">
      <w:pPr>
        <w:tabs>
          <w:tab w:val="left" w:pos="1843"/>
        </w:tabs>
        <w:spacing w:after="0" w:line="360" w:lineRule="auto"/>
        <w:jc w:val="both"/>
        <w:rPr>
          <w:rFonts w:ascii="Palatino Linotype" w:hAnsi="Palatino Linotype" w:cs="Tahoma"/>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04147</w:t>
      </w:r>
      <w:r w:rsidR="003F6215">
        <w:rPr>
          <w:rFonts w:ascii="Palatino Linotype" w:eastAsia="Palatino Linotype" w:hAnsi="Palatino Linotype" w:cs="Palatino Linotype"/>
          <w:b/>
        </w:rPr>
        <w:t>/INFOEM/IP/RR/</w:t>
      </w:r>
      <w:r>
        <w:rPr>
          <w:rFonts w:ascii="Palatino Linotype" w:eastAsia="Palatino Linotype" w:hAnsi="Palatino Linotype" w:cs="Palatino Linotype"/>
          <w:b/>
        </w:rPr>
        <w:t>2022</w:t>
      </w:r>
      <w:r w:rsidR="00DA6903" w:rsidRPr="00FA5A0F">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12A6ED37" w14:textId="5CCA3CF4" w:rsidR="00FA5A0F"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563C78">
        <w:rPr>
          <w:rFonts w:ascii="Palatino Linotype" w:hAnsi="Palatino Linotype" w:cs="Tahoma"/>
        </w:rPr>
        <w:t xml:space="preserve"> </w:t>
      </w:r>
      <w:r w:rsidR="0078512E">
        <w:rPr>
          <w:rFonts w:ascii="Palatino Linotype" w:hAnsi="Palatino Linotype" w:cs="Tahoma"/>
        </w:rPr>
        <w:t xml:space="preserve">recibos de  nómina de diversos servidores públicos, del período comprendido </w:t>
      </w:r>
      <w:r w:rsidR="00A05E01" w:rsidRPr="00A05E01">
        <w:rPr>
          <w:rFonts w:ascii="Palatino Linotype" w:hAnsi="Palatino Linotype" w:cs="Tahoma"/>
        </w:rPr>
        <w:t>de la primera quincena de enero de dos mil dieciséis a la segunda quincena de enero de dos mil veintidós</w:t>
      </w:r>
      <w:r w:rsidR="003F6215">
        <w:rPr>
          <w:rFonts w:ascii="Palatino Linotype" w:hAnsi="Palatino Linotype" w:cs="Tahoma"/>
        </w:rPr>
        <w:t xml:space="preserve">; en respuesta, el Sujeto Obligado señaló que </w:t>
      </w:r>
      <w:r w:rsidR="00A05E01">
        <w:rPr>
          <w:rFonts w:ascii="Palatino Linotype" w:hAnsi="Palatino Linotype" w:cs="Tahoma"/>
        </w:rPr>
        <w:t>la</w:t>
      </w:r>
      <w:r w:rsidR="003F6215">
        <w:rPr>
          <w:rFonts w:ascii="Palatino Linotype" w:hAnsi="Palatino Linotype" w:cs="Tahoma"/>
        </w:rPr>
        <w:t xml:space="preserve"> </w:t>
      </w:r>
      <w:r w:rsidR="00A05E01">
        <w:rPr>
          <w:rFonts w:ascii="Palatino Linotype" w:hAnsi="Palatino Linotype" w:cs="Tahoma"/>
        </w:rPr>
        <w:t xml:space="preserve">información requerida </w:t>
      </w:r>
      <w:r w:rsidR="003F6215" w:rsidRPr="008F55B2">
        <w:rPr>
          <w:rFonts w:ascii="Palatino Linotype" w:hAnsi="Palatino Linotype" w:cs="Tahoma"/>
          <w:b/>
          <w:bCs/>
          <w:u w:val="single"/>
        </w:rPr>
        <w:t xml:space="preserve">corresponde a un aproximado de </w:t>
      </w:r>
      <w:r w:rsidR="00A05E01" w:rsidRPr="008F55B2">
        <w:rPr>
          <w:rFonts w:ascii="Palatino Linotype" w:hAnsi="Palatino Linotype" w:cs="Tahoma"/>
          <w:b/>
          <w:bCs/>
          <w:u w:val="single"/>
        </w:rPr>
        <w:t>ocho mil ciento sesenta</w:t>
      </w:r>
      <w:r w:rsidR="003F6215" w:rsidRPr="008F55B2">
        <w:rPr>
          <w:rFonts w:ascii="Palatino Linotype" w:hAnsi="Palatino Linotype" w:cs="Tahoma"/>
          <w:b/>
          <w:bCs/>
          <w:u w:val="single"/>
        </w:rPr>
        <w:t xml:space="preserve"> hojas</w:t>
      </w:r>
      <w:r w:rsidR="003F6215">
        <w:rPr>
          <w:rFonts w:ascii="Palatino Linotype" w:hAnsi="Palatino Linotype" w:cs="Tahoma"/>
        </w:rPr>
        <w:t xml:space="preserve">; así pues, la Ponencia Resolutora determinó procedente ordenar la entrega de la información vía </w:t>
      </w:r>
      <w:r w:rsidR="003F6215" w:rsidRPr="003F6215">
        <w:rPr>
          <w:rFonts w:ascii="Palatino Linotype" w:hAnsi="Palatino Linotype" w:cs="Tahoma"/>
        </w:rPr>
        <w:t>Sistema de Acceso a la Información Mexiquense (SAIMEX).</w:t>
      </w:r>
    </w:p>
    <w:p w14:paraId="7840D5EF" w14:textId="77777777" w:rsidR="003F6215" w:rsidRDefault="003F6215" w:rsidP="002A189F">
      <w:pPr>
        <w:spacing w:after="0" w:line="360" w:lineRule="auto"/>
        <w:jc w:val="both"/>
        <w:rPr>
          <w:rFonts w:ascii="Palatino Linotype" w:hAnsi="Palatino Linotype" w:cs="Tahoma"/>
        </w:rPr>
      </w:pPr>
    </w:p>
    <w:p w14:paraId="60EA9E0E" w14:textId="27605E97" w:rsidR="003F6215" w:rsidRDefault="003F6215" w:rsidP="002A189F">
      <w:pPr>
        <w:spacing w:after="0" w:line="360" w:lineRule="auto"/>
        <w:jc w:val="both"/>
        <w:rPr>
          <w:rFonts w:ascii="Palatino Linotype" w:hAnsi="Palatino Linotype" w:cs="Tahoma"/>
        </w:rPr>
      </w:pPr>
      <w:r>
        <w:rPr>
          <w:rFonts w:ascii="Palatino Linotype" w:hAnsi="Palatino Linotype" w:cs="Tahoma"/>
        </w:rPr>
        <w:t xml:space="preserve">En este sentido, si bien comparto el sentido de la Resolución, lo cierto es que no coincido con determinar </w:t>
      </w:r>
      <w:r w:rsidR="00C97B79">
        <w:rPr>
          <w:rFonts w:ascii="Palatino Linotype" w:hAnsi="Palatino Linotype" w:cs="Tahoma"/>
        </w:rPr>
        <w:t>que la documentación que da cuenta del requerimiento de información</w:t>
      </w:r>
      <w:r w:rsidR="00B430EB">
        <w:rPr>
          <w:rFonts w:ascii="Palatino Linotype" w:hAnsi="Palatino Linotype" w:cs="Tahoma"/>
        </w:rPr>
        <w:t xml:space="preserve"> </w:t>
      </w:r>
      <w:r w:rsidR="00C97B79">
        <w:rPr>
          <w:rFonts w:ascii="Palatino Linotype" w:hAnsi="Palatino Linotype" w:cs="Tahoma"/>
        </w:rPr>
        <w:t xml:space="preserve">sea </w:t>
      </w:r>
      <w:r w:rsidR="008E4842">
        <w:rPr>
          <w:rFonts w:ascii="Palatino Linotype" w:hAnsi="Palatino Linotype" w:cs="Tahoma"/>
        </w:rPr>
        <w:t>ordenada</w:t>
      </w:r>
      <w:r w:rsidR="00C97B79">
        <w:rPr>
          <w:rFonts w:ascii="Palatino Linotype" w:hAnsi="Palatino Linotype" w:cs="Tahoma"/>
        </w:rPr>
        <w:t xml:space="preserve"> por medio del Sistema de Acceso a la Información Mexiquense SAIMEX</w:t>
      </w:r>
      <w:r>
        <w:rPr>
          <w:rFonts w:ascii="Palatino Linotype" w:hAnsi="Palatino Linotype" w:cs="Tahoma"/>
        </w:rPr>
        <w:t xml:space="preserve">; ello en virtud de que el Sujeto Obligado indicó en respuesta argumentos que permiten acreditar que cuenta con una imposibilidad técnica para la entrega de la información vía </w:t>
      </w:r>
      <w:r w:rsidR="008E4842">
        <w:rPr>
          <w:rFonts w:ascii="Palatino Linotype" w:hAnsi="Palatino Linotype" w:cs="Tahoma"/>
        </w:rPr>
        <w:t>el Sistema en comento.</w:t>
      </w:r>
    </w:p>
    <w:p w14:paraId="6A5C3446" w14:textId="30B2D3E7" w:rsidR="003F6215" w:rsidRDefault="003F6215" w:rsidP="002A189F">
      <w:pPr>
        <w:spacing w:after="0" w:line="360" w:lineRule="auto"/>
        <w:jc w:val="both"/>
        <w:rPr>
          <w:rFonts w:ascii="Palatino Linotype" w:hAnsi="Palatino Linotype" w:cs="Tahoma"/>
        </w:rPr>
      </w:pPr>
      <w:r>
        <w:rPr>
          <w:rFonts w:ascii="Palatino Linotype" w:hAnsi="Palatino Linotype" w:cs="Tahoma"/>
        </w:rPr>
        <w:lastRenderedPageBreak/>
        <w:t xml:space="preserve">Esto es así, ya que en respuesta, </w:t>
      </w:r>
      <w:r w:rsidR="009D15FD">
        <w:rPr>
          <w:rFonts w:ascii="Palatino Linotype" w:hAnsi="Palatino Linotype" w:cs="Tahoma"/>
        </w:rPr>
        <w:t>manifestó</w:t>
      </w:r>
      <w:r>
        <w:rPr>
          <w:rFonts w:ascii="Palatino Linotype" w:hAnsi="Palatino Linotype" w:cs="Tahoma"/>
        </w:rPr>
        <w:t xml:space="preserve"> que la cantidad de documentos que implican los </w:t>
      </w:r>
      <w:r w:rsidR="008E4842">
        <w:rPr>
          <w:rFonts w:ascii="Palatino Linotype" w:hAnsi="Palatino Linotype" w:cs="Tahoma"/>
        </w:rPr>
        <w:t>recibos de nómina respecto a la temporalidad requerida</w:t>
      </w:r>
      <w:r>
        <w:rPr>
          <w:rFonts w:ascii="Palatino Linotype" w:hAnsi="Palatino Linotype" w:cs="Tahoma"/>
        </w:rPr>
        <w:t xml:space="preserve">, corresponde a un aproximado de </w:t>
      </w:r>
      <w:r w:rsidR="008E4842">
        <w:rPr>
          <w:rFonts w:ascii="Palatino Linotype" w:hAnsi="Palatino Linotype" w:cs="Tahoma"/>
        </w:rPr>
        <w:t>ocho mil ciento sesenta hojas</w:t>
      </w:r>
      <w:r>
        <w:rPr>
          <w:rFonts w:ascii="Palatino Linotype" w:hAnsi="Palatino Linotype" w:cs="Tahoma"/>
        </w:rPr>
        <w:t xml:space="preserve">; </w:t>
      </w:r>
      <w:r w:rsidR="008E4842">
        <w:rPr>
          <w:rFonts w:ascii="Palatino Linotype" w:hAnsi="Palatino Linotype" w:cs="Tahoma"/>
        </w:rPr>
        <w:t>no obstante</w:t>
      </w:r>
      <w:r>
        <w:rPr>
          <w:rFonts w:ascii="Palatino Linotype" w:hAnsi="Palatino Linotype" w:cs="Tahoma"/>
        </w:rPr>
        <w:t xml:space="preserve">, la Ponencia Resolutora </w:t>
      </w:r>
      <w:r w:rsidR="009D15FD">
        <w:rPr>
          <w:rFonts w:ascii="Palatino Linotype" w:hAnsi="Palatino Linotype" w:cs="Tahoma"/>
        </w:rPr>
        <w:t>no realizó el estudio de la imposibilidad técnica para que el Ayuntamiento de Teoloyucan entregue la información por medio de la vía elegida por el Particular</w:t>
      </w:r>
      <w:r w:rsidR="009D4025">
        <w:rPr>
          <w:rFonts w:ascii="Palatino Linotype" w:hAnsi="Palatino Linotype" w:cs="Tahoma"/>
        </w:rPr>
        <w:t>, lo anterior,</w:t>
      </w:r>
      <w:r w:rsidR="009D15FD">
        <w:rPr>
          <w:rFonts w:ascii="Palatino Linotype" w:hAnsi="Palatino Linotype" w:cs="Tahoma"/>
        </w:rPr>
        <w:t xml:space="preserve"> </w:t>
      </w:r>
      <w:r w:rsidR="009D4025">
        <w:rPr>
          <w:rFonts w:ascii="Palatino Linotype" w:hAnsi="Palatino Linotype" w:cs="Tahoma"/>
        </w:rPr>
        <w:t xml:space="preserve">a fin de señalar otras modalidades electrónicas para la reproducción de la misma; </w:t>
      </w:r>
      <w:r w:rsidR="009D15FD">
        <w:rPr>
          <w:rFonts w:ascii="Palatino Linotype" w:hAnsi="Palatino Linotype" w:cs="Tahoma"/>
        </w:rPr>
        <w:t xml:space="preserve">máxime que es del conocimiento de este Organismo, que la capacidad aproximada para cargar documentos a través del Sistema de Acceso a la Información Mexiquense, es de 8000 fojas. </w:t>
      </w:r>
    </w:p>
    <w:p w14:paraId="5778032F" w14:textId="77777777" w:rsidR="009D4025" w:rsidRDefault="009D4025" w:rsidP="002A189F">
      <w:pPr>
        <w:spacing w:after="0" w:line="360" w:lineRule="auto"/>
        <w:jc w:val="both"/>
        <w:rPr>
          <w:rFonts w:ascii="Palatino Linotype" w:hAnsi="Palatino Linotype" w:cs="Tahoma"/>
        </w:rPr>
      </w:pPr>
    </w:p>
    <w:p w14:paraId="7EEE7178" w14:textId="4566C10B" w:rsidR="009D4025" w:rsidRDefault="009D4025" w:rsidP="002A189F">
      <w:pPr>
        <w:spacing w:after="0" w:line="360" w:lineRule="auto"/>
        <w:jc w:val="both"/>
        <w:rPr>
          <w:rFonts w:ascii="Palatino Linotype" w:eastAsia="Calibri" w:hAnsi="Palatino Linotype" w:cs="Tahoma"/>
          <w:b/>
          <w:bCs/>
        </w:rPr>
      </w:pPr>
      <w:r>
        <w:rPr>
          <w:rFonts w:ascii="Palatino Linotype" w:hAnsi="Palatino Linotype" w:cs="Tahoma"/>
          <w:bCs/>
        </w:rPr>
        <w:t xml:space="preserve">De lo anterior, cabe </w:t>
      </w:r>
      <w:r w:rsidRPr="00C53BA5">
        <w:rPr>
          <w:rFonts w:ascii="Palatino Linotype" w:eastAsia="Calibri" w:hAnsi="Palatino Linotype" w:cs="Tahoma"/>
          <w:bCs/>
        </w:rPr>
        <w:t xml:space="preserve">traer a colación la Resolución del Recurso de Revisión con número </w:t>
      </w:r>
      <w:r w:rsidRPr="00C53BA5">
        <w:rPr>
          <w:rFonts w:ascii="Palatino Linotype" w:hAnsi="Palatino Linotype"/>
        </w:rPr>
        <w:t>07181/INFOEM/IP/RR/2019</w:t>
      </w:r>
      <w:r w:rsidRPr="00C53BA5">
        <w:rPr>
          <w:rFonts w:ascii="Palatino Linotype" w:eastAsia="Calibri" w:hAnsi="Palatino Linotype" w:cs="Tahoma"/>
          <w:bCs/>
        </w:rPr>
        <w:t xml:space="preserve">, en el cual la Dirección de Informática de este Instituto, </w:t>
      </w:r>
      <w:r>
        <w:rPr>
          <w:rFonts w:ascii="Palatino Linotype" w:eastAsia="Calibri" w:hAnsi="Palatino Linotype" w:cs="Tahoma"/>
          <w:bCs/>
        </w:rPr>
        <w:t>advirtió</w:t>
      </w:r>
      <w:r w:rsidRPr="00C53BA5">
        <w:rPr>
          <w:rFonts w:ascii="Palatino Linotype" w:eastAsia="Calibri" w:hAnsi="Palatino Linotype" w:cs="Tahoma"/>
          <w:bCs/>
        </w:rPr>
        <w:t xml:space="preserve"> que la capacidad máxima para adjuntar un archivo en el </w:t>
      </w:r>
      <w:r w:rsidRPr="00C53BA5">
        <w:rPr>
          <w:rFonts w:ascii="Palatino Linotype" w:eastAsia="Calibri" w:hAnsi="Palatino Linotype" w:cs="Tahoma"/>
          <w:b/>
          <w:bCs/>
        </w:rPr>
        <w:t xml:space="preserve">Sistema de Acceso a la Información Mexiquense (SAIMEX), es de aproximadamente de 500 </w:t>
      </w:r>
      <w:r w:rsidRPr="00BA259F">
        <w:rPr>
          <w:rFonts w:ascii="Palatino Linotype" w:eastAsia="Calibri" w:hAnsi="Palatino Linotype" w:cs="Tahoma"/>
          <w:b/>
          <w:bCs/>
          <w:i/>
          <w:iCs/>
        </w:rPr>
        <w:t>megabytes</w:t>
      </w:r>
      <w:r w:rsidRPr="00C53BA5">
        <w:rPr>
          <w:rFonts w:ascii="Palatino Linotype" w:eastAsia="Calibri" w:hAnsi="Palatino Linotype" w:cs="Tahoma"/>
          <w:b/>
          <w:bCs/>
        </w:rPr>
        <w:t xml:space="preserve"> o un equivalente a ocho mil hojas</w:t>
      </w:r>
    </w:p>
    <w:p w14:paraId="7CED5CE1" w14:textId="0E6C277E" w:rsidR="00307191" w:rsidRDefault="00307191" w:rsidP="002A189F">
      <w:pPr>
        <w:spacing w:after="0" w:line="360" w:lineRule="auto"/>
        <w:jc w:val="both"/>
        <w:rPr>
          <w:rFonts w:ascii="Palatino Linotype" w:hAnsi="Palatino Linotype" w:cs="Tahoma"/>
        </w:rPr>
      </w:pPr>
    </w:p>
    <w:p w14:paraId="73F2EC87" w14:textId="58A0B8E2" w:rsidR="00307191" w:rsidRDefault="00307191" w:rsidP="002A189F">
      <w:pPr>
        <w:spacing w:after="0" w:line="360" w:lineRule="auto"/>
        <w:jc w:val="both"/>
        <w:rPr>
          <w:rFonts w:ascii="Palatino Linotype" w:hAnsi="Palatino Linotype" w:cs="Tahoma"/>
        </w:rPr>
      </w:pPr>
      <w:r>
        <w:rPr>
          <w:rFonts w:ascii="Palatino Linotype" w:hAnsi="Palatino Linotype" w:cs="Tahoma"/>
        </w:rPr>
        <w:t>En atención a</w:t>
      </w:r>
      <w:r w:rsidR="008F55B2">
        <w:rPr>
          <w:rFonts w:ascii="Palatino Linotype" w:hAnsi="Palatino Linotype" w:cs="Tahoma"/>
        </w:rPr>
        <w:t xml:space="preserve"> la capacidad del Sistema de Acceso a la Información Mexiquense SAIMEX</w:t>
      </w:r>
      <w:r>
        <w:rPr>
          <w:rFonts w:ascii="Palatino Linotype" w:hAnsi="Palatino Linotype" w:cs="Tahoma"/>
        </w:rPr>
        <w:t>, resulta lógico que el Sujeto Obligado se verá imposibilitado a entregar la</w:t>
      </w:r>
      <w:r w:rsidR="008F55B2">
        <w:rPr>
          <w:rFonts w:ascii="Palatino Linotype" w:hAnsi="Palatino Linotype" w:cs="Tahoma"/>
        </w:rPr>
        <w:t xml:space="preserve">s documentales </w:t>
      </w:r>
      <w:r>
        <w:rPr>
          <w:rFonts w:ascii="Palatino Linotype" w:hAnsi="Palatino Linotype" w:cs="Tahoma"/>
        </w:rPr>
        <w:t xml:space="preserve">vía (SAIMEX), pues claramente indicó en respuesta, que la documentación corresponde a un aproximado de </w:t>
      </w:r>
      <w:r w:rsidR="008F55B2">
        <w:rPr>
          <w:rFonts w:ascii="Palatino Linotype" w:hAnsi="Palatino Linotype" w:cs="Tahoma"/>
        </w:rPr>
        <w:t>ocho</w:t>
      </w:r>
      <w:r>
        <w:rPr>
          <w:rFonts w:ascii="Palatino Linotype" w:hAnsi="Palatino Linotype" w:cs="Tahoma"/>
        </w:rPr>
        <w:t xml:space="preserve"> mil </w:t>
      </w:r>
      <w:r w:rsidR="008F55B2">
        <w:rPr>
          <w:rFonts w:ascii="Palatino Linotype" w:hAnsi="Palatino Linotype" w:cs="Tahoma"/>
        </w:rPr>
        <w:t>ciento sesenta hojas</w:t>
      </w:r>
      <w:r>
        <w:rPr>
          <w:rFonts w:ascii="Palatino Linotype" w:hAnsi="Palatino Linotype" w:cs="Tahoma"/>
        </w:rPr>
        <w:t>, es decir, que rebasa la cantidad que soporta el sistema; en consecuencia, resulta evidente la existencia de una imposibilidad técnica que debió haber sido analizada por la Ponencia Resolutora.</w:t>
      </w:r>
    </w:p>
    <w:p w14:paraId="6503803C" w14:textId="77777777" w:rsidR="00307191" w:rsidRDefault="00307191" w:rsidP="002A189F">
      <w:pPr>
        <w:spacing w:after="0" w:line="360" w:lineRule="auto"/>
        <w:jc w:val="both"/>
        <w:rPr>
          <w:rFonts w:ascii="Palatino Linotype" w:hAnsi="Palatino Linotype" w:cs="Tahoma"/>
        </w:rPr>
      </w:pPr>
    </w:p>
    <w:p w14:paraId="560BF463" w14:textId="0548E5BB" w:rsidR="009E0861" w:rsidRPr="00DF675F" w:rsidRDefault="00307191" w:rsidP="00885189">
      <w:pPr>
        <w:spacing w:after="0" w:line="360" w:lineRule="auto"/>
        <w:jc w:val="both"/>
        <w:rPr>
          <w:rFonts w:ascii="Palatino Linotype" w:hAnsi="Palatino Linotype" w:cs="Tahoma"/>
        </w:rPr>
      </w:pPr>
      <w:r>
        <w:rPr>
          <w:rFonts w:ascii="Palatino Linotype" w:hAnsi="Palatino Linotype" w:cs="Tahoma"/>
        </w:rPr>
        <w:t xml:space="preserve">En este sentido, considero que se debió acreditar una imposibilidad técnica, pues la cantidad de hojas que comprende la información rebasa lo que permite el </w:t>
      </w:r>
      <w:r w:rsidRPr="00307191">
        <w:rPr>
          <w:rFonts w:ascii="Palatino Linotype" w:hAnsi="Palatino Linotype" w:cs="Tahoma"/>
        </w:rPr>
        <w:t xml:space="preserve">Sistema de Acceso a la </w:t>
      </w:r>
      <w:r>
        <w:rPr>
          <w:rFonts w:ascii="Palatino Linotype" w:hAnsi="Palatino Linotype" w:cs="Tahoma"/>
        </w:rPr>
        <w:t xml:space="preserve">Información Mexiquense (SAIMEX); </w:t>
      </w:r>
      <w:r w:rsidR="00632E49">
        <w:rPr>
          <w:rFonts w:ascii="Palatino Linotype" w:hAnsi="Palatino Linotype" w:cs="Tahoma"/>
        </w:rPr>
        <w:t>por lo que, se debió señalar la oportunidad del Sujeto Obligado para que hiciera entrega de la información por medio de diversas modalidades electrónicas, favoreciendo la entrega gratuita de la información.</w:t>
      </w:r>
      <w:r w:rsidR="00EE7CC5">
        <w:rPr>
          <w:rFonts w:ascii="Palatino Linotype" w:hAnsi="Palatino Linotype" w:cs="Tahoma"/>
        </w:rPr>
        <w:t xml:space="preserve"> </w:t>
      </w:r>
      <w:r w:rsidR="009E0861"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009E0861"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EE7CC5">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EE7CC5">
      <w:headerReference w:type="default" r:id="rId8"/>
      <w:footerReference w:type="default" r:id="rId9"/>
      <w:pgSz w:w="12240" w:h="15840" w:code="1"/>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1528" w14:textId="77777777" w:rsidR="00CB687D" w:rsidRDefault="00CB687D" w:rsidP="00EE29F6">
      <w:pPr>
        <w:spacing w:after="0" w:line="240" w:lineRule="auto"/>
      </w:pPr>
      <w:r>
        <w:separator/>
      </w:r>
    </w:p>
  </w:endnote>
  <w:endnote w:type="continuationSeparator" w:id="0">
    <w:p w14:paraId="31280964" w14:textId="77777777" w:rsidR="00CB687D" w:rsidRDefault="00CB687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E7CC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E7CC5">
              <w:rPr>
                <w:b/>
                <w:bCs/>
                <w:noProof/>
              </w:rPr>
              <w:t>3</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A131" w14:textId="77777777" w:rsidR="00CB687D" w:rsidRDefault="00CB687D" w:rsidP="00EE29F6">
      <w:pPr>
        <w:spacing w:after="0" w:line="240" w:lineRule="auto"/>
      </w:pPr>
      <w:r>
        <w:separator/>
      </w:r>
    </w:p>
  </w:footnote>
  <w:footnote w:type="continuationSeparator" w:id="0">
    <w:p w14:paraId="7EF77B1E" w14:textId="77777777" w:rsidR="00CB687D" w:rsidRDefault="00CB687D"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EE7CC5">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745A5005" wp14:editId="4014CCA4">
                <wp:simplePos x="0" y="0"/>
                <wp:positionH relativeFrom="column">
                  <wp:posOffset>-253365</wp:posOffset>
                </wp:positionH>
                <wp:positionV relativeFrom="paragraph">
                  <wp:posOffset>-209550</wp:posOffset>
                </wp:positionV>
                <wp:extent cx="1873250" cy="9429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2FD885F1" w14:textId="77777777" w:rsidR="00EE7CC5" w:rsidRDefault="00EE7CC5" w:rsidP="004101F6">
          <w:pPr>
            <w:pStyle w:val="Encabezado"/>
            <w:jc w:val="both"/>
            <w:rPr>
              <w:rFonts w:ascii="Palatino Linotype" w:hAnsi="Palatino Linotype" w:cs="Tahoma"/>
              <w:b/>
            </w:rPr>
          </w:pPr>
        </w:p>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47000DC0" w:rsidR="00976B1D" w:rsidRDefault="00F977D8" w:rsidP="00976B1D">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78512E" w:rsidRPr="00EE7CC5">
            <w:rPr>
              <w:rFonts w:ascii="Palatino Linotype" w:eastAsia="Palatino Linotype" w:hAnsi="Palatino Linotype" w:cs="Palatino Linotype"/>
            </w:rPr>
            <w:t>04147</w:t>
          </w:r>
          <w:r w:rsidR="003F6215" w:rsidRPr="00EE7CC5">
            <w:rPr>
              <w:rFonts w:ascii="Palatino Linotype" w:eastAsia="Palatino Linotype" w:hAnsi="Palatino Linotype" w:cs="Palatino Linotype"/>
            </w:rPr>
            <w:t>/INFOEM/IP/RR/</w:t>
          </w:r>
          <w:r w:rsidR="0078512E" w:rsidRPr="00EE7CC5">
            <w:rPr>
              <w:rFonts w:ascii="Palatino Linotype" w:eastAsia="Palatino Linotype" w:hAnsi="Palatino Linotype" w:cs="Palatino Linotype"/>
            </w:rPr>
            <w:t>2022</w:t>
          </w:r>
        </w:p>
        <w:p w14:paraId="04583972" w14:textId="00854A92" w:rsidR="00DA6903" w:rsidRPr="00976B1D" w:rsidRDefault="00DF2784" w:rsidP="00976B1D">
          <w:pPr>
            <w:pStyle w:val="Encabezado"/>
            <w:jc w:val="both"/>
            <w:rPr>
              <w:rFonts w:ascii="Palatino Linotype" w:eastAsia="Calibri" w:hAnsi="Palatino Linotype" w:cs="Tahoma"/>
            </w:rPr>
          </w:pPr>
          <w:r w:rsidRPr="00085241">
            <w:rPr>
              <w:rFonts w:ascii="Palatino Linotype" w:hAnsi="Palatino Linotype" w:cs="Tahoma"/>
              <w:b/>
            </w:rPr>
            <w:t>Sujeto Obligado:</w:t>
          </w:r>
          <w:r w:rsidR="00976B1D">
            <w:rPr>
              <w:rFonts w:ascii="Palatino Linotype" w:hAnsi="Palatino Linotype" w:cs="Tahoma"/>
              <w:b/>
            </w:rPr>
            <w:t xml:space="preserve"> </w:t>
          </w:r>
          <w:r w:rsidR="0078512E">
            <w:rPr>
              <w:rFonts w:ascii="Palatino Linotype" w:eastAsia="Calibri" w:hAnsi="Palatino Linotype" w:cs="Tahoma"/>
            </w:rPr>
            <w:t>Ayuntamiento de Teoloyucan</w:t>
          </w:r>
        </w:p>
        <w:p w14:paraId="560BF489" w14:textId="548471AB"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78512E">
            <w:rPr>
              <w:rFonts w:ascii="Palatino Linotype" w:eastAsia="Calibri" w:hAnsi="Palatino Linotype" w:cs="Tahoma"/>
            </w:rPr>
            <w:t>Sharon Cristina Morales Martínez</w:t>
          </w: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0272"/>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7191"/>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6215"/>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3C78"/>
    <w:rsid w:val="00567733"/>
    <w:rsid w:val="00582CCB"/>
    <w:rsid w:val="00584D73"/>
    <w:rsid w:val="0059329D"/>
    <w:rsid w:val="005965EC"/>
    <w:rsid w:val="005A2510"/>
    <w:rsid w:val="005A5AC9"/>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32E49"/>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275C"/>
    <w:rsid w:val="006C4BE2"/>
    <w:rsid w:val="006F5316"/>
    <w:rsid w:val="006F6610"/>
    <w:rsid w:val="007071CF"/>
    <w:rsid w:val="00722FE9"/>
    <w:rsid w:val="00724F08"/>
    <w:rsid w:val="007378E2"/>
    <w:rsid w:val="00742A15"/>
    <w:rsid w:val="00743658"/>
    <w:rsid w:val="0076606F"/>
    <w:rsid w:val="0077694E"/>
    <w:rsid w:val="00781082"/>
    <w:rsid w:val="0078512E"/>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4842"/>
    <w:rsid w:val="008E54E2"/>
    <w:rsid w:val="008F55B2"/>
    <w:rsid w:val="009039FE"/>
    <w:rsid w:val="00906104"/>
    <w:rsid w:val="00911423"/>
    <w:rsid w:val="00922B2E"/>
    <w:rsid w:val="00924A73"/>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6B1D"/>
    <w:rsid w:val="00993790"/>
    <w:rsid w:val="009943E1"/>
    <w:rsid w:val="009B22ED"/>
    <w:rsid w:val="009B2C0B"/>
    <w:rsid w:val="009B2DC2"/>
    <w:rsid w:val="009C0313"/>
    <w:rsid w:val="009D07E2"/>
    <w:rsid w:val="009D08AD"/>
    <w:rsid w:val="009D15FD"/>
    <w:rsid w:val="009D4025"/>
    <w:rsid w:val="009D49BE"/>
    <w:rsid w:val="009D6D5B"/>
    <w:rsid w:val="009E0861"/>
    <w:rsid w:val="009E41F7"/>
    <w:rsid w:val="009F7B18"/>
    <w:rsid w:val="00A0224B"/>
    <w:rsid w:val="00A05E01"/>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30EB"/>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976E6"/>
    <w:rsid w:val="00C97B79"/>
    <w:rsid w:val="00CA7627"/>
    <w:rsid w:val="00CB687D"/>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E7CC5"/>
    <w:rsid w:val="00EF32A0"/>
    <w:rsid w:val="00F030F8"/>
    <w:rsid w:val="00F05A41"/>
    <w:rsid w:val="00F14384"/>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110C-9F68-44A3-9AC4-CA129FA5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3408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Carlos Fernandez</cp:lastModifiedBy>
  <cp:revision>2</cp:revision>
  <cp:lastPrinted>2019-12-16T20:14:00Z</cp:lastPrinted>
  <dcterms:created xsi:type="dcterms:W3CDTF">2022-07-07T01:00:00Z</dcterms:created>
  <dcterms:modified xsi:type="dcterms:W3CDTF">2022-07-07T01:00:00Z</dcterms:modified>
</cp:coreProperties>
</file>