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0FC262E0" w:rsidR="004E5EAD" w:rsidRDefault="00F84B95" w:rsidP="00FC181A">
      <w:pPr>
        <w:pStyle w:val="Encabezado"/>
        <w:spacing w:line="360" w:lineRule="auto"/>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8C507B">
        <w:rPr>
          <w:rFonts w:ascii="Palatino Linotype" w:hAnsi="Palatino Linotype"/>
          <w:b/>
          <w:lang w:val="es-ES_tradnl"/>
        </w:rPr>
        <w:t>12252</w:t>
      </w:r>
      <w:r w:rsidR="004134DC">
        <w:rPr>
          <w:rFonts w:ascii="Palatino Linotype" w:hAnsi="Palatino Linotype"/>
          <w:b/>
          <w:lang w:val="es-ES_tradnl"/>
        </w:rPr>
        <w:t>/INFOEM/IP/RR/2022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8C507B">
        <w:rPr>
          <w:rFonts w:ascii="Palatino Linotype" w:hAnsi="Palatino Linotype" w:cs="Tahoma"/>
          <w:b/>
        </w:rPr>
        <w:t>VILLA VICTORIA</w:t>
      </w:r>
      <w:r w:rsidR="00FC181A">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718C2063" w:rsidR="00F34C61" w:rsidRPr="00885189" w:rsidRDefault="00F34C61" w:rsidP="00FC181A">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8C507B">
        <w:rPr>
          <w:rFonts w:ascii="Palatino Linotype" w:hAnsi="Palatino Linotype"/>
          <w:b/>
          <w:lang w:val="es-ES_tradnl"/>
        </w:rPr>
        <w:t>12252</w:t>
      </w:r>
      <w:r w:rsidR="004134DC">
        <w:rPr>
          <w:rFonts w:ascii="Palatino Linotype" w:hAnsi="Palatino Linotype"/>
          <w:b/>
          <w:lang w:val="es-ES_tradnl"/>
        </w:rPr>
        <w:t>/INFOEM/IP/RR/2022</w:t>
      </w:r>
      <w:r w:rsidR="00271E8A">
        <w:rPr>
          <w:rFonts w:ascii="Palatino Linotype" w:hAnsi="Palatino Linotype"/>
          <w:b/>
          <w:lang w:val="es-ES_tradnl"/>
        </w:rPr>
        <w:t>.</w:t>
      </w:r>
    </w:p>
    <w:p w14:paraId="53846C4B" w14:textId="77777777" w:rsidR="00F34C61" w:rsidRPr="00885189" w:rsidRDefault="00F34C61" w:rsidP="00FC181A">
      <w:pPr>
        <w:spacing w:after="0" w:line="360" w:lineRule="auto"/>
        <w:jc w:val="both"/>
        <w:rPr>
          <w:rFonts w:ascii="Palatino Linotype" w:hAnsi="Palatino Linotype" w:cs="Tahoma"/>
        </w:rPr>
      </w:pPr>
    </w:p>
    <w:p w14:paraId="1A3B6080" w14:textId="05C160E5" w:rsidR="002F4CEB" w:rsidRDefault="002F4CEB" w:rsidP="00FC181A">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w:t>
      </w:r>
    </w:p>
    <w:p w14:paraId="72F1CD83" w14:textId="77777777" w:rsidR="002F4CEB" w:rsidRDefault="002F4CEB" w:rsidP="00FC181A">
      <w:pPr>
        <w:spacing w:after="0" w:line="360" w:lineRule="auto"/>
        <w:jc w:val="both"/>
        <w:rPr>
          <w:rFonts w:ascii="Palatino Linotype" w:hAnsi="Palatino Linotype" w:cs="Tahoma"/>
        </w:rPr>
      </w:pPr>
    </w:p>
    <w:p w14:paraId="41661194" w14:textId="77777777" w:rsidR="002F4CEB" w:rsidRDefault="002F4CEB" w:rsidP="00FC181A">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3BD1F54" w14:textId="77777777" w:rsidR="002F4CEB" w:rsidRDefault="002F4CEB" w:rsidP="00FC181A">
      <w:pPr>
        <w:spacing w:after="0" w:line="360" w:lineRule="auto"/>
        <w:jc w:val="both"/>
        <w:rPr>
          <w:rFonts w:ascii="Palatino Linotype" w:hAnsi="Palatino Linotype" w:cs="Tahoma"/>
        </w:rPr>
      </w:pPr>
    </w:p>
    <w:p w14:paraId="096794B6" w14:textId="77777777" w:rsidR="002F4CEB" w:rsidRDefault="002F4CEB" w:rsidP="00FC181A">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FC181A">
      <w:pPr>
        <w:spacing w:after="0" w:line="360" w:lineRule="auto"/>
        <w:jc w:val="both"/>
        <w:rPr>
          <w:rFonts w:ascii="Palatino Linotype" w:hAnsi="Palatino Linotype" w:cs="Tahoma"/>
        </w:rPr>
      </w:pPr>
    </w:p>
    <w:p w14:paraId="3110610B" w14:textId="77777777" w:rsidR="002F4CEB" w:rsidRPr="00FB0274" w:rsidRDefault="002F4CEB" w:rsidP="00FC181A">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5C67B172" w14:textId="77777777" w:rsidR="002F4CEB" w:rsidRPr="00FB0274" w:rsidRDefault="002F4CEB" w:rsidP="00FC181A">
      <w:pPr>
        <w:spacing w:after="0" w:line="360" w:lineRule="auto"/>
        <w:jc w:val="both"/>
        <w:rPr>
          <w:rFonts w:ascii="Palatino Linotype" w:hAnsi="Palatino Linotype"/>
        </w:rPr>
      </w:pPr>
    </w:p>
    <w:p w14:paraId="110F4313" w14:textId="77777777" w:rsidR="002F4CEB" w:rsidRPr="00FB0274" w:rsidRDefault="002F4CEB" w:rsidP="00FC181A">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18CEF85" w14:textId="77777777" w:rsidR="002F4CEB" w:rsidRPr="00FB0274" w:rsidRDefault="002F4CEB" w:rsidP="00FC181A">
      <w:pPr>
        <w:spacing w:after="0" w:line="360" w:lineRule="auto"/>
        <w:jc w:val="both"/>
        <w:rPr>
          <w:rFonts w:ascii="Palatino Linotype" w:hAnsi="Palatino Linotype"/>
        </w:rPr>
      </w:pPr>
    </w:p>
    <w:p w14:paraId="66CD7CF5" w14:textId="77777777" w:rsidR="002F4CEB" w:rsidRPr="00FB0274" w:rsidRDefault="002F4CEB" w:rsidP="00FC181A">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FC181A">
      <w:pPr>
        <w:spacing w:after="0" w:line="360" w:lineRule="auto"/>
        <w:jc w:val="both"/>
        <w:rPr>
          <w:rFonts w:ascii="Palatino Linotype" w:eastAsia="MS Mincho" w:hAnsi="Palatino Linotype" w:cs="Arial"/>
        </w:rPr>
      </w:pPr>
    </w:p>
    <w:p w14:paraId="4ACF3558" w14:textId="77777777" w:rsidR="002F4CEB" w:rsidRPr="006E2C84" w:rsidRDefault="002F4CEB" w:rsidP="00FC181A">
      <w:pPr>
        <w:spacing w:after="0" w:line="360" w:lineRule="auto"/>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FC181A">
      <w:pPr>
        <w:spacing w:after="0" w:line="360" w:lineRule="auto"/>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FC181A">
      <w:pPr>
        <w:spacing w:after="0" w:line="360" w:lineRule="auto"/>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FC181A">
      <w:pPr>
        <w:spacing w:after="0" w:line="360" w:lineRule="auto"/>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FC181A">
      <w:pPr>
        <w:spacing w:after="0" w:line="360" w:lineRule="auto"/>
        <w:jc w:val="both"/>
        <w:rPr>
          <w:rFonts w:ascii="Palatino Linotype" w:eastAsia="MS Mincho" w:hAnsi="Palatino Linotype" w:cs="Arial"/>
        </w:rPr>
      </w:pPr>
    </w:p>
    <w:p w14:paraId="1B43B66B" w14:textId="77777777" w:rsidR="002F4CEB" w:rsidRDefault="002F4CEB" w:rsidP="00FC181A">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FC181A">
      <w:pPr>
        <w:spacing w:after="0" w:line="360" w:lineRule="auto"/>
        <w:jc w:val="both"/>
        <w:rPr>
          <w:rFonts w:ascii="Palatino Linotype" w:eastAsia="MS Mincho" w:hAnsi="Palatino Linotype" w:cs="Arial"/>
        </w:rPr>
      </w:pPr>
    </w:p>
    <w:p w14:paraId="688173EC" w14:textId="77777777" w:rsidR="002F4CEB" w:rsidRPr="006A7606" w:rsidRDefault="002F4CEB" w:rsidP="00FC181A">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FC181A">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FC181A">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FC181A">
      <w:pPr>
        <w:spacing w:after="0" w:line="360" w:lineRule="auto"/>
        <w:jc w:val="both"/>
        <w:rPr>
          <w:rFonts w:ascii="Palatino Linotype" w:eastAsia="MS Mincho" w:hAnsi="Palatino Linotype" w:cs="Arial"/>
          <w:i/>
          <w:lang w:val="es-ES_tradnl"/>
        </w:rPr>
      </w:pPr>
    </w:p>
    <w:p w14:paraId="3508BE01" w14:textId="77777777" w:rsidR="002F4CEB" w:rsidRPr="006E2C84" w:rsidRDefault="002F4CEB" w:rsidP="00FC181A">
      <w:pPr>
        <w:spacing w:after="0" w:line="360" w:lineRule="auto"/>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FC181A">
      <w:pPr>
        <w:spacing w:after="0" w:line="360" w:lineRule="auto"/>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FC181A">
      <w:pPr>
        <w:spacing w:after="0" w:line="360" w:lineRule="auto"/>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77777777" w:rsidR="002F4CEB" w:rsidRPr="006A7606" w:rsidRDefault="002F4CEB" w:rsidP="00FC181A">
      <w:pPr>
        <w:spacing w:after="0" w:line="360" w:lineRule="auto"/>
        <w:jc w:val="both"/>
        <w:rPr>
          <w:rFonts w:ascii="Palatino Linotype" w:eastAsia="MS Mincho" w:hAnsi="Palatino Linotype" w:cs="Arial"/>
          <w:i/>
          <w:lang w:val="es-ES_tradnl"/>
        </w:rPr>
      </w:pPr>
    </w:p>
    <w:p w14:paraId="4070547A" w14:textId="77777777" w:rsidR="002F4CEB" w:rsidRPr="006A7606" w:rsidRDefault="002F4CEB" w:rsidP="00FC181A">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FC181A">
      <w:pPr>
        <w:spacing w:after="0" w:line="360" w:lineRule="auto"/>
        <w:jc w:val="both"/>
        <w:rPr>
          <w:rFonts w:ascii="Palatino Linotype" w:hAnsi="Palatino Linotype" w:cs="Arial"/>
        </w:rPr>
      </w:pPr>
    </w:p>
    <w:p w14:paraId="47761B20" w14:textId="77777777" w:rsidR="002F4CEB" w:rsidRPr="006E2C84" w:rsidRDefault="002F4CEB" w:rsidP="00FC181A">
      <w:pPr>
        <w:autoSpaceDE w:val="0"/>
        <w:autoSpaceDN w:val="0"/>
        <w:adjustRightInd w:val="0"/>
        <w:spacing w:after="0" w:line="360" w:lineRule="auto"/>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FC181A">
      <w:pPr>
        <w:spacing w:after="0" w:line="360" w:lineRule="auto"/>
        <w:jc w:val="both"/>
        <w:rPr>
          <w:rFonts w:ascii="Palatino Linotype" w:hAnsi="Palatino Linotype"/>
        </w:rPr>
      </w:pPr>
    </w:p>
    <w:p w14:paraId="02876135" w14:textId="77777777" w:rsidR="002F4CEB" w:rsidRPr="006A7606" w:rsidRDefault="002F4CEB" w:rsidP="00FC181A">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w:t>
      </w:r>
      <w:r w:rsidRPr="006A7606">
        <w:rPr>
          <w:rFonts w:ascii="Palatino Linotype" w:hAnsi="Palatino Linotype" w:cs="Arial"/>
        </w:rPr>
        <w:lastRenderedPageBreak/>
        <w:t>entreguen en atención a solicitudes de acceso a la información pública. Situación que se replica en el escenario local, pues dentro del Estado de México.</w:t>
      </w:r>
    </w:p>
    <w:p w14:paraId="1EA8DF1C" w14:textId="77777777" w:rsidR="002F4CEB" w:rsidRPr="006A7606" w:rsidRDefault="002F4CEB" w:rsidP="00FC181A">
      <w:pPr>
        <w:spacing w:after="0" w:line="360" w:lineRule="auto"/>
        <w:jc w:val="both"/>
        <w:rPr>
          <w:rFonts w:ascii="Palatino Linotype" w:hAnsi="Palatino Linotype"/>
        </w:rPr>
      </w:pPr>
    </w:p>
    <w:p w14:paraId="4F83F922" w14:textId="77777777" w:rsidR="002F4CEB" w:rsidRPr="006A7606" w:rsidRDefault="002F4CEB" w:rsidP="00FC181A">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FC181A">
      <w:pPr>
        <w:spacing w:after="0" w:line="360" w:lineRule="auto"/>
        <w:jc w:val="both"/>
        <w:rPr>
          <w:rFonts w:ascii="Palatino Linotype" w:hAnsi="Palatino Linotype" w:cs="Segoe UI"/>
        </w:rPr>
      </w:pPr>
    </w:p>
    <w:p w14:paraId="40F83D74" w14:textId="2F57EAD7" w:rsidR="002F4CEB" w:rsidRDefault="002F4CEB" w:rsidP="00FC181A">
      <w:pPr>
        <w:autoSpaceDE w:val="0"/>
        <w:autoSpaceDN w:val="0"/>
        <w:adjustRightInd w:val="0"/>
        <w:spacing w:after="0" w:line="360" w:lineRule="auto"/>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AD90E2C" w14:textId="77777777" w:rsidR="00FC181A" w:rsidRPr="006E2C84" w:rsidRDefault="00FC181A" w:rsidP="00FC181A">
      <w:pPr>
        <w:autoSpaceDE w:val="0"/>
        <w:autoSpaceDN w:val="0"/>
        <w:adjustRightInd w:val="0"/>
        <w:spacing w:after="0" w:line="360" w:lineRule="auto"/>
        <w:jc w:val="both"/>
        <w:rPr>
          <w:rFonts w:ascii="Palatino Linotype" w:eastAsia="Calibri" w:hAnsi="Palatino Linotype" w:cs="Arial"/>
          <w:i/>
          <w:sz w:val="20"/>
          <w:szCs w:val="20"/>
        </w:rPr>
      </w:pPr>
    </w:p>
    <w:p w14:paraId="0E5A5FE3" w14:textId="77777777" w:rsidR="002F4CEB" w:rsidRDefault="002F4CEB" w:rsidP="00FC181A">
      <w:pPr>
        <w:shd w:val="clear" w:color="auto" w:fill="FFFFFF"/>
        <w:spacing w:after="0" w:line="360" w:lineRule="auto"/>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xml:space="preserve"> El Tribunal en Pleno de la Suprema Corte de Justicia de la Nación en la </w:t>
      </w:r>
      <w:r w:rsidRPr="006E2C84">
        <w:rPr>
          <w:rFonts w:ascii="Palatino Linotype" w:hAnsi="Palatino Linotype"/>
          <w:i/>
          <w:iCs/>
          <w:sz w:val="20"/>
          <w:szCs w:val="20"/>
          <w:lang w:eastAsia="es-MX"/>
        </w:rPr>
        <w:lastRenderedPageBreak/>
        <w:t>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FC181A">
      <w:pPr>
        <w:spacing w:after="0" w:line="360" w:lineRule="auto"/>
        <w:jc w:val="both"/>
        <w:rPr>
          <w:rFonts w:ascii="Palatino Linotype" w:hAnsi="Palatino Linotype" w:cs="Arial"/>
        </w:rPr>
      </w:pPr>
    </w:p>
    <w:p w14:paraId="4AEC0462" w14:textId="77777777" w:rsidR="002F4CEB" w:rsidRDefault="002F4CEB" w:rsidP="00FC181A">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FC181A">
      <w:pPr>
        <w:spacing w:after="0" w:line="360" w:lineRule="auto"/>
        <w:jc w:val="both"/>
        <w:rPr>
          <w:rFonts w:ascii="Palatino Linotype" w:hAnsi="Palatino Linotype" w:cs="Arial"/>
        </w:rPr>
      </w:pPr>
    </w:p>
    <w:p w14:paraId="18E88787" w14:textId="77777777" w:rsidR="002F4CEB" w:rsidRPr="00885189" w:rsidRDefault="002F4CEB" w:rsidP="00FC181A">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w:t>
      </w:r>
      <w:r>
        <w:rPr>
          <w:rFonts w:ascii="Palatino Linotype" w:hAnsi="Palatino Linotype" w:cs="Arial"/>
        </w:rPr>
        <w:lastRenderedPageBreak/>
        <w:t xml:space="preserve">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FC181A">
      <w:pPr>
        <w:spacing w:after="0" w:line="360" w:lineRule="auto"/>
        <w:jc w:val="both"/>
        <w:rPr>
          <w:rFonts w:ascii="Palatino Linotype" w:hAnsi="Palatino Linotype" w:cs="Tahoma"/>
        </w:rPr>
      </w:pPr>
    </w:p>
    <w:p w14:paraId="4D96CA41" w14:textId="77777777" w:rsidR="002F4CEB" w:rsidRPr="00885189" w:rsidRDefault="002F4CEB" w:rsidP="00FC181A">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FC181A">
      <w:pPr>
        <w:spacing w:after="0" w:line="360" w:lineRule="auto"/>
        <w:jc w:val="both"/>
        <w:rPr>
          <w:rFonts w:ascii="Palatino Linotype" w:hAnsi="Palatino Linotype" w:cs="Tahoma"/>
        </w:rPr>
      </w:pPr>
    </w:p>
    <w:p w14:paraId="4BDD5AE8" w14:textId="5401A68B" w:rsidR="002F4CEB" w:rsidRPr="00885189" w:rsidRDefault="002F4CEB" w:rsidP="00FC181A">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05F5525F" w14:textId="77777777" w:rsidR="002F4CEB" w:rsidRPr="00885189" w:rsidRDefault="002F4CEB" w:rsidP="00FC181A">
      <w:pPr>
        <w:spacing w:after="0" w:line="360" w:lineRule="auto"/>
        <w:jc w:val="both"/>
        <w:rPr>
          <w:rFonts w:ascii="Palatino Linotype" w:hAnsi="Palatino Linotype" w:cs="Tahoma"/>
        </w:rPr>
      </w:pPr>
      <w:r>
        <w:rPr>
          <w:rFonts w:ascii="Palatino Linotype" w:hAnsi="Palatino Linotype" w:cs="Tahoma"/>
        </w:rPr>
        <w:lastRenderedPageBreak/>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FC181A">
      <w:pPr>
        <w:spacing w:after="0" w:line="360" w:lineRule="auto"/>
        <w:jc w:val="both"/>
        <w:rPr>
          <w:rFonts w:ascii="Palatino Linotype" w:hAnsi="Palatino Linotype" w:cs="Tahoma"/>
        </w:rPr>
      </w:pPr>
    </w:p>
    <w:p w14:paraId="6DF8C0EE" w14:textId="77777777" w:rsidR="002F4CEB" w:rsidRPr="00885189" w:rsidRDefault="002F4CEB" w:rsidP="00FC181A">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FC181A">
      <w:pPr>
        <w:spacing w:after="0" w:line="360" w:lineRule="auto"/>
        <w:jc w:val="both"/>
        <w:rPr>
          <w:rFonts w:ascii="Palatino Linotype" w:hAnsi="Palatino Linotype" w:cs="Tahoma"/>
        </w:rPr>
      </w:pPr>
    </w:p>
    <w:p w14:paraId="73106E39" w14:textId="77777777" w:rsidR="002F4CEB" w:rsidRDefault="002F4CEB" w:rsidP="00FC181A">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8617CB6" w14:textId="77777777" w:rsidR="002F4CEB" w:rsidRPr="00DF675F" w:rsidRDefault="002F4CEB" w:rsidP="00FC181A">
      <w:pPr>
        <w:spacing w:after="0" w:line="360" w:lineRule="auto"/>
        <w:jc w:val="both"/>
        <w:rPr>
          <w:rFonts w:ascii="Palatino Linotype" w:hAnsi="Palatino Linotype" w:cs="Tahoma"/>
        </w:rPr>
      </w:pPr>
    </w:p>
    <w:p w14:paraId="2EFA43A3" w14:textId="77777777" w:rsidR="002F4CEB" w:rsidRPr="00DF675F" w:rsidRDefault="002F4CEB" w:rsidP="00FC181A">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52017ECF" w14:textId="77777777" w:rsidR="002F4CEB" w:rsidRDefault="002F4CEB" w:rsidP="00FC181A">
      <w:pPr>
        <w:spacing w:after="0" w:line="360" w:lineRule="auto"/>
        <w:jc w:val="both"/>
        <w:rPr>
          <w:rFonts w:ascii="Palatino Linotype" w:hAnsi="Palatino Linotype" w:cs="Tahoma"/>
        </w:rPr>
      </w:pPr>
    </w:p>
    <w:p w14:paraId="1E6AA6B0" w14:textId="77777777" w:rsidR="002F4CEB" w:rsidRDefault="002F4CEB" w:rsidP="00FC181A">
      <w:pPr>
        <w:spacing w:after="0" w:line="360" w:lineRule="auto"/>
        <w:jc w:val="both"/>
        <w:rPr>
          <w:rFonts w:ascii="Palatino Linotype" w:hAnsi="Palatino Linotype" w:cs="Tahoma"/>
        </w:rPr>
      </w:pPr>
    </w:p>
    <w:p w14:paraId="7C897F75" w14:textId="77777777" w:rsidR="002F4CEB" w:rsidRDefault="002F4CEB" w:rsidP="00FC181A">
      <w:pPr>
        <w:spacing w:after="0" w:line="360" w:lineRule="auto"/>
        <w:jc w:val="both"/>
        <w:rPr>
          <w:rFonts w:ascii="Palatino Linotype" w:hAnsi="Palatino Linotype" w:cs="Tahoma"/>
        </w:rPr>
      </w:pPr>
    </w:p>
    <w:p w14:paraId="41EB9D52" w14:textId="77777777" w:rsidR="002F4CEB" w:rsidRDefault="002F4CEB" w:rsidP="00FC181A">
      <w:pPr>
        <w:spacing w:after="0" w:line="360" w:lineRule="auto"/>
        <w:jc w:val="both"/>
        <w:rPr>
          <w:rFonts w:ascii="Palatino Linotype" w:hAnsi="Palatino Linotype" w:cs="Tahoma"/>
        </w:rPr>
      </w:pPr>
    </w:p>
    <w:p w14:paraId="06FF2956" w14:textId="77777777" w:rsidR="002F4CEB" w:rsidRDefault="002F4CEB" w:rsidP="00FC181A">
      <w:pPr>
        <w:spacing w:after="0" w:line="360" w:lineRule="auto"/>
        <w:jc w:val="both"/>
        <w:rPr>
          <w:rFonts w:ascii="Palatino Linotype" w:hAnsi="Palatino Linotype" w:cs="Tahoma"/>
        </w:rPr>
      </w:pPr>
    </w:p>
    <w:p w14:paraId="05E173DB" w14:textId="77777777" w:rsidR="002F4CEB" w:rsidRDefault="002F4CEB" w:rsidP="00FC181A">
      <w:pPr>
        <w:spacing w:after="0" w:line="360" w:lineRule="auto"/>
        <w:jc w:val="both"/>
        <w:rPr>
          <w:rFonts w:ascii="Palatino Linotype" w:hAnsi="Palatino Linotype" w:cs="Tahoma"/>
        </w:rPr>
      </w:pPr>
    </w:p>
    <w:p w14:paraId="35264119" w14:textId="77777777" w:rsidR="002F4CEB" w:rsidRDefault="002F4CEB" w:rsidP="00FC181A">
      <w:pPr>
        <w:spacing w:after="0" w:line="360" w:lineRule="auto"/>
        <w:jc w:val="both"/>
        <w:rPr>
          <w:rFonts w:ascii="Palatino Linotype" w:hAnsi="Palatino Linotype" w:cs="Tahoma"/>
        </w:rPr>
      </w:pPr>
    </w:p>
    <w:p w14:paraId="179C19D3" w14:textId="77777777" w:rsidR="00F34C61" w:rsidRDefault="00F34C61" w:rsidP="00FC181A">
      <w:pPr>
        <w:spacing w:after="0" w:line="360" w:lineRule="auto"/>
        <w:jc w:val="both"/>
        <w:rPr>
          <w:rFonts w:ascii="Palatino Linotype" w:hAnsi="Palatino Linotype" w:cs="Tahoma"/>
        </w:rPr>
      </w:pPr>
    </w:p>
    <w:p w14:paraId="5A9780E7" w14:textId="77777777" w:rsidR="00F34C61" w:rsidRDefault="00F34C61" w:rsidP="00FC181A">
      <w:pPr>
        <w:spacing w:after="0" w:line="360" w:lineRule="auto"/>
        <w:jc w:val="both"/>
        <w:rPr>
          <w:rFonts w:ascii="Palatino Linotype" w:hAnsi="Palatino Linotype" w:cs="Tahoma"/>
        </w:rPr>
      </w:pPr>
    </w:p>
    <w:p w14:paraId="0139022D" w14:textId="77777777" w:rsidR="00F34C61" w:rsidRDefault="00F34C61" w:rsidP="00FC181A">
      <w:pPr>
        <w:spacing w:after="0" w:line="360" w:lineRule="auto"/>
        <w:jc w:val="both"/>
        <w:rPr>
          <w:rFonts w:ascii="Palatino Linotype" w:hAnsi="Palatino Linotype" w:cs="Tahoma"/>
        </w:rPr>
      </w:pPr>
    </w:p>
    <w:p w14:paraId="03152D2D" w14:textId="77777777" w:rsidR="00F34C61" w:rsidRDefault="00F34C61" w:rsidP="00FC181A">
      <w:pPr>
        <w:spacing w:after="0" w:line="360" w:lineRule="auto"/>
        <w:jc w:val="both"/>
        <w:rPr>
          <w:rFonts w:ascii="Palatino Linotype" w:hAnsi="Palatino Linotype" w:cs="Tahoma"/>
        </w:rPr>
      </w:pPr>
    </w:p>
    <w:p w14:paraId="5E72CCFF" w14:textId="77777777" w:rsidR="00F34C61" w:rsidRDefault="00F34C61" w:rsidP="00FC181A">
      <w:pPr>
        <w:spacing w:after="0" w:line="360" w:lineRule="auto"/>
        <w:jc w:val="both"/>
        <w:rPr>
          <w:rFonts w:ascii="Palatino Linotype" w:hAnsi="Palatino Linotype" w:cs="Tahoma"/>
        </w:rPr>
      </w:pPr>
    </w:p>
    <w:p w14:paraId="752F3A12" w14:textId="77777777" w:rsidR="00F34C61" w:rsidRDefault="00F34C61" w:rsidP="00FC181A">
      <w:pPr>
        <w:spacing w:after="0" w:line="360" w:lineRule="auto"/>
        <w:jc w:val="both"/>
        <w:rPr>
          <w:rFonts w:ascii="Palatino Linotype" w:hAnsi="Palatino Linotype" w:cs="Tahoma"/>
        </w:rPr>
      </w:pPr>
    </w:p>
    <w:p w14:paraId="2FD3B78E" w14:textId="77777777" w:rsidR="00F34C61" w:rsidRDefault="00F34C61" w:rsidP="00FC181A">
      <w:pPr>
        <w:spacing w:after="0" w:line="360" w:lineRule="auto"/>
        <w:jc w:val="both"/>
        <w:rPr>
          <w:rFonts w:ascii="Palatino Linotype" w:hAnsi="Palatino Linotype" w:cs="Tahoma"/>
        </w:rPr>
      </w:pPr>
    </w:p>
    <w:p w14:paraId="68359588" w14:textId="77777777" w:rsidR="00F34C61" w:rsidRDefault="00F34C61" w:rsidP="00FC181A">
      <w:pPr>
        <w:spacing w:after="0" w:line="360" w:lineRule="auto"/>
        <w:jc w:val="both"/>
        <w:rPr>
          <w:rFonts w:ascii="Palatino Linotype" w:hAnsi="Palatino Linotype" w:cs="Tahoma"/>
        </w:rPr>
      </w:pPr>
    </w:p>
    <w:p w14:paraId="6AB65F2A" w14:textId="77777777" w:rsidR="00F34C61" w:rsidRDefault="00F34C61" w:rsidP="00FC181A">
      <w:pPr>
        <w:spacing w:after="0" w:line="360" w:lineRule="auto"/>
        <w:jc w:val="both"/>
        <w:rPr>
          <w:rFonts w:ascii="Palatino Linotype" w:hAnsi="Palatino Linotype" w:cs="Tahoma"/>
        </w:rPr>
      </w:pPr>
    </w:p>
    <w:p w14:paraId="716DC983" w14:textId="77777777" w:rsidR="00F34C61" w:rsidRDefault="00F34C61" w:rsidP="00FC181A">
      <w:pPr>
        <w:spacing w:after="0" w:line="360" w:lineRule="auto"/>
        <w:jc w:val="both"/>
        <w:rPr>
          <w:rFonts w:ascii="Palatino Linotype" w:hAnsi="Palatino Linotype" w:cs="Tahoma"/>
        </w:rPr>
      </w:pPr>
    </w:p>
    <w:p w14:paraId="1BD89F14" w14:textId="77777777" w:rsidR="00F34C61" w:rsidRDefault="00F34C61" w:rsidP="00FC181A">
      <w:pPr>
        <w:spacing w:after="0" w:line="360" w:lineRule="auto"/>
        <w:jc w:val="both"/>
        <w:rPr>
          <w:rFonts w:ascii="Palatino Linotype" w:hAnsi="Palatino Linotype" w:cs="Tahoma"/>
        </w:rPr>
      </w:pPr>
    </w:p>
    <w:p w14:paraId="605B78BD" w14:textId="77777777" w:rsidR="00F34C61" w:rsidRDefault="00F34C61" w:rsidP="00FC181A">
      <w:pPr>
        <w:spacing w:after="0" w:line="360" w:lineRule="auto"/>
        <w:jc w:val="both"/>
        <w:rPr>
          <w:rFonts w:ascii="Palatino Linotype" w:hAnsi="Palatino Linotype" w:cs="Tahoma"/>
        </w:rPr>
      </w:pPr>
    </w:p>
    <w:p w14:paraId="3033C686" w14:textId="77777777" w:rsidR="00F34C61" w:rsidRDefault="00F34C61" w:rsidP="00FC181A">
      <w:pPr>
        <w:spacing w:after="0" w:line="360" w:lineRule="auto"/>
        <w:jc w:val="both"/>
        <w:rPr>
          <w:rFonts w:ascii="Palatino Linotype" w:hAnsi="Palatino Linotype" w:cs="Tahoma"/>
        </w:rPr>
      </w:pPr>
    </w:p>
    <w:p w14:paraId="4D53D0AE" w14:textId="77777777" w:rsidR="00F34C61" w:rsidRDefault="00F34C61" w:rsidP="00FC181A">
      <w:pPr>
        <w:spacing w:after="0" w:line="360" w:lineRule="auto"/>
        <w:jc w:val="both"/>
        <w:rPr>
          <w:rFonts w:ascii="Palatino Linotype" w:hAnsi="Palatino Linotype" w:cs="Tahoma"/>
        </w:rPr>
      </w:pPr>
    </w:p>
    <w:p w14:paraId="2379806C" w14:textId="77777777" w:rsidR="00F34C61" w:rsidRDefault="00F34C61" w:rsidP="00FC181A">
      <w:pPr>
        <w:spacing w:after="0" w:line="360" w:lineRule="auto"/>
        <w:jc w:val="both"/>
        <w:rPr>
          <w:rFonts w:ascii="Palatino Linotype" w:hAnsi="Palatino Linotype" w:cs="Tahoma"/>
        </w:rPr>
      </w:pPr>
    </w:p>
    <w:p w14:paraId="07408794" w14:textId="77777777" w:rsidR="00F34C61" w:rsidRDefault="00F34C61" w:rsidP="00FC181A">
      <w:pPr>
        <w:spacing w:after="0" w:line="360" w:lineRule="auto"/>
        <w:jc w:val="both"/>
        <w:rPr>
          <w:rFonts w:ascii="Palatino Linotype" w:hAnsi="Palatino Linotype" w:cs="Tahoma"/>
        </w:rPr>
      </w:pPr>
    </w:p>
    <w:p w14:paraId="519DF229" w14:textId="77777777" w:rsidR="00F34C61" w:rsidRDefault="00F34C61" w:rsidP="00FC181A">
      <w:pPr>
        <w:spacing w:after="0" w:line="360" w:lineRule="auto"/>
        <w:jc w:val="both"/>
        <w:rPr>
          <w:rFonts w:ascii="Palatino Linotype" w:hAnsi="Palatino Linotype" w:cs="Tahoma"/>
        </w:rPr>
      </w:pPr>
    </w:p>
    <w:p w14:paraId="335FEDFB" w14:textId="77777777" w:rsidR="00F34C61" w:rsidRDefault="00F34C61" w:rsidP="00FC181A">
      <w:pPr>
        <w:spacing w:after="0" w:line="360" w:lineRule="auto"/>
        <w:jc w:val="both"/>
        <w:rPr>
          <w:rFonts w:ascii="Palatino Linotype" w:hAnsi="Palatino Linotype" w:cs="Tahoma"/>
        </w:rPr>
      </w:pPr>
    </w:p>
    <w:p w14:paraId="02397CEC" w14:textId="77777777" w:rsidR="00F34C61" w:rsidRDefault="00F34C61" w:rsidP="00FC181A">
      <w:pPr>
        <w:spacing w:after="0" w:line="360" w:lineRule="auto"/>
        <w:jc w:val="both"/>
        <w:rPr>
          <w:rFonts w:ascii="Palatino Linotype" w:hAnsi="Palatino Linotype" w:cs="Tahoma"/>
        </w:rPr>
      </w:pPr>
    </w:p>
    <w:p w14:paraId="727A08D4" w14:textId="77777777" w:rsidR="00F34C61" w:rsidRDefault="00F34C61" w:rsidP="00FC181A">
      <w:pPr>
        <w:spacing w:after="0" w:line="360" w:lineRule="auto"/>
        <w:jc w:val="both"/>
        <w:rPr>
          <w:rFonts w:ascii="Palatino Linotype" w:hAnsi="Palatino Linotype" w:cs="Tahoma"/>
        </w:rPr>
      </w:pPr>
    </w:p>
    <w:p w14:paraId="4EB19578" w14:textId="77777777" w:rsidR="00F84B95" w:rsidRDefault="00F84B95" w:rsidP="00FC181A">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03C5" w14:textId="77777777" w:rsidR="00BC4EBB" w:rsidRDefault="00BC4EBB" w:rsidP="00A80C30">
      <w:pPr>
        <w:spacing w:after="0" w:line="240" w:lineRule="auto"/>
      </w:pPr>
      <w:r>
        <w:separator/>
      </w:r>
    </w:p>
  </w:endnote>
  <w:endnote w:type="continuationSeparator" w:id="0">
    <w:p w14:paraId="2F060A8F" w14:textId="77777777" w:rsidR="00BC4EBB" w:rsidRDefault="00BC4EBB"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C1C0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C1C08">
              <w:rPr>
                <w:b/>
                <w:bCs/>
                <w:noProof/>
              </w:rPr>
              <w:t>10</w:t>
            </w:r>
            <w:r>
              <w:rPr>
                <w:b/>
                <w:bCs/>
                <w:sz w:val="24"/>
                <w:szCs w:val="24"/>
              </w:rPr>
              <w:fldChar w:fldCharType="end"/>
            </w:r>
          </w:p>
        </w:sdtContent>
      </w:sdt>
    </w:sdtContent>
  </w:sdt>
  <w:p w14:paraId="3B9A91BE"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0198" w14:textId="77777777" w:rsidR="00BC4EBB" w:rsidRDefault="00BC4EBB" w:rsidP="00A80C30">
      <w:pPr>
        <w:spacing w:after="0" w:line="240" w:lineRule="auto"/>
      </w:pPr>
      <w:r>
        <w:separator/>
      </w:r>
    </w:p>
  </w:footnote>
  <w:footnote w:type="continuationSeparator" w:id="0">
    <w:p w14:paraId="49A5EF6F" w14:textId="77777777" w:rsidR="00BC4EBB" w:rsidRDefault="00BC4EBB"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000000">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0"/>
    </w:tblGrid>
    <w:tr w:rsidR="0077694E" w:rsidRPr="001106EA" w14:paraId="586042BD" w14:textId="77777777" w:rsidTr="00FC181A">
      <w:trPr>
        <w:trHeight w:val="1843"/>
      </w:trPr>
      <w:tc>
        <w:tcPr>
          <w:tcW w:w="3119"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5670"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0B343A24"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8C507B">
            <w:rPr>
              <w:rFonts w:ascii="Palatino Linotype" w:hAnsi="Palatino Linotype"/>
              <w:lang w:val="es-MX"/>
            </w:rPr>
            <w:t>12252</w:t>
          </w:r>
          <w:r w:rsidR="000E09CA" w:rsidRPr="000E09CA">
            <w:rPr>
              <w:rFonts w:ascii="Palatino Linotype" w:hAnsi="Palatino Linotype"/>
              <w:lang w:val="es-MX"/>
            </w:rPr>
            <w:t>/INFOEM/IP/RR/2022</w:t>
          </w:r>
        </w:p>
        <w:p w14:paraId="20A1EB01" w14:textId="201FD2F1"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8C507B">
            <w:rPr>
              <w:rFonts w:ascii="Palatino Linotype" w:hAnsi="Palatino Linotype"/>
              <w:bCs/>
              <w:lang w:val="es-MX"/>
            </w:rPr>
            <w:t>Villa Victoria</w:t>
          </w:r>
        </w:p>
        <w:p w14:paraId="7EC14AD1" w14:textId="12826759" w:rsidR="00285C7B" w:rsidRPr="00285C7B" w:rsidRDefault="001F75E5" w:rsidP="00CA3EE9">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AF5CE0">
            <w:rPr>
              <w:rFonts w:ascii="Palatino Linotype" w:hAnsi="Palatino Linotype" w:cs="Arial"/>
              <w:szCs w:val="20"/>
            </w:rPr>
            <w:t>Sharon Cristina Morales Martínez</w:t>
          </w:r>
        </w:p>
      </w:tc>
    </w:tr>
  </w:tbl>
  <w:p w14:paraId="7FED2E96" w14:textId="77777777" w:rsidR="00D55429" w:rsidRPr="001106EA" w:rsidRDefault="00000000">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000000">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695A"/>
    <w:rsid w:val="00047ED8"/>
    <w:rsid w:val="00082310"/>
    <w:rsid w:val="000E09CA"/>
    <w:rsid w:val="00100065"/>
    <w:rsid w:val="001830C9"/>
    <w:rsid w:val="001971A0"/>
    <w:rsid w:val="001F75E5"/>
    <w:rsid w:val="00271E8A"/>
    <w:rsid w:val="00285C7B"/>
    <w:rsid w:val="002D6AB3"/>
    <w:rsid w:val="002F4CEB"/>
    <w:rsid w:val="00304A0F"/>
    <w:rsid w:val="00314859"/>
    <w:rsid w:val="003E56C5"/>
    <w:rsid w:val="004134DC"/>
    <w:rsid w:val="00427F85"/>
    <w:rsid w:val="004412C6"/>
    <w:rsid w:val="004474C6"/>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974CA"/>
    <w:rsid w:val="005B508B"/>
    <w:rsid w:val="00601591"/>
    <w:rsid w:val="006408E2"/>
    <w:rsid w:val="00684986"/>
    <w:rsid w:val="00686864"/>
    <w:rsid w:val="00690441"/>
    <w:rsid w:val="00691A36"/>
    <w:rsid w:val="006C2B09"/>
    <w:rsid w:val="00716333"/>
    <w:rsid w:val="00756729"/>
    <w:rsid w:val="007F32AC"/>
    <w:rsid w:val="00823E1B"/>
    <w:rsid w:val="0083177F"/>
    <w:rsid w:val="00833C20"/>
    <w:rsid w:val="00842979"/>
    <w:rsid w:val="0086164B"/>
    <w:rsid w:val="00864A25"/>
    <w:rsid w:val="008C507B"/>
    <w:rsid w:val="008C5093"/>
    <w:rsid w:val="008E1028"/>
    <w:rsid w:val="008E2746"/>
    <w:rsid w:val="008F78B8"/>
    <w:rsid w:val="00913F1E"/>
    <w:rsid w:val="00922026"/>
    <w:rsid w:val="00926BCA"/>
    <w:rsid w:val="00940F06"/>
    <w:rsid w:val="00957CF3"/>
    <w:rsid w:val="00960C5A"/>
    <w:rsid w:val="00961702"/>
    <w:rsid w:val="009B2079"/>
    <w:rsid w:val="009C33A4"/>
    <w:rsid w:val="009C6B45"/>
    <w:rsid w:val="009F23B2"/>
    <w:rsid w:val="00A17634"/>
    <w:rsid w:val="00A17F80"/>
    <w:rsid w:val="00A21473"/>
    <w:rsid w:val="00A54CCC"/>
    <w:rsid w:val="00A72226"/>
    <w:rsid w:val="00A80C30"/>
    <w:rsid w:val="00A9782A"/>
    <w:rsid w:val="00AA3F1A"/>
    <w:rsid w:val="00AD0D45"/>
    <w:rsid w:val="00AF1A41"/>
    <w:rsid w:val="00AF5CE0"/>
    <w:rsid w:val="00AF77D3"/>
    <w:rsid w:val="00B43526"/>
    <w:rsid w:val="00B463E2"/>
    <w:rsid w:val="00B55282"/>
    <w:rsid w:val="00B80272"/>
    <w:rsid w:val="00BA54EE"/>
    <w:rsid w:val="00BC4EBB"/>
    <w:rsid w:val="00C00E77"/>
    <w:rsid w:val="00C60C1A"/>
    <w:rsid w:val="00C75F6B"/>
    <w:rsid w:val="00CA3EE9"/>
    <w:rsid w:val="00CB36F3"/>
    <w:rsid w:val="00CC3620"/>
    <w:rsid w:val="00CD7937"/>
    <w:rsid w:val="00D51BFD"/>
    <w:rsid w:val="00D53681"/>
    <w:rsid w:val="00D6254E"/>
    <w:rsid w:val="00DB121C"/>
    <w:rsid w:val="00DB263D"/>
    <w:rsid w:val="00DD5D61"/>
    <w:rsid w:val="00E31450"/>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B0274"/>
    <w:rsid w:val="00FC181A"/>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2833</Words>
  <Characters>15582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Juan</cp:lastModifiedBy>
  <cp:revision>2</cp:revision>
  <cp:lastPrinted>2022-01-17T19:14:00Z</cp:lastPrinted>
  <dcterms:created xsi:type="dcterms:W3CDTF">2022-10-10T13:02:00Z</dcterms:created>
  <dcterms:modified xsi:type="dcterms:W3CDTF">2022-10-10T13:02:00Z</dcterms:modified>
</cp:coreProperties>
</file>