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3312FD" w14:textId="25044FE0" w:rsidR="004E5EAD" w:rsidRDefault="00F84B95" w:rsidP="000A3E0D">
      <w:pPr>
        <w:pStyle w:val="Encabezado"/>
        <w:spacing w:line="360" w:lineRule="auto"/>
        <w:jc w:val="both"/>
        <w:rPr>
          <w:rFonts w:ascii="Palatino Linotype" w:eastAsia="MS Mincho" w:hAnsi="Palatino Linotype"/>
          <w:b/>
          <w:lang w:val="es-ES_tradnl"/>
        </w:rPr>
      </w:pPr>
      <w:r w:rsidRPr="006A7606">
        <w:rPr>
          <w:rFonts w:ascii="Palatino Linotype" w:hAnsi="Palatino Linotype" w:cs="Tahoma"/>
          <w:b/>
        </w:rPr>
        <w:t xml:space="preserve">VOTO PARTICULAR QUE FORMULA EL COMISIONADO LUIS GUSTAVO PARRA NORIEGA, A LA RESOLUCIÓN DEL RECURSO DE REVISIÓN </w:t>
      </w:r>
      <w:r w:rsidR="00C15BB2" w:rsidRPr="00C15BB2">
        <w:rPr>
          <w:rFonts w:ascii="Palatino Linotype" w:eastAsia="MS Mincho" w:hAnsi="Palatino Linotype"/>
          <w:b/>
          <w:bCs/>
        </w:rPr>
        <w:t>07832/INFOEM/IP/RR/2022</w:t>
      </w:r>
      <w:r w:rsidRPr="006A7606">
        <w:rPr>
          <w:rFonts w:ascii="Palatino Linotype" w:hAnsi="Palatino Linotype" w:cs="Tahoma"/>
          <w:b/>
        </w:rPr>
        <w:t>, PROMOVIDO EN CONTRA DE</w:t>
      </w:r>
      <w:r w:rsidR="00913F1E">
        <w:rPr>
          <w:rFonts w:ascii="Palatino Linotype" w:hAnsi="Palatino Linotype" w:cs="Tahoma"/>
          <w:b/>
        </w:rPr>
        <w:t>L</w:t>
      </w:r>
      <w:r w:rsidR="004E5EAD">
        <w:rPr>
          <w:rFonts w:ascii="Palatino Linotype" w:hAnsi="Palatino Linotype" w:cs="Tahoma"/>
          <w:b/>
        </w:rPr>
        <w:t xml:space="preserve"> </w:t>
      </w:r>
      <w:r w:rsidR="000A3E0D" w:rsidRPr="000A3E0D">
        <w:rPr>
          <w:rFonts w:ascii="Palatino Linotype" w:eastAsia="MS Mincho" w:hAnsi="Palatino Linotype"/>
          <w:b/>
          <w:lang w:val="es-ES_tradnl"/>
        </w:rPr>
        <w:t xml:space="preserve">AYUNTAMIENTO DE </w:t>
      </w:r>
      <w:r w:rsidR="00984371">
        <w:rPr>
          <w:rFonts w:ascii="Palatino Linotype" w:eastAsia="MS Mincho" w:hAnsi="Palatino Linotype"/>
          <w:b/>
          <w:lang w:val="es-ES_tradnl"/>
        </w:rPr>
        <w:t>CALIMAYA</w:t>
      </w:r>
      <w:r w:rsidR="00AA09E0">
        <w:rPr>
          <w:rFonts w:ascii="Palatino Linotype" w:eastAsia="MS Mincho" w:hAnsi="Palatino Linotype"/>
          <w:b/>
          <w:lang w:val="es-ES_tradnl"/>
        </w:rPr>
        <w:t xml:space="preserve">. </w:t>
      </w:r>
    </w:p>
    <w:p w14:paraId="426C1614" w14:textId="77777777" w:rsidR="000A3E0D" w:rsidRPr="006A7606" w:rsidRDefault="000A3E0D" w:rsidP="000A3E0D">
      <w:pPr>
        <w:pStyle w:val="Encabezado"/>
        <w:spacing w:line="360" w:lineRule="auto"/>
        <w:jc w:val="both"/>
        <w:rPr>
          <w:rFonts w:ascii="Palatino Linotype" w:hAnsi="Palatino Linotype" w:cs="Tahoma"/>
        </w:rPr>
      </w:pPr>
    </w:p>
    <w:p w14:paraId="4797D083" w14:textId="4B50F62B" w:rsidR="00F34C61" w:rsidRPr="00885189" w:rsidRDefault="00F34C61" w:rsidP="00B463E2">
      <w:pPr>
        <w:tabs>
          <w:tab w:val="left" w:pos="1843"/>
        </w:tabs>
        <w:spacing w:after="0" w:line="360" w:lineRule="auto"/>
        <w:jc w:val="both"/>
        <w:rPr>
          <w:rFonts w:ascii="Palatino Linotype" w:hAnsi="Palatino Linotype" w:cs="Tahoma"/>
          <w:b/>
        </w:rPr>
      </w:pPr>
      <w:r w:rsidRPr="00885189">
        <w:rPr>
          <w:rFonts w:ascii="Palatino Linotype" w:hAnsi="Palatino Linotype" w:cs="Tahoma"/>
        </w:rPr>
        <w:t xml:space="preserve">En términos de lo dispuesto por </w:t>
      </w:r>
      <w:r>
        <w:rPr>
          <w:rFonts w:ascii="Palatino Linotype" w:hAnsi="Palatino Linotype" w:cs="Tahoma"/>
        </w:rPr>
        <w:t>los</w:t>
      </w:r>
      <w:r w:rsidRPr="00885189">
        <w:rPr>
          <w:rFonts w:ascii="Palatino Linotype" w:hAnsi="Palatino Linotype" w:cs="Tahoma"/>
        </w:rPr>
        <w:t xml:space="preserve"> artículo</w:t>
      </w:r>
      <w:r>
        <w:rPr>
          <w:rFonts w:ascii="Palatino Linotype" w:hAnsi="Palatino Linotype" w:cs="Tahoma"/>
        </w:rPr>
        <w:t>s</w:t>
      </w:r>
      <w:r w:rsidRPr="00885189">
        <w:rPr>
          <w:rFonts w:ascii="Palatino Linotype" w:hAnsi="Palatino Linotype" w:cs="Tahoma"/>
        </w:rPr>
        <w:t xml:space="preserve"> 189, párrafo primero, de la Ley de Transparencia y Acceso a la Información Pública del Estado de México y Municipios; 14, fracción XI, del Reglamento Interior del Instituto de Transparencia, Acceso a la Información Pública y Protección de Datos Personales del Estado de México y Municipios; </w:t>
      </w:r>
      <w:r w:rsidR="0023510C">
        <w:rPr>
          <w:rFonts w:ascii="Palatino Linotype" w:hAnsi="Palatino Linotype" w:cs="Tahoma"/>
        </w:rPr>
        <w:t xml:space="preserve">2°, fracción XX, 45, 48, fracción I, de los Lineamientos para el funcionamiento del Pleno y las Comisiones del Instituto de Transparencia, Acceso a la Información Pública y Protección de Datos Personales del Estado de México y Municipios, emito el presente </w:t>
      </w:r>
      <w:r w:rsidR="0023510C">
        <w:rPr>
          <w:rFonts w:ascii="Palatino Linotype" w:hAnsi="Palatino Linotype" w:cs="Tahoma"/>
          <w:b/>
        </w:rPr>
        <w:t>Voto Particular</w:t>
      </w:r>
      <w:r w:rsidR="0023510C">
        <w:rPr>
          <w:rFonts w:ascii="Palatino Linotype" w:hAnsi="Palatino Linotype" w:cs="Tahoma"/>
        </w:rPr>
        <w:t xml:space="preserve"> por no compartir en su totalidad las consideraciones que sustentan la Resolución del Recurso de Revisión </w:t>
      </w:r>
      <w:r w:rsidR="00C15BB2" w:rsidRPr="00C15BB2">
        <w:rPr>
          <w:rFonts w:ascii="Palatino Linotype" w:eastAsia="MS Mincho" w:hAnsi="Palatino Linotype"/>
          <w:b/>
          <w:bCs/>
        </w:rPr>
        <w:t>07832/INFOEM/IP/RR/2022</w:t>
      </w:r>
      <w:r w:rsidRPr="00976B1D">
        <w:rPr>
          <w:rFonts w:ascii="Palatino Linotype" w:hAnsi="Palatino Linotype"/>
          <w:b/>
          <w:lang w:val="es-MX"/>
        </w:rPr>
        <w:t>.</w:t>
      </w:r>
    </w:p>
    <w:p w14:paraId="26271240" w14:textId="77777777" w:rsidR="00F34C61" w:rsidRPr="00885189" w:rsidRDefault="00F34C61" w:rsidP="00B463E2">
      <w:pPr>
        <w:spacing w:after="0" w:line="360" w:lineRule="auto"/>
        <w:jc w:val="both"/>
        <w:rPr>
          <w:rFonts w:ascii="Palatino Linotype" w:hAnsi="Palatino Linotype" w:cs="Tahoma"/>
        </w:rPr>
      </w:pPr>
    </w:p>
    <w:p w14:paraId="43F3E0DD" w14:textId="680743AB" w:rsidR="00F34C61" w:rsidRDefault="00F34C61" w:rsidP="00B463E2">
      <w:pPr>
        <w:spacing w:after="0" w:line="360" w:lineRule="auto"/>
        <w:jc w:val="both"/>
        <w:rPr>
          <w:rFonts w:ascii="Palatino Linotype" w:hAnsi="Palatino Linotype" w:cs="Tahoma"/>
        </w:rPr>
      </w:pPr>
      <w:r w:rsidRPr="00885189">
        <w:rPr>
          <w:rFonts w:ascii="Palatino Linotype" w:hAnsi="Palatino Linotype" w:cs="Tahoma"/>
        </w:rPr>
        <w:t>Como se desprende de la Resolución en comento, el Particular</w:t>
      </w:r>
      <w:r>
        <w:rPr>
          <w:rFonts w:ascii="Palatino Linotype" w:hAnsi="Palatino Linotype" w:cs="Tahoma"/>
        </w:rPr>
        <w:t xml:space="preserve"> </w:t>
      </w:r>
      <w:r w:rsidR="00C15BB2">
        <w:rPr>
          <w:rFonts w:ascii="Palatino Linotype" w:hAnsi="Palatino Linotype" w:cs="Tahoma"/>
        </w:rPr>
        <w:t xml:space="preserve">solicitó diversa información respecto de la cual, los documentos que satisfacen parte de su derecho, contienen el </w:t>
      </w:r>
      <w:r w:rsidRPr="005A5AC9">
        <w:rPr>
          <w:rFonts w:ascii="Palatino Linotype" w:hAnsi="Palatino Linotype" w:cs="Tahoma"/>
          <w:b/>
          <w:bCs/>
        </w:rPr>
        <w:t>nombre de los elementos operativos del área de seguridad pública del Sujeto Obligado</w:t>
      </w:r>
      <w:r w:rsidR="0023510C">
        <w:rPr>
          <w:rFonts w:ascii="Palatino Linotype" w:hAnsi="Palatino Linotype" w:cs="Tahoma"/>
          <w:b/>
          <w:bCs/>
        </w:rPr>
        <w:t>;</w:t>
      </w:r>
      <w:r>
        <w:rPr>
          <w:rFonts w:ascii="Palatino Linotype" w:hAnsi="Palatino Linotype" w:cs="Tahoma"/>
        </w:rPr>
        <w:t xml:space="preserve"> por ello, la Ponencia Resolutora determinó que estos deb</w:t>
      </w:r>
      <w:r w:rsidR="0023510C">
        <w:rPr>
          <w:rFonts w:ascii="Palatino Linotype" w:hAnsi="Palatino Linotype" w:cs="Tahoma"/>
        </w:rPr>
        <w:t>ía</w:t>
      </w:r>
      <w:r>
        <w:rPr>
          <w:rFonts w:ascii="Palatino Linotype" w:hAnsi="Palatino Linotype" w:cs="Tahoma"/>
        </w:rPr>
        <w:t>n ser clasificados como reservados con fundamento en el artículo 140, fracción IV, de la Ley de Transparencia y Acceso a la Información Pública del Estado de México y Municipios</w:t>
      </w:r>
      <w:r w:rsidR="0056435E">
        <w:rPr>
          <w:rFonts w:ascii="Palatino Linotype" w:hAnsi="Palatino Linotype" w:cs="Tahoma"/>
        </w:rPr>
        <w:t xml:space="preserve"> y</w:t>
      </w:r>
      <w:r w:rsidR="00257C76">
        <w:rPr>
          <w:rFonts w:ascii="Palatino Linotype" w:hAnsi="Palatino Linotype" w:cs="Tahoma"/>
        </w:rPr>
        <w:t>,</w:t>
      </w:r>
      <w:r w:rsidR="0056435E">
        <w:rPr>
          <w:rFonts w:ascii="Palatino Linotype" w:hAnsi="Palatino Linotype" w:cs="Tahoma"/>
        </w:rPr>
        <w:t xml:space="preserve"> </w:t>
      </w:r>
      <w:r w:rsidR="0056435E" w:rsidRPr="0056435E">
        <w:rPr>
          <w:rFonts w:ascii="Palatino Linotype" w:hAnsi="Palatino Linotype" w:cs="Tahoma"/>
        </w:rPr>
        <w:t xml:space="preserve">ordenó la entrega de la información </w:t>
      </w:r>
      <w:r w:rsidR="0056435E">
        <w:rPr>
          <w:rFonts w:ascii="Palatino Linotype" w:hAnsi="Palatino Linotype" w:cs="Tahoma"/>
        </w:rPr>
        <w:t>solicitada</w:t>
      </w:r>
      <w:r w:rsidR="0056435E" w:rsidRPr="0056435E">
        <w:rPr>
          <w:rFonts w:ascii="Palatino Linotype" w:hAnsi="Palatino Linotype" w:cs="Tahoma"/>
        </w:rPr>
        <w:t>, así como el acuerdo de clasificación emitido por el Comité de Transparencia.</w:t>
      </w:r>
    </w:p>
    <w:p w14:paraId="7E06604A" w14:textId="77777777" w:rsidR="00F34C61" w:rsidRDefault="00F34C61" w:rsidP="00B463E2">
      <w:pPr>
        <w:spacing w:after="0" w:line="360" w:lineRule="auto"/>
        <w:jc w:val="both"/>
        <w:rPr>
          <w:rFonts w:ascii="Palatino Linotype" w:hAnsi="Palatino Linotype" w:cs="Tahoma"/>
        </w:rPr>
      </w:pPr>
    </w:p>
    <w:p w14:paraId="55A8E733" w14:textId="77777777" w:rsidR="00F34C61" w:rsidRDefault="00F34C61" w:rsidP="00B463E2">
      <w:pPr>
        <w:spacing w:after="0" w:line="360" w:lineRule="auto"/>
        <w:jc w:val="both"/>
        <w:rPr>
          <w:rFonts w:ascii="Palatino Linotype" w:hAnsi="Palatino Linotype" w:cs="Tahoma"/>
        </w:rPr>
      </w:pPr>
      <w:r>
        <w:rPr>
          <w:rFonts w:ascii="Palatino Linotype" w:hAnsi="Palatino Linotype" w:cs="Tahoma"/>
        </w:rPr>
        <w:t xml:space="preserve">En este sentido, </w:t>
      </w:r>
      <w:r w:rsidR="00257C76">
        <w:rPr>
          <w:rFonts w:ascii="Palatino Linotype" w:hAnsi="Palatino Linotype" w:cs="Tahoma"/>
        </w:rPr>
        <w:t>el presente voto particular, radica sobre</w:t>
      </w:r>
      <w:r>
        <w:rPr>
          <w:rFonts w:ascii="Palatino Linotype" w:hAnsi="Palatino Linotype" w:cs="Tahoma"/>
        </w:rPr>
        <w:t xml:space="preserve"> la reserva del nombre de aquellos servidores públicos que realizan funciones de seguridad pública y que con motivo de ello pueden poner en riesgo su vida, salud o seguridad, </w:t>
      </w:r>
      <w:r w:rsidR="00CC3620">
        <w:rPr>
          <w:rFonts w:ascii="Palatino Linotype" w:hAnsi="Palatino Linotype" w:cs="Tahoma"/>
        </w:rPr>
        <w:t>por ello</w:t>
      </w:r>
      <w:r>
        <w:rPr>
          <w:rFonts w:ascii="Palatino Linotype" w:hAnsi="Palatino Linotype" w:cs="Tahoma"/>
        </w:rPr>
        <w:t xml:space="preserve"> voté a favor de la misma; sin </w:t>
      </w:r>
      <w:r>
        <w:rPr>
          <w:rFonts w:ascii="Palatino Linotype" w:hAnsi="Palatino Linotype" w:cs="Tahoma"/>
        </w:rPr>
        <w:lastRenderedPageBreak/>
        <w:t xml:space="preserve">embargo, considero especialmente que el tema de la reserva de la información debe analizarse de forma tal que se plantee en el estudio la prueba de daño que permite a este Organismo Garante confirmar que la entrega de la información causa un daño al interés público, que en ese caso particular supera el derecho de acceso a la información de un particular; lo anterior en virtud de que, para que proceda o no la reserva; no basta con que se actualice el dispositivo normativo antes señalado, sino que además es menester acreditar dicha prueba de daño, de conformidad con lo establecido en los artículos 128, 129 y 130 de la </w:t>
      </w:r>
      <w:r w:rsidRPr="00885189">
        <w:rPr>
          <w:rFonts w:ascii="Palatino Linotype" w:hAnsi="Palatino Linotype" w:cs="Tahoma"/>
        </w:rPr>
        <w:t>Ley de Transparencia y Acceso a la Información Pública del Estado de México y Municipios</w:t>
      </w:r>
      <w:r>
        <w:rPr>
          <w:rFonts w:ascii="Palatino Linotype" w:hAnsi="Palatino Linotype" w:cs="Tahoma"/>
        </w:rPr>
        <w:t xml:space="preserve">, en relación con los </w:t>
      </w:r>
      <w:r w:rsidRPr="00885189">
        <w:rPr>
          <w:rFonts w:ascii="Palatino Linotype" w:hAnsi="Palatino Linotype" w:cs="Tahoma"/>
        </w:rPr>
        <w:t>Lineamientos generales en materia de clasificación y desclasificación de la información, así como para la elaboración de versiones públicas.</w:t>
      </w:r>
    </w:p>
    <w:p w14:paraId="4BBA7428" w14:textId="77777777" w:rsidR="00F34C61" w:rsidRDefault="00F34C61" w:rsidP="00B463E2">
      <w:pPr>
        <w:spacing w:after="0" w:line="360" w:lineRule="auto"/>
        <w:jc w:val="both"/>
        <w:rPr>
          <w:rFonts w:ascii="Palatino Linotype" w:hAnsi="Palatino Linotype" w:cs="Tahoma"/>
        </w:rPr>
      </w:pPr>
    </w:p>
    <w:p w14:paraId="4B06FA32" w14:textId="77777777" w:rsidR="00F34C61" w:rsidRDefault="00F34C61" w:rsidP="00B463E2">
      <w:pPr>
        <w:spacing w:after="0" w:line="360" w:lineRule="auto"/>
        <w:jc w:val="both"/>
        <w:rPr>
          <w:rFonts w:ascii="Palatino Linotype" w:hAnsi="Palatino Linotype" w:cs="Tahoma"/>
        </w:rPr>
      </w:pPr>
      <w:r>
        <w:rPr>
          <w:rFonts w:ascii="Palatino Linotype" w:hAnsi="Palatino Linotype" w:cs="Tahoma"/>
        </w:rPr>
        <w:t xml:space="preserve">Es importante hacer notar que para estar en condiciones de confirmar o revocar la clasificación de información como reservada a través del procedimiento señalado en los artículos antes citados, es necesario confirmar que la entrega de la información causaría un riesgo, real identificable y demostrable, ya que no basta con que la información actualice el </w:t>
      </w:r>
      <w:r w:rsidRPr="00976B1D">
        <w:rPr>
          <w:rFonts w:ascii="Palatino Linotype" w:hAnsi="Palatino Linotype" w:cs="Tahoma"/>
        </w:rPr>
        <w:t>supuesto de reserva del artículo 140, fracción IV, de la Ley de Transparencia de nuestra Entidad.</w:t>
      </w:r>
    </w:p>
    <w:p w14:paraId="65B93DEF" w14:textId="77777777" w:rsidR="00F34C61" w:rsidRDefault="00F34C61" w:rsidP="00B463E2">
      <w:pPr>
        <w:spacing w:after="0" w:line="360" w:lineRule="auto"/>
        <w:jc w:val="both"/>
        <w:rPr>
          <w:rFonts w:ascii="Palatino Linotype" w:hAnsi="Palatino Linotype" w:cs="Tahoma"/>
        </w:rPr>
      </w:pPr>
    </w:p>
    <w:p w14:paraId="59224B93" w14:textId="7C00BF90" w:rsidR="00F34C61" w:rsidRPr="00FB0274" w:rsidRDefault="00F34C61" w:rsidP="00B463E2">
      <w:pPr>
        <w:spacing w:after="0" w:line="360" w:lineRule="auto"/>
        <w:jc w:val="both"/>
        <w:rPr>
          <w:rFonts w:ascii="Palatino Linotype" w:hAnsi="Palatino Linotype"/>
        </w:rPr>
      </w:pPr>
      <w:r w:rsidRPr="00FB0274">
        <w:rPr>
          <w:rFonts w:ascii="Palatino Linotype" w:hAnsi="Palatino Linotype"/>
        </w:rPr>
        <w:t>En efecto, conforme a lo anterior, los nombres de los elementos que realizan funciones operativas, deben ser protegidos, con la finalidad de evitar la identificación de las personas al amparo de la protección a la vida, salud y seguridad; esto porque los miembros de las instituciones policiales o que realizan actividades operativas en materia de seguridad pública, se encuentran en un régimen de excepción a diferencia de los servidores públicos con funciones administrativas, ello obedece a que el sólo ejercicio de las funciones que tienen encomendadas lleva implícito el riesgo a su integridad, toda vez que son responsables de procurar el orden, la estabilidad y la defensa de la sociedad a la que pertenecen, lo que se traduce en la prevención de delitos y combate a los delincuentes.</w:t>
      </w:r>
    </w:p>
    <w:p w14:paraId="13BA2B8F" w14:textId="77777777" w:rsidR="00F34C61" w:rsidRPr="00FB0274" w:rsidRDefault="00F34C61" w:rsidP="00B463E2">
      <w:pPr>
        <w:spacing w:after="0" w:line="360" w:lineRule="auto"/>
        <w:jc w:val="both"/>
        <w:rPr>
          <w:rFonts w:ascii="Palatino Linotype" w:hAnsi="Palatino Linotype"/>
        </w:rPr>
      </w:pPr>
      <w:r w:rsidRPr="00FB0274">
        <w:rPr>
          <w:rFonts w:ascii="Palatino Linotype" w:hAnsi="Palatino Linotype"/>
        </w:rPr>
        <w:lastRenderedPageBreak/>
        <w:t xml:space="preserve">De ahí, que el Estado deba garantizar y respetar sus derechos humanos como servidores públicos y como personas sujetas de derechos y obligaciones, como la protección a su vida, salud y seguridad. Es de precisar </w:t>
      </w:r>
      <w:r w:rsidR="00B463E2" w:rsidRPr="00FB0274">
        <w:rPr>
          <w:rFonts w:ascii="Palatino Linotype" w:hAnsi="Palatino Linotype"/>
        </w:rPr>
        <w:t>que,</w:t>
      </w:r>
      <w:r w:rsidRPr="00FB0274">
        <w:rPr>
          <w:rFonts w:ascii="Palatino Linotype" w:hAnsi="Palatino Linotype"/>
        </w:rPr>
        <w:t xml:space="preserve"> para lograrlo, su nombre, si bien pudiera tenerse como público ante la inminente evidencia de que reciben recursos públicos por concepto de sueldo, también lo es, </w:t>
      </w:r>
      <w:r w:rsidR="0023510C" w:rsidRPr="00FB0274">
        <w:rPr>
          <w:rFonts w:ascii="Palatino Linotype" w:hAnsi="Palatino Linotype"/>
        </w:rPr>
        <w:t>que,</w:t>
      </w:r>
      <w:r w:rsidRPr="00FB0274">
        <w:rPr>
          <w:rFonts w:ascii="Palatino Linotype" w:hAnsi="Palatino Linotype"/>
        </w:rPr>
        <w:t xml:space="preserve"> al pertenecer a una institución policial o área de seguridad pública, la difusión de esta información, pone en riesgo su vida, integridad o seguridad.</w:t>
      </w:r>
    </w:p>
    <w:p w14:paraId="6825C8AA" w14:textId="77777777" w:rsidR="00F34C61" w:rsidRPr="00FB0274" w:rsidRDefault="00F34C61" w:rsidP="00B463E2">
      <w:pPr>
        <w:spacing w:after="0" w:line="360" w:lineRule="auto"/>
        <w:jc w:val="both"/>
        <w:rPr>
          <w:rFonts w:ascii="Palatino Linotype" w:hAnsi="Palatino Linotype"/>
        </w:rPr>
      </w:pPr>
    </w:p>
    <w:p w14:paraId="0C90190C" w14:textId="77777777" w:rsidR="00F34C61" w:rsidRPr="00FB0274" w:rsidRDefault="00F34C61" w:rsidP="00B463E2">
      <w:pPr>
        <w:spacing w:after="0" w:line="360" w:lineRule="auto"/>
        <w:jc w:val="both"/>
        <w:rPr>
          <w:rFonts w:ascii="Palatino Linotype" w:hAnsi="Palatino Linotype"/>
        </w:rPr>
      </w:pPr>
      <w:r w:rsidRPr="00FB0274">
        <w:rPr>
          <w:rFonts w:ascii="Palatino Linotype" w:hAnsi="Palatino Linotype"/>
        </w:rPr>
        <w:t>Se afirma lo anterior, en virtud de que no debe perderse de vista que existen funciones a cargo de servidores públicos, tendientes a garantizar de manera directa la seguridad pública, a través de acciones preventivas y correctivas encaminadas a combatir a la delincuencia en sus diferentes manifestaciones. Así, es pertinente señalar que en el artículo 113, fracción V, de la Ley General de Transparencia y Acceso a la Información Pública, se establece que podrá clasificarse aquella información cuya difusión pueda poner en riesgo la vida, seguridad o salud de una persona. Este artículo es correlativo, con el artículo 140, fracción IV, de la Ley de Transparencia y Acceso a la Información Pública del Estado de México y Municipios, antes referido, el cual dispone lo siguiente:</w:t>
      </w:r>
    </w:p>
    <w:p w14:paraId="0F1D9B6F" w14:textId="77777777" w:rsidR="00F34C61" w:rsidRPr="006A7606" w:rsidRDefault="00F34C61" w:rsidP="00B463E2">
      <w:pPr>
        <w:spacing w:after="0" w:line="360" w:lineRule="auto"/>
        <w:jc w:val="both"/>
        <w:rPr>
          <w:rFonts w:ascii="Palatino Linotype" w:eastAsia="MS Mincho" w:hAnsi="Palatino Linotype" w:cs="Arial"/>
        </w:rPr>
      </w:pPr>
    </w:p>
    <w:p w14:paraId="7DE09C08" w14:textId="77777777" w:rsidR="00F34C61" w:rsidRPr="006E2C84" w:rsidRDefault="00F34C61" w:rsidP="00B463E2">
      <w:pPr>
        <w:spacing w:after="0" w:line="360" w:lineRule="auto"/>
        <w:ind w:left="567" w:right="567"/>
        <w:jc w:val="both"/>
        <w:rPr>
          <w:rFonts w:ascii="Palatino Linotype" w:eastAsia="MS Mincho" w:hAnsi="Palatino Linotype" w:cs="Arial"/>
          <w:i/>
          <w:sz w:val="20"/>
          <w:szCs w:val="20"/>
        </w:rPr>
      </w:pPr>
      <w:r w:rsidRPr="0023510C">
        <w:rPr>
          <w:rFonts w:ascii="Palatino Linotype" w:eastAsia="MS Mincho" w:hAnsi="Palatino Linotype" w:cs="Arial"/>
          <w:b/>
          <w:bCs/>
          <w:i/>
          <w:sz w:val="20"/>
          <w:szCs w:val="20"/>
        </w:rPr>
        <w:t>“Artículo 140.</w:t>
      </w:r>
      <w:r w:rsidRPr="006E2C84">
        <w:rPr>
          <w:rFonts w:ascii="Palatino Linotype" w:eastAsia="MS Mincho" w:hAnsi="Palatino Linotype" w:cs="Arial"/>
          <w:i/>
          <w:sz w:val="20"/>
          <w:szCs w:val="20"/>
        </w:rPr>
        <w:t xml:space="preserve"> El acceso a la información pública será restringido excepcionalmente, cuando por razones de interés público, ésta sea clasificada como reservada, conforme a los criterios siguientes:</w:t>
      </w:r>
    </w:p>
    <w:p w14:paraId="2CCECD47" w14:textId="77777777" w:rsidR="00F34C61" w:rsidRPr="006E2C84" w:rsidRDefault="00F34C61" w:rsidP="00B463E2">
      <w:pPr>
        <w:spacing w:after="0" w:line="360" w:lineRule="auto"/>
        <w:ind w:left="567" w:right="567"/>
        <w:jc w:val="both"/>
        <w:rPr>
          <w:rFonts w:ascii="Palatino Linotype" w:eastAsia="MS Mincho" w:hAnsi="Palatino Linotype" w:cs="Arial"/>
          <w:i/>
          <w:sz w:val="20"/>
          <w:szCs w:val="20"/>
        </w:rPr>
      </w:pPr>
      <w:r w:rsidRPr="006E2C84">
        <w:rPr>
          <w:rFonts w:ascii="Palatino Linotype" w:eastAsia="MS Mincho" w:hAnsi="Palatino Linotype" w:cs="Arial"/>
          <w:i/>
          <w:sz w:val="20"/>
          <w:szCs w:val="20"/>
        </w:rPr>
        <w:t>…</w:t>
      </w:r>
    </w:p>
    <w:p w14:paraId="14A5E5B3" w14:textId="77777777" w:rsidR="00F34C61" w:rsidRPr="006E2C84" w:rsidRDefault="00F34C61" w:rsidP="00B463E2">
      <w:pPr>
        <w:spacing w:after="0" w:line="360" w:lineRule="auto"/>
        <w:ind w:left="567" w:right="567"/>
        <w:jc w:val="both"/>
        <w:rPr>
          <w:rFonts w:ascii="Palatino Linotype" w:eastAsia="MS Mincho" w:hAnsi="Palatino Linotype" w:cs="Arial"/>
          <w:i/>
          <w:sz w:val="20"/>
          <w:szCs w:val="20"/>
        </w:rPr>
      </w:pPr>
      <w:r w:rsidRPr="006E2C84">
        <w:rPr>
          <w:rFonts w:ascii="Palatino Linotype" w:eastAsia="MS Mincho" w:hAnsi="Palatino Linotype" w:cs="Arial"/>
          <w:i/>
          <w:sz w:val="20"/>
          <w:szCs w:val="20"/>
        </w:rPr>
        <w:t>IV. Ponga en riesgo la vida, la seguridad o la salud de una persona física;</w:t>
      </w:r>
    </w:p>
    <w:p w14:paraId="3B69D3C0" w14:textId="77777777" w:rsidR="00F34C61" w:rsidRPr="006E2C84" w:rsidRDefault="00F34C61" w:rsidP="00B463E2">
      <w:pPr>
        <w:spacing w:after="0" w:line="360" w:lineRule="auto"/>
        <w:ind w:left="567" w:right="567"/>
        <w:jc w:val="both"/>
        <w:rPr>
          <w:rFonts w:ascii="Palatino Linotype" w:eastAsia="MS Mincho" w:hAnsi="Palatino Linotype" w:cs="Arial"/>
          <w:i/>
          <w:sz w:val="20"/>
          <w:szCs w:val="20"/>
        </w:rPr>
      </w:pPr>
      <w:r w:rsidRPr="006E2C84">
        <w:rPr>
          <w:rFonts w:ascii="Palatino Linotype" w:eastAsia="MS Mincho" w:hAnsi="Palatino Linotype" w:cs="Arial"/>
          <w:i/>
          <w:sz w:val="20"/>
          <w:szCs w:val="20"/>
        </w:rPr>
        <w:t>…”</w:t>
      </w:r>
    </w:p>
    <w:p w14:paraId="65ED50C7" w14:textId="77777777" w:rsidR="00F34C61" w:rsidRDefault="00F34C61" w:rsidP="00B463E2">
      <w:pPr>
        <w:spacing w:after="0" w:line="360" w:lineRule="auto"/>
        <w:jc w:val="both"/>
        <w:rPr>
          <w:rFonts w:ascii="Palatino Linotype" w:eastAsia="MS Mincho" w:hAnsi="Palatino Linotype" w:cs="Arial"/>
        </w:rPr>
      </w:pPr>
    </w:p>
    <w:p w14:paraId="3D4FB590" w14:textId="051222EB" w:rsidR="00F34C61" w:rsidRDefault="00F34C61" w:rsidP="00B463E2">
      <w:pPr>
        <w:spacing w:after="0" w:line="360" w:lineRule="auto"/>
        <w:jc w:val="both"/>
        <w:rPr>
          <w:rFonts w:ascii="Palatino Linotype" w:eastAsia="Calibri" w:hAnsi="Palatino Linotype" w:cs="Tahoma"/>
          <w:bCs/>
        </w:rPr>
      </w:pPr>
      <w:r>
        <w:rPr>
          <w:rFonts w:ascii="Palatino Linotype" w:hAnsi="Palatino Linotype" w:cs="Tahoma"/>
        </w:rPr>
        <w:t xml:space="preserve">Además, el Vigésimo tercero de los Lineamientos Generales en Materia de Clasificación y Desclasificación de la Información, así como para la Elaboración de Versiones Públicas, establece que, para actualizar la causal de reserva aludida, se deberá </w:t>
      </w:r>
      <w:r w:rsidRPr="000F496B">
        <w:rPr>
          <w:rFonts w:ascii="Palatino Linotype" w:eastAsia="Calibri" w:hAnsi="Palatino Linotype" w:cs="Tahoma"/>
          <w:b/>
          <w:bCs/>
        </w:rPr>
        <w:t xml:space="preserve">acreditar </w:t>
      </w:r>
      <w:r>
        <w:rPr>
          <w:rFonts w:ascii="Palatino Linotype" w:eastAsia="Calibri" w:hAnsi="Palatino Linotype" w:cs="Tahoma"/>
          <w:b/>
          <w:bCs/>
        </w:rPr>
        <w:t>el</w:t>
      </w:r>
      <w:r w:rsidRPr="000F496B">
        <w:rPr>
          <w:rFonts w:ascii="Palatino Linotype" w:eastAsia="Calibri" w:hAnsi="Palatino Linotype" w:cs="Tahoma"/>
          <w:b/>
          <w:bCs/>
        </w:rPr>
        <w:t xml:space="preserve"> vínculo, </w:t>
      </w:r>
      <w:r w:rsidRPr="000F496B">
        <w:rPr>
          <w:rFonts w:ascii="Palatino Linotype" w:eastAsia="Calibri" w:hAnsi="Palatino Linotype" w:cs="Tahoma"/>
          <w:b/>
          <w:bCs/>
        </w:rPr>
        <w:lastRenderedPageBreak/>
        <w:t>entre la persona física y la información que pueda poner en riesgo su vida, seguridad o salud</w:t>
      </w:r>
      <w:r w:rsidRPr="000F496B">
        <w:rPr>
          <w:rFonts w:ascii="Palatino Linotype" w:eastAsia="Calibri" w:hAnsi="Palatino Linotype" w:cs="Tahoma"/>
          <w:bCs/>
        </w:rPr>
        <w:t>.</w:t>
      </w:r>
    </w:p>
    <w:p w14:paraId="23D24719" w14:textId="77777777" w:rsidR="00C15BB2" w:rsidRPr="006A7606" w:rsidRDefault="00C15BB2" w:rsidP="00B463E2">
      <w:pPr>
        <w:spacing w:after="0" w:line="360" w:lineRule="auto"/>
        <w:jc w:val="both"/>
        <w:rPr>
          <w:rFonts w:ascii="Palatino Linotype" w:eastAsia="MS Mincho" w:hAnsi="Palatino Linotype" w:cs="Arial"/>
        </w:rPr>
      </w:pPr>
    </w:p>
    <w:p w14:paraId="35F53020" w14:textId="77777777" w:rsidR="00F34C61" w:rsidRPr="006A7606" w:rsidRDefault="00F34C61" w:rsidP="00B463E2">
      <w:pPr>
        <w:spacing w:after="0" w:line="360" w:lineRule="auto"/>
        <w:jc w:val="both"/>
        <w:rPr>
          <w:rFonts w:ascii="Palatino Linotype" w:eastAsia="MS Mincho" w:hAnsi="Palatino Linotype" w:cs="Arial"/>
          <w:lang w:val="es-ES_tradnl"/>
        </w:rPr>
      </w:pPr>
      <w:r>
        <w:rPr>
          <w:rFonts w:ascii="Palatino Linotype" w:eastAsia="MS Mincho" w:hAnsi="Palatino Linotype" w:cs="Arial"/>
        </w:rPr>
        <w:t>Sobre lo anterior</w:t>
      </w:r>
      <w:r w:rsidRPr="006A7606">
        <w:rPr>
          <w:rFonts w:ascii="Palatino Linotype" w:eastAsia="MS Mincho" w:hAnsi="Palatino Linotype" w:cs="Arial"/>
        </w:rPr>
        <w:t xml:space="preserve">, una de las formas en que la delincuencia puede llegar a poner en riesgo la seguridad de los habitantes del Estado de México, es precisamente anulando, impidiendo u obstaculizando la actuación de los servidores públicos que realizan funciones de carácter operativo, por lo que, omitir proporcionar los nombres de los </w:t>
      </w:r>
      <w:r>
        <w:rPr>
          <w:rFonts w:ascii="Palatino Linotype" w:eastAsia="MS Mincho" w:hAnsi="Palatino Linotype" w:cs="Arial"/>
        </w:rPr>
        <w:t>trabajadores gubernamentales</w:t>
      </w:r>
      <w:r w:rsidRPr="006A7606">
        <w:rPr>
          <w:rFonts w:ascii="Palatino Linotype" w:eastAsia="MS Mincho" w:hAnsi="Palatino Linotype" w:cs="Arial"/>
        </w:rPr>
        <w:t xml:space="preserve"> que prestan servicios operativos en áreas de seguridad pública, puede llegar a constituirse en un componente fundamental en el esfuerzo que realizan las autoridades para garantizar la seguridad dentro del territorio del Estado de México, en sus diferentes vertientes, toda vez que proporcionar </w:t>
      </w:r>
      <w:r>
        <w:rPr>
          <w:rFonts w:ascii="Palatino Linotype" w:eastAsia="MS Mincho" w:hAnsi="Palatino Linotype" w:cs="Arial"/>
        </w:rPr>
        <w:t>lo peticionado</w:t>
      </w:r>
      <w:r w:rsidRPr="006A7606">
        <w:rPr>
          <w:rFonts w:ascii="Palatino Linotype" w:eastAsia="MS Mincho" w:hAnsi="Palatino Linotype" w:cs="Arial"/>
        </w:rPr>
        <w:t xml:space="preserve"> por cuanto hace al personal de seguridad pública, permite que los </w:t>
      </w:r>
      <w:r>
        <w:rPr>
          <w:rFonts w:ascii="Palatino Linotype" w:eastAsia="MS Mincho" w:hAnsi="Palatino Linotype" w:cs="Arial"/>
        </w:rPr>
        <w:t>empleados de gobierno</w:t>
      </w:r>
      <w:r w:rsidRPr="006A7606">
        <w:rPr>
          <w:rFonts w:ascii="Palatino Linotype" w:eastAsia="MS Mincho" w:hAnsi="Palatino Linotype" w:cs="Arial"/>
        </w:rPr>
        <w:t xml:space="preserve"> adscritos a los cuerpos policiacos sean identificados o identificables, circunstancia que </w:t>
      </w:r>
      <w:r w:rsidRPr="006A7606">
        <w:rPr>
          <w:rFonts w:ascii="Palatino Linotype" w:eastAsia="MS Mincho" w:hAnsi="Palatino Linotype" w:cs="Arial"/>
          <w:lang w:val="es-ES_tradnl"/>
        </w:rPr>
        <w:t>puede poner en riesgo la vida e integridad física de los integrantes de los cuerpos de seguridad</w:t>
      </w:r>
      <w:r>
        <w:rPr>
          <w:rFonts w:ascii="Palatino Linotype" w:eastAsia="MS Mincho" w:hAnsi="Palatino Linotype" w:cs="Arial"/>
          <w:lang w:val="es-ES_tradnl"/>
        </w:rPr>
        <w:t>, sus familias y allegados.</w:t>
      </w:r>
    </w:p>
    <w:p w14:paraId="1A441B29" w14:textId="77777777" w:rsidR="00F34C61" w:rsidRPr="006A7606" w:rsidRDefault="00F34C61" w:rsidP="00B463E2">
      <w:pPr>
        <w:spacing w:after="0" w:line="360" w:lineRule="auto"/>
        <w:jc w:val="both"/>
        <w:rPr>
          <w:rFonts w:ascii="Palatino Linotype" w:eastAsia="MS Mincho" w:hAnsi="Palatino Linotype" w:cs="Arial"/>
          <w:lang w:val="es-ES_tradnl"/>
        </w:rPr>
      </w:pPr>
    </w:p>
    <w:p w14:paraId="41D2BE13" w14:textId="77777777" w:rsidR="00F34C61" w:rsidRPr="006A7606" w:rsidRDefault="00F34C61" w:rsidP="00B463E2">
      <w:pPr>
        <w:spacing w:after="0" w:line="360" w:lineRule="auto"/>
        <w:jc w:val="both"/>
        <w:rPr>
          <w:rFonts w:ascii="Palatino Linotype" w:eastAsia="MS Mincho" w:hAnsi="Palatino Linotype" w:cs="Arial"/>
        </w:rPr>
      </w:pPr>
      <w:r>
        <w:rPr>
          <w:rFonts w:ascii="Palatino Linotype" w:eastAsia="MS Mincho" w:hAnsi="Palatino Linotype" w:cs="Arial"/>
          <w:lang w:val="es-ES_tradnl"/>
        </w:rPr>
        <w:t>En ese contexto, c</w:t>
      </w:r>
      <w:r w:rsidRPr="006A7606">
        <w:rPr>
          <w:rFonts w:ascii="Palatino Linotype" w:eastAsia="MS Mincho" w:hAnsi="Palatino Linotype" w:cs="Arial"/>
          <w:lang w:val="es-ES_tradnl"/>
        </w:rPr>
        <w:t xml:space="preserve">abe hacer mención lo establecido en el artículo 81, fracción III, de la Ley de Seguridad del Estado de México: </w:t>
      </w:r>
    </w:p>
    <w:p w14:paraId="4CD2B1FF" w14:textId="77777777" w:rsidR="00F34C61" w:rsidRPr="006A7606" w:rsidRDefault="00F34C61" w:rsidP="00B463E2">
      <w:pPr>
        <w:spacing w:after="0" w:line="360" w:lineRule="auto"/>
        <w:ind w:left="851" w:right="851"/>
        <w:jc w:val="both"/>
        <w:rPr>
          <w:rFonts w:ascii="Palatino Linotype" w:eastAsia="MS Mincho" w:hAnsi="Palatino Linotype" w:cs="Arial"/>
          <w:i/>
          <w:lang w:val="es-ES_tradnl"/>
        </w:rPr>
      </w:pPr>
    </w:p>
    <w:p w14:paraId="4A036E56" w14:textId="77777777" w:rsidR="00F34C61" w:rsidRPr="006E2C84" w:rsidRDefault="00F34C61" w:rsidP="00B463E2">
      <w:pPr>
        <w:spacing w:after="0" w:line="360" w:lineRule="auto"/>
        <w:ind w:left="567" w:right="567"/>
        <w:jc w:val="both"/>
        <w:rPr>
          <w:rFonts w:ascii="Palatino Linotype" w:eastAsia="MS Mincho" w:hAnsi="Palatino Linotype" w:cs="Arial"/>
          <w:i/>
          <w:sz w:val="20"/>
          <w:szCs w:val="20"/>
          <w:lang w:val="es-ES_tradnl"/>
        </w:rPr>
      </w:pPr>
      <w:r w:rsidRPr="006E2C84">
        <w:rPr>
          <w:rFonts w:ascii="Palatino Linotype" w:eastAsia="MS Mincho" w:hAnsi="Palatino Linotype" w:cs="Arial"/>
          <w:i/>
          <w:sz w:val="20"/>
          <w:szCs w:val="20"/>
          <w:lang w:val="es-ES_tradnl"/>
        </w:rPr>
        <w:t>“</w:t>
      </w:r>
      <w:r w:rsidRPr="006E2C84">
        <w:rPr>
          <w:rFonts w:ascii="Palatino Linotype" w:eastAsia="MS Mincho" w:hAnsi="Palatino Linotype" w:cs="Arial"/>
          <w:b/>
          <w:i/>
          <w:sz w:val="20"/>
          <w:szCs w:val="20"/>
          <w:lang w:val="es-ES_tradnl"/>
        </w:rPr>
        <w:t>Artículo 81.-</w:t>
      </w:r>
      <w:r w:rsidRPr="006E2C84">
        <w:rPr>
          <w:rFonts w:ascii="Palatino Linotype" w:eastAsia="MS Mincho" w:hAnsi="Palatino Linotype" w:cs="Arial"/>
          <w:i/>
          <w:sz w:val="20"/>
          <w:szCs w:val="20"/>
          <w:lang w:val="es-ES_tradnl"/>
        </w:rPr>
        <w:t xml:space="preserve"> </w:t>
      </w:r>
      <w:r w:rsidRPr="006E2C84">
        <w:rPr>
          <w:rFonts w:ascii="Palatino Linotype" w:eastAsia="MS Mincho" w:hAnsi="Palatino Linotype" w:cs="Arial"/>
          <w:b/>
          <w:i/>
          <w:sz w:val="20"/>
          <w:szCs w:val="20"/>
          <w:lang w:val="es-ES_tradnl"/>
        </w:rPr>
        <w:t xml:space="preserve">Toda información para la seguridad pública generada o en poder de Instituciones de Seguridad Pública o de cualquier instancia del Sistema Estatal debe registrarse, clasificarse y tratarse de conformidad con las disposiciones aplicables. </w:t>
      </w:r>
      <w:r w:rsidRPr="006E2C84">
        <w:rPr>
          <w:rFonts w:ascii="Palatino Linotype" w:eastAsia="MS Mincho" w:hAnsi="Palatino Linotype" w:cs="Arial"/>
          <w:b/>
          <w:i/>
          <w:sz w:val="20"/>
          <w:szCs w:val="20"/>
          <w:u w:val="single"/>
          <w:lang w:val="es-ES_tradnl"/>
        </w:rPr>
        <w:t xml:space="preserve">No </w:t>
      </w:r>
      <w:proofErr w:type="gramStart"/>
      <w:r w:rsidRPr="006E2C84">
        <w:rPr>
          <w:rFonts w:ascii="Palatino Linotype" w:eastAsia="MS Mincho" w:hAnsi="Palatino Linotype" w:cs="Arial"/>
          <w:b/>
          <w:i/>
          <w:sz w:val="20"/>
          <w:szCs w:val="20"/>
          <w:u w:val="single"/>
          <w:lang w:val="es-ES_tradnl"/>
        </w:rPr>
        <w:t>obstante</w:t>
      </w:r>
      <w:proofErr w:type="gramEnd"/>
      <w:r w:rsidRPr="006E2C84">
        <w:rPr>
          <w:rFonts w:ascii="Palatino Linotype" w:eastAsia="MS Mincho" w:hAnsi="Palatino Linotype" w:cs="Arial"/>
          <w:b/>
          <w:i/>
          <w:sz w:val="20"/>
          <w:szCs w:val="20"/>
          <w:u w:val="single"/>
          <w:lang w:val="es-ES_tradnl"/>
        </w:rPr>
        <w:t xml:space="preserve"> lo anterior, esta información se considerará reservada</w:t>
      </w:r>
      <w:r w:rsidRPr="006E2C84">
        <w:rPr>
          <w:rFonts w:ascii="Palatino Linotype" w:eastAsia="MS Mincho" w:hAnsi="Palatino Linotype" w:cs="Arial"/>
          <w:i/>
          <w:sz w:val="20"/>
          <w:szCs w:val="20"/>
          <w:lang w:val="es-ES_tradnl"/>
        </w:rPr>
        <w:t xml:space="preserve"> en los casos siguientes:</w:t>
      </w:r>
    </w:p>
    <w:p w14:paraId="00ACA5E6" w14:textId="77777777" w:rsidR="00F34C61" w:rsidRPr="006E2C84" w:rsidRDefault="00F34C61" w:rsidP="00B463E2">
      <w:pPr>
        <w:spacing w:after="0" w:line="360" w:lineRule="auto"/>
        <w:ind w:left="567" w:right="567"/>
        <w:jc w:val="both"/>
        <w:rPr>
          <w:rFonts w:ascii="Palatino Linotype" w:eastAsia="MS Mincho" w:hAnsi="Palatino Linotype" w:cs="Arial"/>
          <w:i/>
          <w:sz w:val="20"/>
          <w:szCs w:val="20"/>
          <w:lang w:val="es-ES_tradnl"/>
        </w:rPr>
      </w:pPr>
      <w:r w:rsidRPr="006E2C84">
        <w:rPr>
          <w:rFonts w:ascii="Palatino Linotype" w:eastAsia="MS Mincho" w:hAnsi="Palatino Linotype" w:cs="Arial"/>
          <w:i/>
          <w:sz w:val="20"/>
          <w:szCs w:val="20"/>
          <w:lang w:val="es-ES_tradnl"/>
        </w:rPr>
        <w:t>…</w:t>
      </w:r>
    </w:p>
    <w:p w14:paraId="7A65150F" w14:textId="77777777" w:rsidR="00F34C61" w:rsidRPr="006E2C84" w:rsidRDefault="00F34C61" w:rsidP="00B463E2">
      <w:pPr>
        <w:spacing w:after="0" w:line="360" w:lineRule="auto"/>
        <w:ind w:left="567" w:right="567"/>
        <w:jc w:val="both"/>
        <w:rPr>
          <w:rFonts w:ascii="Palatino Linotype" w:eastAsia="MS Mincho" w:hAnsi="Palatino Linotype" w:cs="Arial"/>
          <w:i/>
          <w:sz w:val="20"/>
          <w:szCs w:val="20"/>
          <w:lang w:val="es-ES_tradnl"/>
        </w:rPr>
      </w:pPr>
      <w:r w:rsidRPr="006E2C84">
        <w:rPr>
          <w:rFonts w:ascii="Palatino Linotype" w:eastAsia="MS Mincho" w:hAnsi="Palatino Linotype" w:cs="Arial"/>
          <w:b/>
          <w:i/>
          <w:sz w:val="20"/>
          <w:szCs w:val="20"/>
          <w:lang w:val="es-ES_tradnl"/>
        </w:rPr>
        <w:t>III.</w:t>
      </w:r>
      <w:r w:rsidRPr="006E2C84">
        <w:rPr>
          <w:rFonts w:ascii="Palatino Linotype" w:eastAsia="MS Mincho" w:hAnsi="Palatino Linotype" w:cs="Arial"/>
          <w:i/>
          <w:sz w:val="20"/>
          <w:szCs w:val="20"/>
          <w:lang w:val="es-ES_tradnl"/>
        </w:rPr>
        <w:t xml:space="preserve"> </w:t>
      </w:r>
      <w:r w:rsidRPr="006E2C84">
        <w:rPr>
          <w:rFonts w:ascii="Palatino Linotype" w:eastAsia="MS Mincho" w:hAnsi="Palatino Linotype" w:cs="Arial"/>
          <w:b/>
          <w:i/>
          <w:sz w:val="20"/>
          <w:szCs w:val="20"/>
          <w:u w:val="single"/>
          <w:lang w:val="es-ES_tradnl"/>
        </w:rPr>
        <w:t>La relativa a servidores públicos miembros de las instituciones de seguridad pública, cuya revelación pueda poner en riesgo su vida e integridad física con motivo de sus funciones;</w:t>
      </w:r>
      <w:r w:rsidRPr="006E2C84">
        <w:rPr>
          <w:rFonts w:ascii="Palatino Linotype" w:eastAsia="MS Mincho" w:hAnsi="Palatino Linotype" w:cs="Arial"/>
          <w:i/>
          <w:sz w:val="20"/>
          <w:szCs w:val="20"/>
          <w:lang w:val="es-ES_tradnl"/>
        </w:rPr>
        <w:t>”</w:t>
      </w:r>
    </w:p>
    <w:p w14:paraId="174D0AF1" w14:textId="77777777" w:rsidR="0023510C" w:rsidRPr="006A7606" w:rsidRDefault="0023510C" w:rsidP="00C15BB2">
      <w:pPr>
        <w:spacing w:after="0" w:line="360" w:lineRule="auto"/>
        <w:ind w:right="851"/>
        <w:jc w:val="both"/>
        <w:rPr>
          <w:rFonts w:ascii="Palatino Linotype" w:eastAsia="MS Mincho" w:hAnsi="Palatino Linotype" w:cs="Arial"/>
          <w:i/>
          <w:lang w:val="es-ES_tradnl"/>
        </w:rPr>
      </w:pPr>
    </w:p>
    <w:p w14:paraId="01A970DC" w14:textId="77777777" w:rsidR="00F34C61" w:rsidRPr="006A7606" w:rsidRDefault="00F34C61" w:rsidP="00B463E2">
      <w:pPr>
        <w:spacing w:after="0" w:line="360" w:lineRule="auto"/>
        <w:jc w:val="both"/>
        <w:rPr>
          <w:rFonts w:ascii="Palatino Linotype" w:hAnsi="Palatino Linotype" w:cs="Arial"/>
        </w:rPr>
      </w:pPr>
      <w:r w:rsidRPr="006A7606">
        <w:rPr>
          <w:rFonts w:ascii="Palatino Linotype" w:hAnsi="Palatino Linotype" w:cs="Arial"/>
        </w:rPr>
        <w:lastRenderedPageBreak/>
        <w:t>Argumento que se fortalece con lo estipulado en el criterio número 06</w:t>
      </w:r>
      <w:r>
        <w:rPr>
          <w:rFonts w:ascii="Palatino Linotype" w:hAnsi="Palatino Linotype" w:cs="Arial"/>
        </w:rPr>
        <w:t>/</w:t>
      </w:r>
      <w:r w:rsidRPr="006A7606">
        <w:rPr>
          <w:rFonts w:ascii="Palatino Linotype" w:hAnsi="Palatino Linotype" w:cs="Arial"/>
        </w:rPr>
        <w:t xml:space="preserve">09, emitido por el </w:t>
      </w:r>
      <w:r>
        <w:rPr>
          <w:rFonts w:ascii="Palatino Linotype" w:hAnsi="Palatino Linotype" w:cs="Arial"/>
        </w:rPr>
        <w:t xml:space="preserve">Pleno del entonces </w:t>
      </w:r>
      <w:r w:rsidRPr="006A7606">
        <w:rPr>
          <w:rFonts w:ascii="Palatino Linotype" w:hAnsi="Palatino Linotype" w:cs="Arial"/>
        </w:rPr>
        <w:t>Instituto Federal de Acceso a la Información y Protección de Datos</w:t>
      </w:r>
      <w:r w:rsidRPr="006A7606">
        <w:rPr>
          <w:rStyle w:val="Textoennegrita"/>
          <w:rFonts w:ascii="Palatino Linotype" w:hAnsi="Palatino Linotype" w:cs="Arial"/>
        </w:rPr>
        <w:t xml:space="preserve">, </w:t>
      </w:r>
      <w:r w:rsidRPr="006A7606">
        <w:rPr>
          <w:rFonts w:ascii="Palatino Linotype" w:hAnsi="Palatino Linotype" w:cs="Arial"/>
        </w:rPr>
        <w:t xml:space="preserve">el cual refiere: </w:t>
      </w:r>
    </w:p>
    <w:p w14:paraId="5C5B48F7" w14:textId="77777777" w:rsidR="00F34C61" w:rsidRPr="006A7606" w:rsidRDefault="00F34C61" w:rsidP="00B463E2">
      <w:pPr>
        <w:spacing w:after="0" w:line="360" w:lineRule="auto"/>
        <w:jc w:val="both"/>
        <w:rPr>
          <w:rFonts w:ascii="Palatino Linotype" w:hAnsi="Palatino Linotype" w:cs="Arial"/>
        </w:rPr>
      </w:pPr>
    </w:p>
    <w:p w14:paraId="350B098B" w14:textId="77777777" w:rsidR="00F34C61" w:rsidRPr="006E2C84" w:rsidRDefault="00F34C61" w:rsidP="00B463E2">
      <w:pPr>
        <w:autoSpaceDE w:val="0"/>
        <w:autoSpaceDN w:val="0"/>
        <w:adjustRightInd w:val="0"/>
        <w:spacing w:after="0" w:line="360" w:lineRule="auto"/>
        <w:ind w:left="567" w:right="567"/>
        <w:jc w:val="both"/>
        <w:rPr>
          <w:rFonts w:ascii="Palatino Linotype" w:hAnsi="Palatino Linotype" w:cs="Arial"/>
          <w:i/>
          <w:sz w:val="20"/>
          <w:szCs w:val="20"/>
          <w:lang w:eastAsia="es-MX"/>
        </w:rPr>
      </w:pPr>
      <w:r w:rsidRPr="006E2C84">
        <w:rPr>
          <w:rFonts w:ascii="Palatino Linotype" w:hAnsi="Palatino Linotype" w:cs="Arial"/>
          <w:b/>
          <w:bCs/>
          <w:i/>
          <w:sz w:val="20"/>
          <w:szCs w:val="20"/>
          <w:lang w:eastAsia="es-MX"/>
        </w:rPr>
        <w:t xml:space="preserve">“Nombres de servidores públicos dedicados a actividades en materia de seguridad, por excepción pueden considerarse información reservada. </w:t>
      </w:r>
      <w:r w:rsidRPr="006E2C84">
        <w:rPr>
          <w:rFonts w:ascii="Palatino Linotype" w:hAnsi="Palatino Linotype" w:cs="Arial"/>
          <w:bCs/>
          <w:i/>
          <w:sz w:val="20"/>
          <w:szCs w:val="20"/>
          <w:lang w:eastAsia="es-MX"/>
        </w:rPr>
        <w:t xml:space="preserve">De conformidad con el artículo 7, fracciones I y III de la Ley Federal de Transparencia y Acceso a la Información Pública Gubernamental </w:t>
      </w:r>
      <w:r w:rsidRPr="006E2C84">
        <w:rPr>
          <w:rFonts w:ascii="Palatino Linotype" w:hAnsi="Palatino Linotype" w:cs="Arial"/>
          <w:b/>
          <w:bCs/>
          <w:i/>
          <w:sz w:val="20"/>
          <w:szCs w:val="20"/>
          <w:u w:val="single"/>
          <w:lang w:eastAsia="es-MX"/>
        </w:rPr>
        <w:t xml:space="preserve">el nombre de los servidores públicos es información de naturaleza pública. No </w:t>
      </w:r>
      <w:proofErr w:type="gramStart"/>
      <w:r w:rsidRPr="006E2C84">
        <w:rPr>
          <w:rFonts w:ascii="Palatino Linotype" w:hAnsi="Palatino Linotype" w:cs="Arial"/>
          <w:b/>
          <w:bCs/>
          <w:i/>
          <w:sz w:val="20"/>
          <w:szCs w:val="20"/>
          <w:u w:val="single"/>
          <w:lang w:eastAsia="es-MX"/>
        </w:rPr>
        <w:t>obstante</w:t>
      </w:r>
      <w:proofErr w:type="gramEnd"/>
      <w:r w:rsidRPr="006E2C84">
        <w:rPr>
          <w:rFonts w:ascii="Palatino Linotype" w:hAnsi="Palatino Linotype" w:cs="Arial"/>
          <w:b/>
          <w:bCs/>
          <w:i/>
          <w:sz w:val="20"/>
          <w:szCs w:val="20"/>
          <w:u w:val="single"/>
          <w:lang w:eastAsia="es-MX"/>
        </w:rPr>
        <w:t xml:space="preserve"> lo anterior, el mismo precepto establece la posibilidad de que existan excepciones a las obligaciones ahí establecidas cuando la información actualice algunos de los supuestos de reserva o confidencialidad previstos en los artículos 13, 14 y 18 de la citada ley</w:t>
      </w:r>
      <w:r w:rsidRPr="006E2C84">
        <w:rPr>
          <w:rFonts w:ascii="Palatino Linotype" w:hAnsi="Palatino Linotype" w:cs="Arial"/>
          <w:bCs/>
          <w:i/>
          <w:sz w:val="20"/>
          <w:szCs w:val="20"/>
          <w:lang w:eastAsia="es-MX"/>
        </w:rPr>
        <w:t xml:space="preserve">. En este sentido, se debe señalar que existen funciones a cargo de servidores públicos, tendientes a garantizar de manera directa la seguridad nacional y pública, a través de acciones preventivas y correctivas encaminadas a combatir a la delincuencia en sus diferentes manifestaciones. Así, es pertinente señalar que en </w:t>
      </w:r>
      <w:r w:rsidRPr="006E2C84">
        <w:rPr>
          <w:rFonts w:ascii="Palatino Linotype" w:hAnsi="Palatino Linotype" w:cs="Arial"/>
          <w:b/>
          <w:bCs/>
          <w:i/>
          <w:sz w:val="20"/>
          <w:szCs w:val="20"/>
          <w:u w:val="single"/>
          <w:lang w:eastAsia="es-MX"/>
        </w:rPr>
        <w:t>el artículo 13, fracción I de la ley de referencia se establece que podrá clasificarse aquella información cuya difusión pueda comprometer la seguridad nacional y pública</w:t>
      </w:r>
      <w:r w:rsidRPr="006E2C84">
        <w:rPr>
          <w:rFonts w:ascii="Palatino Linotype" w:hAnsi="Palatino Linotype" w:cs="Arial"/>
          <w:bCs/>
          <w:i/>
          <w:sz w:val="20"/>
          <w:szCs w:val="20"/>
          <w:lang w:eastAsia="es-MX"/>
        </w:rPr>
        <w:t xml:space="preserve">. En este orden de ideas, una de las formas en que la delincuencia puede llegar a poner en riesgo la seguridad del país es precisamente anulando, impidiendo u obstaculizando la actuación de los servidores públicos que realizan funciones de carácter operativo, mediante el conocimiento de dicha situación, </w:t>
      </w:r>
      <w:r w:rsidRPr="006E2C84">
        <w:rPr>
          <w:rFonts w:ascii="Palatino Linotype" w:hAnsi="Palatino Linotype" w:cs="Arial"/>
          <w:b/>
          <w:bCs/>
          <w:i/>
          <w:sz w:val="20"/>
          <w:szCs w:val="20"/>
          <w:u w:val="single"/>
          <w:lang w:eastAsia="es-MX"/>
        </w:rPr>
        <w:t>por lo que la reserva de la relación de los nombres y las funciones que desempeñan los servidores públicos que prestan sus servicios en áreas de seguridad nacional o pública</w:t>
      </w:r>
      <w:r w:rsidRPr="006E2C84">
        <w:rPr>
          <w:rFonts w:ascii="Palatino Linotype" w:hAnsi="Palatino Linotype" w:cs="Arial"/>
          <w:bCs/>
          <w:i/>
          <w:sz w:val="20"/>
          <w:szCs w:val="20"/>
          <w:lang w:eastAsia="es-MX"/>
        </w:rPr>
        <w:t>, puede llegar a constituirse en un componente fundamental en el esfuerzo que realiza el Estado Mexicano para garantizar la seguridad del país en sus diferentes vertientes</w:t>
      </w:r>
      <w:r w:rsidRPr="006E2C84">
        <w:rPr>
          <w:rFonts w:ascii="Palatino Linotype" w:hAnsi="Palatino Linotype" w:cs="Arial"/>
          <w:i/>
          <w:sz w:val="20"/>
          <w:szCs w:val="20"/>
          <w:lang w:eastAsia="es-MX"/>
        </w:rPr>
        <w:t>” (Sic)</w:t>
      </w:r>
    </w:p>
    <w:p w14:paraId="0379E853" w14:textId="77777777" w:rsidR="008E1028" w:rsidRDefault="008E1028" w:rsidP="00B463E2">
      <w:pPr>
        <w:spacing w:after="0" w:line="360" w:lineRule="auto"/>
        <w:jc w:val="both"/>
        <w:rPr>
          <w:rFonts w:ascii="Palatino Linotype" w:hAnsi="Palatino Linotype"/>
        </w:rPr>
      </w:pPr>
    </w:p>
    <w:p w14:paraId="01F64B79" w14:textId="73252C27" w:rsidR="00F34C61" w:rsidRDefault="00F34C61" w:rsidP="00B463E2">
      <w:pPr>
        <w:spacing w:after="0" w:line="360" w:lineRule="auto"/>
        <w:jc w:val="both"/>
        <w:rPr>
          <w:rFonts w:ascii="Palatino Linotype" w:hAnsi="Palatino Linotype" w:cs="Arial"/>
        </w:rPr>
      </w:pPr>
      <w:r w:rsidRPr="006A7606">
        <w:rPr>
          <w:rFonts w:ascii="Palatino Linotype" w:hAnsi="Palatino Linotype"/>
        </w:rPr>
        <w:t>En efecto, con base en lo expuesto por el ahora</w:t>
      </w:r>
      <w:r w:rsidRPr="006A7606">
        <w:rPr>
          <w:rFonts w:ascii="Palatino Linotype" w:hAnsi="Palatino Linotype" w:cs="Arial"/>
        </w:rPr>
        <w:t xml:space="preserve"> Instituto Nacional de Transparencia, Acceso a la Información y Protección de Datos Personales, desde el dos mil nueve, se había precisado que la manera de evitar que se hagan identificables a los policías, quienes al realizar funciones operativas, en el contexto nacional en donde la violencia se ha </w:t>
      </w:r>
      <w:r w:rsidRPr="006A7606">
        <w:rPr>
          <w:rFonts w:ascii="Palatino Linotype" w:hAnsi="Palatino Linotype" w:cs="Arial"/>
        </w:rPr>
        <w:lastRenderedPageBreak/>
        <w:t>recrudecido y el Estado Mexicano ha redoblado esfuerzos para garantizar la seguridad pública, es eliminando el nombre de estos elementos en aquellos documentos que se entreguen en atención a solicitudes de acceso a la información pública. Situación que se replica en el escenario local, pues dentro del Estado de México.</w:t>
      </w:r>
    </w:p>
    <w:p w14:paraId="741BBA98" w14:textId="77777777" w:rsidR="00C15BB2" w:rsidRPr="00C15BB2" w:rsidRDefault="00C15BB2" w:rsidP="00B463E2">
      <w:pPr>
        <w:spacing w:after="0" w:line="360" w:lineRule="auto"/>
        <w:jc w:val="both"/>
        <w:rPr>
          <w:rFonts w:ascii="Palatino Linotype" w:hAnsi="Palatino Linotype" w:cs="Arial"/>
        </w:rPr>
      </w:pPr>
    </w:p>
    <w:p w14:paraId="60BA1E9F" w14:textId="77777777" w:rsidR="00F34C61" w:rsidRPr="006A7606" w:rsidRDefault="00F34C61" w:rsidP="00B463E2">
      <w:pPr>
        <w:spacing w:after="0" w:line="360" w:lineRule="auto"/>
        <w:jc w:val="both"/>
        <w:rPr>
          <w:rFonts w:ascii="Palatino Linotype" w:hAnsi="Palatino Linotype" w:cs="Segoe UI"/>
        </w:rPr>
      </w:pPr>
      <w:r>
        <w:rPr>
          <w:rFonts w:ascii="Palatino Linotype" w:hAnsi="Palatino Linotype"/>
        </w:rPr>
        <w:t>Así, d</w:t>
      </w:r>
      <w:r w:rsidRPr="006A7606">
        <w:rPr>
          <w:rFonts w:ascii="Palatino Linotype" w:hAnsi="Palatino Linotype"/>
        </w:rPr>
        <w:t xml:space="preserve">esde mi punto de vista, el </w:t>
      </w:r>
      <w:r w:rsidRPr="006A7606">
        <w:rPr>
          <w:rFonts w:ascii="Palatino Linotype" w:hAnsi="Palatino Linotype" w:cs="Segoe UI"/>
        </w:rPr>
        <w:t xml:space="preserve">derecho de acceso a la información encuentra límites en el propio texto constitucional y que, en razón de ello, debe existir una armonización congruente con ese derecho fundamental con los principios rectores de la función del Sujeto Obligado, lo que encuentra sustento en las tesis jurisprudenciales emitidas por la Suprema Corte de Justicia de la Nación, que son del literal siguiente: </w:t>
      </w:r>
    </w:p>
    <w:p w14:paraId="5F35A669" w14:textId="77777777" w:rsidR="00F34C61" w:rsidRPr="006A7606" w:rsidRDefault="00F34C61" w:rsidP="00B463E2">
      <w:pPr>
        <w:spacing w:after="0" w:line="360" w:lineRule="auto"/>
        <w:jc w:val="both"/>
        <w:rPr>
          <w:rFonts w:ascii="Palatino Linotype" w:hAnsi="Palatino Linotype" w:cs="Segoe UI"/>
        </w:rPr>
      </w:pPr>
    </w:p>
    <w:p w14:paraId="283DE329" w14:textId="77777777" w:rsidR="00F34C61" w:rsidRDefault="00F34C61" w:rsidP="00B463E2">
      <w:pPr>
        <w:autoSpaceDE w:val="0"/>
        <w:autoSpaceDN w:val="0"/>
        <w:adjustRightInd w:val="0"/>
        <w:spacing w:after="0" w:line="360" w:lineRule="auto"/>
        <w:ind w:left="567" w:right="567"/>
        <w:jc w:val="both"/>
        <w:rPr>
          <w:rFonts w:ascii="Palatino Linotype" w:eastAsia="Calibri" w:hAnsi="Palatino Linotype" w:cs="Arial"/>
          <w:i/>
          <w:sz w:val="20"/>
          <w:szCs w:val="20"/>
        </w:rPr>
      </w:pPr>
      <w:r w:rsidRPr="006E2C84">
        <w:rPr>
          <w:rFonts w:ascii="Palatino Linotype" w:eastAsia="Calibri" w:hAnsi="Palatino Linotype" w:cs="Arial"/>
          <w:b/>
          <w:bCs/>
          <w:i/>
          <w:sz w:val="20"/>
          <w:szCs w:val="20"/>
        </w:rPr>
        <w:t xml:space="preserve">“DERECHO A LA INFORMACIÓN. SU EJERCICIO SE ENCUENTRA LIMITADO TANTO POR LOS INTERESES NACIONALES Y DE LA SOCIEDAD, COMO POR LOS DERECHOS DE TERCEROS. </w:t>
      </w:r>
      <w:r w:rsidRPr="006E2C84">
        <w:rPr>
          <w:rFonts w:ascii="Palatino Linotype" w:eastAsia="Calibri" w:hAnsi="Palatino Linotype" w:cs="Arial"/>
          <w:i/>
          <w:sz w:val="20"/>
          <w:szCs w:val="20"/>
        </w:rPr>
        <w:t xml:space="preserve">El derecho a la información consagrado en la última parte del artículo 6o. de la Constitución Federal no es absoluto, sino que, como toda garantía, se halla sujeto a limitaciones o excepciones que se sustentan, fundamentalmente, en la protección de la seguridad nacional y en el respeto tanto a los intereses de la sociedad como a los derechos de los gobernados, limitaciones que, incluso, han dado origen a la figura jurídica del secreto de información que se conoce en la doctrina como "reserva de información" o "secreto burocrático". En estas condiciones, al encontrarse obligado el Estado, como sujeto pasivo de la citada garantía, a velar por dichos intereses, con apego a las normas constitucionales y legales, el mencionado derecho no puede ser garantizado indiscriminadamente, sino que el respeto a su ejercicio encuentra excepciones que lo regulan y a su vez lo garantizan, en atención a la materia a que se refiera; así, en cuanto a la seguridad nacional, se tienen normas que, por un lado, restringen el acceso a la información en esta materia, en razón de que su conocimiento público puede generar daños a los intereses nacionales y, por el otro, sancionan la inobservancia de esa reserva; por lo que hace al interés social, se cuenta con normas que tienden a proteger la averiguación de los delitos, la salud </w:t>
      </w:r>
      <w:r w:rsidRPr="006E2C84">
        <w:rPr>
          <w:rFonts w:ascii="Palatino Linotype" w:eastAsia="Calibri" w:hAnsi="Palatino Linotype" w:cs="Arial"/>
          <w:i/>
          <w:sz w:val="20"/>
          <w:szCs w:val="20"/>
        </w:rPr>
        <w:lastRenderedPageBreak/>
        <w:t>y la moral públicas, mientras que por lo que respecta a la protección de la persona existen normas que protegen el derecho a la vida o a la privacidad de los gobernados.”</w:t>
      </w:r>
    </w:p>
    <w:p w14:paraId="69406DA4" w14:textId="77777777" w:rsidR="0023510C" w:rsidRPr="006E2C84" w:rsidRDefault="0023510C" w:rsidP="00B463E2">
      <w:pPr>
        <w:autoSpaceDE w:val="0"/>
        <w:autoSpaceDN w:val="0"/>
        <w:adjustRightInd w:val="0"/>
        <w:spacing w:after="0" w:line="360" w:lineRule="auto"/>
        <w:ind w:left="567" w:right="567"/>
        <w:jc w:val="both"/>
        <w:rPr>
          <w:rFonts w:ascii="Palatino Linotype" w:eastAsia="Calibri" w:hAnsi="Palatino Linotype" w:cs="Arial"/>
          <w:i/>
          <w:sz w:val="20"/>
          <w:szCs w:val="20"/>
        </w:rPr>
      </w:pPr>
    </w:p>
    <w:p w14:paraId="67BB0CEF" w14:textId="77777777" w:rsidR="00F34C61" w:rsidRDefault="00F34C61" w:rsidP="00B463E2">
      <w:pPr>
        <w:shd w:val="clear" w:color="auto" w:fill="FFFFFF"/>
        <w:spacing w:after="0" w:line="360" w:lineRule="auto"/>
        <w:ind w:left="567" w:right="567"/>
        <w:jc w:val="both"/>
        <w:rPr>
          <w:rFonts w:ascii="Palatino Linotype" w:hAnsi="Palatino Linotype"/>
          <w:i/>
          <w:iCs/>
          <w:sz w:val="20"/>
          <w:szCs w:val="20"/>
          <w:lang w:eastAsia="es-MX"/>
        </w:rPr>
      </w:pPr>
      <w:r w:rsidRPr="006E2C84">
        <w:rPr>
          <w:rFonts w:ascii="Palatino Linotype" w:hAnsi="Palatino Linotype"/>
          <w:b/>
          <w:bCs/>
          <w:i/>
          <w:iCs/>
          <w:sz w:val="20"/>
          <w:szCs w:val="20"/>
          <w:lang w:eastAsia="es-MX"/>
        </w:rPr>
        <w:t>“TRANSPARENCIA Y ACCESO A LA INFORMACIÓN PÚBLICA GUBERNAMENTAL. EL ARTÍCULO 14, FRACCIÓN I, DE LA LEY FEDERAL RELATIVA, NO VIOLA LA GARANTÍA DE ACCESO A LA INFORMACIÓN.</w:t>
      </w:r>
      <w:r w:rsidRPr="006E2C84">
        <w:rPr>
          <w:rFonts w:ascii="Palatino Linotype" w:hAnsi="Palatino Linotype"/>
          <w:i/>
          <w:iCs/>
          <w:sz w:val="20"/>
          <w:szCs w:val="20"/>
          <w:lang w:eastAsia="es-MX"/>
        </w:rPr>
        <w:t> El Tribunal en Pleno de la Suprema Corte de Justicia de la Nación en la tesis P. LX/2000 de rubro: "DERECHO A LA INFORMACIÓN. SU EJERCICIO SE ENCUENTRA LIMITADO TANTO POR LOS INTERESES NACIONALES Y DE LA SOCIEDAD, COMO POR LOS DERECHOS DE TERCEROS.", publicada en el Semanario Judicial de la Federación y su Gaceta, Novena Época, Tomo XI, abril de 2000, página 74, estableció que el ejercicio del derecho a la información no es irrestricto, sino que tiene límites que se sustentan en la protección de la seguridad nacional y en el respeto a los intereses de la sociedad y a los derechos de los gobernados, en atención a la materia de que se trate. En ese sentido, el citado precepto, al remitir a diversas normas ordinarias que establezcan restricciones a la información, no viola la garantía de acceso a la información contenida en el artículo 6o. de la Constitución Política de los Estados Unidos Mexicanos, porque es jurídicamente adecuado que en las leyes reguladoras de cada materia, </w:t>
      </w:r>
      <w:r w:rsidRPr="006E2C84">
        <w:rPr>
          <w:rFonts w:ascii="Palatino Linotype" w:hAnsi="Palatino Linotype"/>
          <w:b/>
          <w:bCs/>
          <w:i/>
          <w:iCs/>
          <w:sz w:val="20"/>
          <w:szCs w:val="20"/>
          <w:lang w:eastAsia="es-MX"/>
        </w:rPr>
        <w:t>el legislador federal o local establezca las restricciones correspondientes y clasifique a determinados datos como confidenciales o reservados, con la condición de que tales límites atiendan a intereses públicos o de los particulares y encuentren justificación racional en función del bien jurídico a proteger, es decir, que exista proporcionalidad y congruencia entre el derecho fundamental de que se trata y la razón que motive la restricción legislativa correspondiente</w:t>
      </w:r>
      <w:r w:rsidRPr="006E2C84">
        <w:rPr>
          <w:rFonts w:ascii="Palatino Linotype" w:hAnsi="Palatino Linotype"/>
          <w:i/>
          <w:iCs/>
          <w:sz w:val="20"/>
          <w:szCs w:val="20"/>
          <w:lang w:eastAsia="es-MX"/>
        </w:rPr>
        <w:t>, la cual debe ser adecuada y necesaria para alcanzar el fin perseguido, de manera que las ventajas obtenidas con la reserva compensen el sacrificio que ésta implique para los titulares de la garantía individual mencionada o para la sociedad en general.”</w:t>
      </w:r>
    </w:p>
    <w:p w14:paraId="0DEC1D4C" w14:textId="77777777" w:rsidR="008E1028" w:rsidRDefault="008E1028" w:rsidP="00B463E2">
      <w:pPr>
        <w:spacing w:after="0" w:line="360" w:lineRule="auto"/>
        <w:jc w:val="both"/>
        <w:rPr>
          <w:rFonts w:ascii="Palatino Linotype" w:hAnsi="Palatino Linotype" w:cs="Arial"/>
        </w:rPr>
      </w:pPr>
    </w:p>
    <w:p w14:paraId="362C9260" w14:textId="77777777" w:rsidR="00F34C61" w:rsidRDefault="00B463E2" w:rsidP="00B463E2">
      <w:pPr>
        <w:spacing w:after="0" w:line="360" w:lineRule="auto"/>
        <w:jc w:val="both"/>
        <w:rPr>
          <w:rFonts w:ascii="Palatino Linotype" w:hAnsi="Palatino Linotype" w:cs="Arial"/>
        </w:rPr>
      </w:pPr>
      <w:r>
        <w:rPr>
          <w:rFonts w:ascii="Palatino Linotype" w:hAnsi="Palatino Linotype" w:cs="Arial"/>
        </w:rPr>
        <w:t>Así y</w:t>
      </w:r>
      <w:r w:rsidR="00F34C61" w:rsidRPr="006A7606">
        <w:rPr>
          <w:rFonts w:ascii="Palatino Linotype" w:hAnsi="Palatino Linotype" w:cs="Arial"/>
        </w:rPr>
        <w:t xml:space="preserve"> de acuerdo con lo expuesto, la limitación </w:t>
      </w:r>
      <w:r w:rsidR="00F34C61">
        <w:rPr>
          <w:rFonts w:ascii="Palatino Linotype" w:hAnsi="Palatino Linotype" w:cs="Arial"/>
        </w:rPr>
        <w:t>para</w:t>
      </w:r>
      <w:r w:rsidR="00F34C61" w:rsidRPr="006A7606">
        <w:rPr>
          <w:rFonts w:ascii="Palatino Linotype" w:hAnsi="Palatino Linotype" w:cs="Arial"/>
        </w:rPr>
        <w:t xml:space="preserve"> acceder al nombre de los policías o personal con funciones operativas es proporcional y adecuada, respecto del bien jurídico </w:t>
      </w:r>
      <w:r w:rsidR="00F34C61" w:rsidRPr="006A7606">
        <w:rPr>
          <w:rFonts w:ascii="Palatino Linotype" w:hAnsi="Palatino Linotype" w:cs="Arial"/>
        </w:rPr>
        <w:lastRenderedPageBreak/>
        <w:t xml:space="preserve">tutelado; así, ordenar la entrega de los documentos en donde se elimine </w:t>
      </w:r>
      <w:r w:rsidR="00F34C61">
        <w:rPr>
          <w:rFonts w:ascii="Palatino Linotype" w:hAnsi="Palatino Linotype" w:cs="Arial"/>
        </w:rPr>
        <w:t>el nombre de dichos trabajadores</w:t>
      </w:r>
      <w:r w:rsidR="00F34C61" w:rsidRPr="006A7606">
        <w:rPr>
          <w:rFonts w:ascii="Palatino Linotype" w:hAnsi="Palatino Linotype" w:cs="Arial"/>
        </w:rPr>
        <w:t>, permite garantizar el acceso a la información pública que es de interés público, por estar relacionado con el ejercicio de recursos públicos –salario de servidores públicos- y se protege la vida, salud o seguridad de los elementos operativos encargados del combate a los delincuentes y prevención de los delitos, ya que con la eliminación de su nombre en dicho documento es imposible hacerlos identificables a través de este.</w:t>
      </w:r>
      <w:r w:rsidR="00F34C61">
        <w:rPr>
          <w:rFonts w:ascii="Palatino Linotype" w:hAnsi="Palatino Linotype" w:cs="Arial"/>
        </w:rPr>
        <w:t xml:space="preserve"> </w:t>
      </w:r>
    </w:p>
    <w:p w14:paraId="66F83554" w14:textId="77777777" w:rsidR="00F34C61" w:rsidRDefault="00F34C61" w:rsidP="00B463E2">
      <w:pPr>
        <w:spacing w:after="0" w:line="360" w:lineRule="auto"/>
        <w:jc w:val="both"/>
        <w:rPr>
          <w:rFonts w:ascii="Palatino Linotype" w:hAnsi="Palatino Linotype" w:cs="Arial"/>
        </w:rPr>
      </w:pPr>
    </w:p>
    <w:p w14:paraId="5B22CA28" w14:textId="77777777" w:rsidR="00F34C61" w:rsidRPr="00885189" w:rsidRDefault="00F34C61" w:rsidP="00B463E2">
      <w:pPr>
        <w:spacing w:after="0" w:line="360" w:lineRule="auto"/>
        <w:jc w:val="both"/>
        <w:rPr>
          <w:rFonts w:ascii="Palatino Linotype" w:hAnsi="Palatino Linotype" w:cs="Tahoma"/>
        </w:rPr>
      </w:pPr>
      <w:r>
        <w:rPr>
          <w:rFonts w:ascii="Palatino Linotype" w:hAnsi="Palatino Linotype" w:cs="Arial"/>
        </w:rPr>
        <w:t xml:space="preserve">Con base en lo anterior, es posible advertir que existen elementos suficientes para que, en cada recurso de revisión que se analice, se acredite la respectiva prueba de daño, por lo que hace a la reserva del nombre de los elementos operativos de las áreas de seguridad pública; </w:t>
      </w:r>
      <w:r w:rsidRPr="00976B1D">
        <w:rPr>
          <w:rFonts w:ascii="Palatino Linotype" w:hAnsi="Palatino Linotype" w:cs="Tahoma"/>
        </w:rPr>
        <w:t>además, abon</w:t>
      </w:r>
      <w:r>
        <w:rPr>
          <w:rFonts w:ascii="Palatino Linotype" w:hAnsi="Palatino Linotype" w:cs="Tahoma"/>
        </w:rPr>
        <w:t>a</w:t>
      </w:r>
      <w:r w:rsidRPr="00976B1D">
        <w:rPr>
          <w:rFonts w:ascii="Palatino Linotype" w:hAnsi="Palatino Linotype" w:cs="Tahoma"/>
        </w:rPr>
        <w:t xml:space="preserve"> a lo expuesto, lo resuelto por</w:t>
      </w:r>
      <w:r w:rsidRPr="00885189">
        <w:rPr>
          <w:rFonts w:ascii="Palatino Linotype" w:hAnsi="Palatino Linotype" w:cs="Tahoma"/>
        </w:rPr>
        <w:t xml:space="preserve"> el Instituto Nacional de Transparencia, Acceso a la Información Pública y Protección de Datos Personales, en </w:t>
      </w:r>
      <w:r>
        <w:rPr>
          <w:rFonts w:ascii="Palatino Linotype" w:hAnsi="Palatino Linotype" w:cs="Tahoma"/>
        </w:rPr>
        <w:t xml:space="preserve">los </w:t>
      </w:r>
      <w:r w:rsidRPr="00885189">
        <w:rPr>
          <w:rFonts w:ascii="Palatino Linotype" w:hAnsi="Palatino Linotype" w:cs="Tahoma"/>
        </w:rPr>
        <w:t>Recurso</w:t>
      </w:r>
      <w:r>
        <w:rPr>
          <w:rFonts w:ascii="Palatino Linotype" w:hAnsi="Palatino Linotype" w:cs="Tahoma"/>
        </w:rPr>
        <w:t>s</w:t>
      </w:r>
      <w:r w:rsidRPr="00885189">
        <w:rPr>
          <w:rFonts w:ascii="Palatino Linotype" w:hAnsi="Palatino Linotype" w:cs="Tahoma"/>
        </w:rPr>
        <w:t xml:space="preserve"> de Inconformidad </w:t>
      </w:r>
      <w:r>
        <w:rPr>
          <w:rFonts w:ascii="Palatino Linotype" w:hAnsi="Palatino Linotype" w:cs="Tahoma"/>
        </w:rPr>
        <w:t xml:space="preserve">con </w:t>
      </w:r>
      <w:r w:rsidRPr="00885189">
        <w:rPr>
          <w:rFonts w:ascii="Palatino Linotype" w:hAnsi="Palatino Linotype" w:cs="Tahoma"/>
        </w:rPr>
        <w:t xml:space="preserve">número </w:t>
      </w:r>
      <w:r w:rsidRPr="008E4092">
        <w:rPr>
          <w:rFonts w:ascii="Palatino Linotype" w:hAnsi="Palatino Linotype" w:cs="Tahoma"/>
          <w:b/>
          <w:bCs/>
        </w:rPr>
        <w:t xml:space="preserve">RIA 0118/18, RIA 0124/19 </w:t>
      </w:r>
      <w:r w:rsidRPr="008E4092">
        <w:rPr>
          <w:rFonts w:ascii="Palatino Linotype" w:hAnsi="Palatino Linotype" w:cs="Tahoma"/>
          <w:b/>
        </w:rPr>
        <w:t>y</w:t>
      </w:r>
      <w:r w:rsidRPr="008E4092">
        <w:rPr>
          <w:rFonts w:ascii="Palatino Linotype" w:hAnsi="Palatino Linotype" w:cs="Tahoma"/>
          <w:b/>
          <w:bCs/>
        </w:rPr>
        <w:t xml:space="preserve"> RIA 0118/19</w:t>
      </w:r>
      <w:r w:rsidRPr="00885189">
        <w:rPr>
          <w:rFonts w:ascii="Palatino Linotype" w:hAnsi="Palatino Linotype" w:cs="Tahoma"/>
          <w:b/>
        </w:rPr>
        <w:t>,</w:t>
      </w:r>
      <w:r>
        <w:rPr>
          <w:rFonts w:ascii="Palatino Linotype" w:hAnsi="Palatino Linotype" w:cs="Tahoma"/>
          <w:b/>
        </w:rPr>
        <w:t xml:space="preserve"> </w:t>
      </w:r>
      <w:r>
        <w:rPr>
          <w:rFonts w:ascii="Palatino Linotype" w:hAnsi="Palatino Linotype" w:cs="Tahoma"/>
        </w:rPr>
        <w:t>en donde se precisó que</w:t>
      </w:r>
      <w:r w:rsidRPr="00885189">
        <w:rPr>
          <w:rFonts w:ascii="Palatino Linotype" w:hAnsi="Palatino Linotype" w:cs="Tahoma"/>
        </w:rPr>
        <w:t xml:space="preserve"> este </w:t>
      </w:r>
      <w:r>
        <w:rPr>
          <w:rFonts w:ascii="Palatino Linotype" w:hAnsi="Palatino Linotype" w:cs="Tahoma"/>
        </w:rPr>
        <w:t>Organismo</w:t>
      </w:r>
      <w:r w:rsidRPr="00885189">
        <w:rPr>
          <w:rFonts w:ascii="Palatino Linotype" w:hAnsi="Palatino Linotype" w:cs="Tahoma"/>
        </w:rPr>
        <w:t xml:space="preserve"> Garante no debe ceñirse únicamente a verificar cuestiones de forma, sino también argumentar por qué la información solicitada se adecua </w:t>
      </w:r>
      <w:r>
        <w:rPr>
          <w:rFonts w:ascii="Palatino Linotype" w:hAnsi="Palatino Linotype" w:cs="Tahoma"/>
        </w:rPr>
        <w:t xml:space="preserve">o no </w:t>
      </w:r>
      <w:r w:rsidRPr="00885189">
        <w:rPr>
          <w:rFonts w:ascii="Palatino Linotype" w:hAnsi="Palatino Linotype" w:cs="Tahoma"/>
        </w:rPr>
        <w:t>a la o las hipótesis señaladas.</w:t>
      </w:r>
    </w:p>
    <w:p w14:paraId="60B236EC" w14:textId="77777777" w:rsidR="00F34C61" w:rsidRPr="00885189" w:rsidRDefault="00F34C61" w:rsidP="00B463E2">
      <w:pPr>
        <w:spacing w:after="0" w:line="360" w:lineRule="auto"/>
        <w:jc w:val="both"/>
        <w:rPr>
          <w:rFonts w:ascii="Palatino Linotype" w:hAnsi="Palatino Linotype" w:cs="Tahoma"/>
        </w:rPr>
      </w:pPr>
    </w:p>
    <w:p w14:paraId="2FF1E622" w14:textId="77777777" w:rsidR="00F34C61" w:rsidRPr="00885189" w:rsidRDefault="00F34C61" w:rsidP="00B463E2">
      <w:pPr>
        <w:spacing w:after="0" w:line="360" w:lineRule="auto"/>
        <w:jc w:val="both"/>
        <w:rPr>
          <w:rFonts w:ascii="Palatino Linotype" w:hAnsi="Palatino Linotype" w:cs="Tahoma"/>
        </w:rPr>
      </w:pPr>
      <w:r w:rsidRPr="00885189">
        <w:rPr>
          <w:rFonts w:ascii="Palatino Linotype" w:hAnsi="Palatino Linotype" w:cs="Tahoma"/>
        </w:rPr>
        <w:t>En ese sentido, se debe valorar el daño que causaría la divulgación de la información, con la finalidad de sustentar la reserva de la información y arribar a una determinación debidamente fundada y motivada que tenga como consecuencia la clasificación</w:t>
      </w:r>
      <w:r>
        <w:rPr>
          <w:rFonts w:ascii="Palatino Linotype" w:hAnsi="Palatino Linotype" w:cs="Tahoma"/>
        </w:rPr>
        <w:t xml:space="preserve"> o no</w:t>
      </w:r>
      <w:r w:rsidRPr="00885189">
        <w:rPr>
          <w:rFonts w:ascii="Palatino Linotype" w:hAnsi="Palatino Linotype" w:cs="Tahoma"/>
        </w:rPr>
        <w:t xml:space="preserve"> de la información. En otras palabras, la determinación que </w:t>
      </w:r>
      <w:r>
        <w:rPr>
          <w:rFonts w:ascii="Palatino Linotype" w:hAnsi="Palatino Linotype" w:cs="Tahoma"/>
        </w:rPr>
        <w:t xml:space="preserve">determina la existencia de información </w:t>
      </w:r>
      <w:r w:rsidRPr="00885189">
        <w:rPr>
          <w:rFonts w:ascii="Palatino Linotype" w:hAnsi="Palatino Linotype" w:cs="Tahoma"/>
        </w:rPr>
        <w:t>clasifica</w:t>
      </w:r>
      <w:r>
        <w:rPr>
          <w:rFonts w:ascii="Palatino Linotype" w:hAnsi="Palatino Linotype" w:cs="Tahoma"/>
        </w:rPr>
        <w:t>da o bien que revoca dicho argumento</w:t>
      </w:r>
      <w:r w:rsidRPr="00885189">
        <w:rPr>
          <w:rFonts w:ascii="Palatino Linotype" w:hAnsi="Palatino Linotype" w:cs="Tahoma"/>
        </w:rPr>
        <w:t>, debe contener un análisis exhaustivo de los elementos de forma y fondo que establecen la Ley de Transparencia y Acceso a la Información Pública del Estado de México y Municipios y los Lineamientos generales en materia de clasificación y desclasificación de la información, así como para la elaboración de versiones públicas.</w:t>
      </w:r>
    </w:p>
    <w:p w14:paraId="6E167D7E" w14:textId="77777777" w:rsidR="00F34C61" w:rsidRPr="00885189" w:rsidRDefault="00F34C61" w:rsidP="00B463E2">
      <w:pPr>
        <w:spacing w:after="0" w:line="360" w:lineRule="auto"/>
        <w:jc w:val="both"/>
        <w:rPr>
          <w:rFonts w:ascii="Palatino Linotype" w:hAnsi="Palatino Linotype" w:cs="Tahoma"/>
        </w:rPr>
      </w:pPr>
    </w:p>
    <w:p w14:paraId="6FD92E20" w14:textId="77777777" w:rsidR="00F34C61" w:rsidRDefault="00F34C61" w:rsidP="00B463E2">
      <w:pPr>
        <w:spacing w:after="0" w:line="360" w:lineRule="auto"/>
        <w:jc w:val="both"/>
        <w:rPr>
          <w:rFonts w:ascii="Palatino Linotype" w:hAnsi="Palatino Linotype" w:cs="Tahoma"/>
        </w:rPr>
      </w:pPr>
      <w:r w:rsidRPr="00885189">
        <w:rPr>
          <w:rFonts w:ascii="Palatino Linotype" w:hAnsi="Palatino Linotype" w:cs="Tahoma"/>
        </w:rPr>
        <w:lastRenderedPageBreak/>
        <w:t xml:space="preserve">Bajo esa lógica, estimo que en el presente caso, si bien </w:t>
      </w:r>
      <w:r>
        <w:rPr>
          <w:rFonts w:ascii="Palatino Linotype" w:hAnsi="Palatino Linotype" w:cs="Tahoma"/>
        </w:rPr>
        <w:t xml:space="preserve">la naturaleza de la información solicitada en efecto es la de reservada por las condiciones de inseguridad que imperan en esta época en nuestro Estado, por lo que </w:t>
      </w:r>
      <w:r w:rsidRPr="00885189">
        <w:rPr>
          <w:rFonts w:ascii="Palatino Linotype" w:hAnsi="Palatino Linotype" w:cs="Tahoma"/>
        </w:rPr>
        <w:t>se puede desprender que la información</w:t>
      </w:r>
      <w:r>
        <w:rPr>
          <w:rFonts w:ascii="Palatino Linotype" w:hAnsi="Palatino Linotype" w:cs="Tahoma"/>
        </w:rPr>
        <w:t xml:space="preserve">, </w:t>
      </w:r>
      <w:r w:rsidRPr="00885189">
        <w:rPr>
          <w:rFonts w:ascii="Palatino Linotype" w:hAnsi="Palatino Linotype" w:cs="Tahoma"/>
        </w:rPr>
        <w:t xml:space="preserve">actualiza </w:t>
      </w:r>
      <w:r>
        <w:rPr>
          <w:rFonts w:ascii="Palatino Linotype" w:hAnsi="Palatino Linotype" w:cs="Tahoma"/>
        </w:rPr>
        <w:t>la</w:t>
      </w:r>
      <w:r w:rsidRPr="00885189">
        <w:rPr>
          <w:rFonts w:ascii="Palatino Linotype" w:hAnsi="Palatino Linotype" w:cs="Tahoma"/>
        </w:rPr>
        <w:t xml:space="preserve"> causal de reserva establecida en el </w:t>
      </w:r>
      <w:r w:rsidRPr="00DF675F">
        <w:rPr>
          <w:rFonts w:ascii="Palatino Linotype" w:hAnsi="Palatino Linotype" w:cs="Tahoma"/>
        </w:rPr>
        <w:t>artículo 140</w:t>
      </w:r>
      <w:r>
        <w:rPr>
          <w:rFonts w:ascii="Palatino Linotype" w:hAnsi="Palatino Linotype" w:cs="Tahoma"/>
        </w:rPr>
        <w:t xml:space="preserve">, fracción IV, </w:t>
      </w:r>
      <w:r w:rsidRPr="00885189">
        <w:rPr>
          <w:rFonts w:ascii="Palatino Linotype" w:hAnsi="Palatino Linotype" w:cs="Tahoma"/>
        </w:rPr>
        <w:t>de la Ley de Transparencia y Acceso a la Información Pública del Estado de México y Municipios, para convalidar</w:t>
      </w:r>
      <w:r>
        <w:rPr>
          <w:rFonts w:ascii="Palatino Linotype" w:hAnsi="Palatino Linotype" w:cs="Tahoma"/>
        </w:rPr>
        <w:t xml:space="preserve"> o revocar</w:t>
      </w:r>
      <w:r w:rsidRPr="00885189">
        <w:rPr>
          <w:rFonts w:ascii="Palatino Linotype" w:hAnsi="Palatino Linotype" w:cs="Tahoma"/>
        </w:rPr>
        <w:t xml:space="preserve"> la clasificación como información reservada, se </w:t>
      </w:r>
      <w:r>
        <w:rPr>
          <w:rFonts w:ascii="Palatino Linotype" w:hAnsi="Palatino Linotype" w:cs="Tahoma"/>
        </w:rPr>
        <w:t>debe</w:t>
      </w:r>
      <w:r w:rsidRPr="00885189">
        <w:rPr>
          <w:rFonts w:ascii="Palatino Linotype" w:hAnsi="Palatino Linotype" w:cs="Tahoma"/>
        </w:rPr>
        <w:t xml:space="preserve"> efectuar el estudio de clasificación a la luz de los elementos que exigen los Lineamientos generales en materia de clasificación y desclasificación de la información, así como para la elaboración de versiones públicas.</w:t>
      </w:r>
    </w:p>
    <w:p w14:paraId="79CB7C6E" w14:textId="77777777" w:rsidR="00F34C61" w:rsidRPr="00885189" w:rsidRDefault="00F34C61" w:rsidP="00B463E2">
      <w:pPr>
        <w:spacing w:after="0" w:line="360" w:lineRule="auto"/>
        <w:jc w:val="both"/>
        <w:rPr>
          <w:rFonts w:ascii="Palatino Linotype" w:hAnsi="Palatino Linotype" w:cs="Tahoma"/>
        </w:rPr>
      </w:pPr>
    </w:p>
    <w:p w14:paraId="0E717D14" w14:textId="77777777" w:rsidR="00F34C61" w:rsidRPr="00885189" w:rsidRDefault="00F34C61" w:rsidP="00B463E2">
      <w:pPr>
        <w:spacing w:after="0" w:line="360" w:lineRule="auto"/>
        <w:jc w:val="both"/>
        <w:rPr>
          <w:rFonts w:ascii="Palatino Linotype" w:hAnsi="Palatino Linotype" w:cs="Tahoma"/>
        </w:rPr>
      </w:pPr>
      <w:r>
        <w:rPr>
          <w:rFonts w:ascii="Palatino Linotype" w:hAnsi="Palatino Linotype" w:cs="Tahoma"/>
        </w:rPr>
        <w:t>En efecto,</w:t>
      </w:r>
      <w:r w:rsidRPr="00885189">
        <w:rPr>
          <w:rFonts w:ascii="Palatino Linotype" w:hAnsi="Palatino Linotype" w:cs="Tahoma"/>
        </w:rPr>
        <w:t xml:space="preserve"> sólo de esta forma, el Instituto como máxima autoridad en materia de derecho de acceso a la información y protección de datos personales, garantiza que los particulares puedan ejercer sus derechos y ser partícipes de la vida democrática de nuestro E</w:t>
      </w:r>
      <w:r>
        <w:rPr>
          <w:rFonts w:ascii="Palatino Linotype" w:hAnsi="Palatino Linotype" w:cs="Tahoma"/>
        </w:rPr>
        <w:t>stado y nuestro país, de lo contrario se corre el riesgo de que el Sujeto Obligado realice una clasificación incorrecta de la información.</w:t>
      </w:r>
    </w:p>
    <w:p w14:paraId="32D81825" w14:textId="77777777" w:rsidR="00F34C61" w:rsidRPr="00885189" w:rsidRDefault="00F34C61" w:rsidP="00B463E2">
      <w:pPr>
        <w:spacing w:after="0" w:line="360" w:lineRule="auto"/>
        <w:jc w:val="both"/>
        <w:rPr>
          <w:rFonts w:ascii="Palatino Linotype" w:hAnsi="Palatino Linotype" w:cs="Tahoma"/>
        </w:rPr>
      </w:pPr>
    </w:p>
    <w:p w14:paraId="27231FE8" w14:textId="77777777" w:rsidR="00F34C61" w:rsidRPr="00885189" w:rsidRDefault="00F34C61" w:rsidP="00B463E2">
      <w:pPr>
        <w:spacing w:after="0" w:line="360" w:lineRule="auto"/>
        <w:jc w:val="both"/>
        <w:rPr>
          <w:rFonts w:ascii="Palatino Linotype" w:hAnsi="Palatino Linotype" w:cs="Tahoma"/>
        </w:rPr>
      </w:pPr>
      <w:r w:rsidRPr="00885189">
        <w:rPr>
          <w:rFonts w:ascii="Palatino Linotype" w:hAnsi="Palatino Linotype" w:cs="Tahoma"/>
        </w:rPr>
        <w:t xml:space="preserve">Por lo tanto, mi postura es a favor de efectuar un análisis exhaustivo en todos aquellos casos que restrinjan el derecho de acceso a la información de los particulares, como es la figura de la clasificación de la información </w:t>
      </w:r>
      <w:r>
        <w:rPr>
          <w:rFonts w:ascii="Palatino Linotype" w:hAnsi="Palatino Linotype" w:cs="Tahoma"/>
        </w:rPr>
        <w:t xml:space="preserve">como reservada </w:t>
      </w:r>
      <w:r w:rsidRPr="00885189">
        <w:rPr>
          <w:rFonts w:ascii="Palatino Linotype" w:hAnsi="Palatino Linotype" w:cs="Tahoma"/>
        </w:rPr>
        <w:t>para verificar que se acredita</w:t>
      </w:r>
      <w:r>
        <w:rPr>
          <w:rFonts w:ascii="Palatino Linotype" w:hAnsi="Palatino Linotype" w:cs="Tahoma"/>
        </w:rPr>
        <w:t xml:space="preserve"> o no</w:t>
      </w:r>
      <w:r w:rsidRPr="00885189">
        <w:rPr>
          <w:rFonts w:ascii="Palatino Linotype" w:hAnsi="Palatino Linotype" w:cs="Tahoma"/>
        </w:rPr>
        <w:t xml:space="preserve"> la </w:t>
      </w:r>
      <w:r>
        <w:rPr>
          <w:rFonts w:ascii="Palatino Linotype" w:hAnsi="Palatino Linotype" w:cs="Tahoma"/>
        </w:rPr>
        <w:t xml:space="preserve">fracción correspondiente del artículo 140 de la Ley de Transparencia y Acceso a la Información Pública del Estado de México y Municipios, así como la </w:t>
      </w:r>
      <w:r w:rsidRPr="00885189">
        <w:rPr>
          <w:rFonts w:ascii="Palatino Linotype" w:hAnsi="Palatino Linotype" w:cs="Tahoma"/>
        </w:rPr>
        <w:t>prueba de daño.</w:t>
      </w:r>
    </w:p>
    <w:p w14:paraId="098BC04E" w14:textId="77777777" w:rsidR="00F34C61" w:rsidRDefault="00F34C61" w:rsidP="00B463E2">
      <w:pPr>
        <w:spacing w:after="0" w:line="360" w:lineRule="auto"/>
        <w:jc w:val="both"/>
        <w:rPr>
          <w:rFonts w:ascii="Palatino Linotype" w:hAnsi="Palatino Linotype" w:cs="Tahoma"/>
        </w:rPr>
      </w:pPr>
    </w:p>
    <w:p w14:paraId="515D2C94" w14:textId="77777777" w:rsidR="00F34C61" w:rsidRDefault="00F34C61" w:rsidP="00B463E2">
      <w:pPr>
        <w:spacing w:after="0" w:line="360" w:lineRule="auto"/>
        <w:jc w:val="both"/>
        <w:rPr>
          <w:rFonts w:ascii="Palatino Linotype" w:hAnsi="Palatino Linotype" w:cs="Tahoma"/>
        </w:rPr>
      </w:pPr>
      <w:r>
        <w:rPr>
          <w:rFonts w:ascii="Palatino Linotype" w:hAnsi="Palatino Linotype" w:cs="Tahoma"/>
        </w:rPr>
        <w:t xml:space="preserve">En </w:t>
      </w:r>
      <w:r w:rsidR="008E1028">
        <w:rPr>
          <w:rFonts w:ascii="Palatino Linotype" w:hAnsi="Palatino Linotype" w:cs="Tahoma"/>
        </w:rPr>
        <w:t>consecuencia,</w:t>
      </w:r>
      <w:r>
        <w:rPr>
          <w:rFonts w:ascii="Palatino Linotype" w:hAnsi="Palatino Linotype" w:cs="Tahoma"/>
        </w:rPr>
        <w:t xml:space="preserve"> es necesario que en el análisis de las resoluciones que dicta este Pleno, se </w:t>
      </w:r>
      <w:r w:rsidRPr="00257C76">
        <w:rPr>
          <w:rFonts w:ascii="Palatino Linotype" w:hAnsi="Palatino Linotype" w:cs="Tahoma"/>
        </w:rPr>
        <w:t>proporcione un estudio exhaustivo y ofrecer al Particular las herramientas para conocer las razones por las que procede o no la reserva de la información.</w:t>
      </w:r>
    </w:p>
    <w:p w14:paraId="7E84051A" w14:textId="77777777" w:rsidR="00F34C61" w:rsidRPr="00DF675F" w:rsidRDefault="00F34C61" w:rsidP="00B463E2">
      <w:pPr>
        <w:spacing w:after="0" w:line="360" w:lineRule="auto"/>
        <w:jc w:val="both"/>
        <w:rPr>
          <w:rFonts w:ascii="Palatino Linotype" w:hAnsi="Palatino Linotype" w:cs="Tahoma"/>
        </w:rPr>
      </w:pPr>
    </w:p>
    <w:p w14:paraId="29C4A065" w14:textId="77777777" w:rsidR="00F34C61" w:rsidRPr="00DF675F" w:rsidRDefault="00F34C61" w:rsidP="00B463E2">
      <w:pPr>
        <w:spacing w:after="0" w:line="360" w:lineRule="auto"/>
        <w:jc w:val="both"/>
        <w:rPr>
          <w:rFonts w:ascii="Palatino Linotype" w:hAnsi="Palatino Linotype" w:cs="Tahoma"/>
        </w:rPr>
      </w:pPr>
      <w:r w:rsidRPr="00DF675F">
        <w:rPr>
          <w:rFonts w:ascii="Palatino Linotype" w:hAnsi="Palatino Linotype" w:cs="Tahoma"/>
        </w:rPr>
        <w:t>Así, con base en los razonamientos expuestos, se emite el Presente Voto Particular.</w:t>
      </w:r>
      <w:r w:rsidRPr="001514DB">
        <w:rPr>
          <w:rFonts w:ascii="Palatino Linotype" w:eastAsia="Calibri" w:hAnsi="Palatino Linotype" w:cs="Times New Roman"/>
          <w:lang w:val="es-MX"/>
        </w:rPr>
        <w:t xml:space="preserve"> </w:t>
      </w:r>
      <w:r w:rsidRPr="001514DB">
        <w:rPr>
          <w:rFonts w:ascii="Palatino Linotype" w:hAnsi="Palatino Linotype" w:cs="Tahoma"/>
          <w:lang w:val="es-MX"/>
        </w:rPr>
        <w:t>----------</w:t>
      </w:r>
    </w:p>
    <w:p w14:paraId="774A1688" w14:textId="77777777" w:rsidR="00F34C61" w:rsidRDefault="00F34C61" w:rsidP="00B463E2">
      <w:pPr>
        <w:spacing w:after="0" w:line="360" w:lineRule="auto"/>
        <w:jc w:val="both"/>
        <w:rPr>
          <w:rFonts w:ascii="Palatino Linotype" w:hAnsi="Palatino Linotype" w:cs="Tahoma"/>
        </w:rPr>
      </w:pPr>
    </w:p>
    <w:p w14:paraId="704F696C" w14:textId="77777777" w:rsidR="00F34C61" w:rsidRDefault="00F34C61" w:rsidP="00B463E2">
      <w:pPr>
        <w:spacing w:after="0" w:line="360" w:lineRule="auto"/>
        <w:jc w:val="both"/>
        <w:rPr>
          <w:rFonts w:ascii="Palatino Linotype" w:hAnsi="Palatino Linotype" w:cs="Tahoma"/>
        </w:rPr>
      </w:pPr>
    </w:p>
    <w:p w14:paraId="318C448E" w14:textId="77777777" w:rsidR="00F34C61" w:rsidRDefault="00F34C61" w:rsidP="00B463E2">
      <w:pPr>
        <w:spacing w:after="0" w:line="360" w:lineRule="auto"/>
        <w:jc w:val="both"/>
        <w:rPr>
          <w:rFonts w:ascii="Palatino Linotype" w:hAnsi="Palatino Linotype" w:cs="Tahoma"/>
        </w:rPr>
      </w:pPr>
    </w:p>
    <w:p w14:paraId="6D2EB9D9" w14:textId="77777777" w:rsidR="00F34C61" w:rsidRDefault="00F34C61" w:rsidP="00B463E2">
      <w:pPr>
        <w:spacing w:after="0" w:line="360" w:lineRule="auto"/>
        <w:jc w:val="both"/>
        <w:rPr>
          <w:rFonts w:ascii="Palatino Linotype" w:hAnsi="Palatino Linotype" w:cs="Tahoma"/>
        </w:rPr>
      </w:pPr>
    </w:p>
    <w:p w14:paraId="349CB7DD" w14:textId="77777777" w:rsidR="00F34C61" w:rsidRDefault="00F34C61" w:rsidP="00B463E2">
      <w:pPr>
        <w:spacing w:after="0" w:line="360" w:lineRule="auto"/>
        <w:jc w:val="both"/>
        <w:rPr>
          <w:rFonts w:ascii="Palatino Linotype" w:hAnsi="Palatino Linotype" w:cs="Tahoma"/>
        </w:rPr>
      </w:pPr>
    </w:p>
    <w:p w14:paraId="7B4660D7" w14:textId="77777777" w:rsidR="00F34C61" w:rsidRDefault="00F34C61" w:rsidP="00B463E2">
      <w:pPr>
        <w:spacing w:after="0" w:line="360" w:lineRule="auto"/>
        <w:jc w:val="both"/>
        <w:rPr>
          <w:rFonts w:ascii="Palatino Linotype" w:hAnsi="Palatino Linotype" w:cs="Tahoma"/>
        </w:rPr>
      </w:pPr>
    </w:p>
    <w:p w14:paraId="55FE03DA" w14:textId="77777777" w:rsidR="00F34C61" w:rsidRDefault="00F34C61" w:rsidP="00B463E2">
      <w:pPr>
        <w:spacing w:after="0" w:line="360" w:lineRule="auto"/>
        <w:jc w:val="both"/>
        <w:rPr>
          <w:rFonts w:ascii="Palatino Linotype" w:hAnsi="Palatino Linotype" w:cs="Tahoma"/>
        </w:rPr>
      </w:pPr>
    </w:p>
    <w:p w14:paraId="0CE6A3D5" w14:textId="77777777" w:rsidR="00F34C61" w:rsidRDefault="00F34C61" w:rsidP="00B463E2">
      <w:pPr>
        <w:spacing w:after="0" w:line="360" w:lineRule="auto"/>
        <w:jc w:val="both"/>
        <w:rPr>
          <w:rFonts w:ascii="Palatino Linotype" w:hAnsi="Palatino Linotype" w:cs="Tahoma"/>
        </w:rPr>
      </w:pPr>
    </w:p>
    <w:p w14:paraId="0727C97F" w14:textId="77777777" w:rsidR="00F34C61" w:rsidRDefault="00F34C61" w:rsidP="00B463E2">
      <w:pPr>
        <w:spacing w:after="0" w:line="360" w:lineRule="auto"/>
        <w:jc w:val="both"/>
        <w:rPr>
          <w:rFonts w:ascii="Palatino Linotype" w:hAnsi="Palatino Linotype" w:cs="Tahoma"/>
        </w:rPr>
      </w:pPr>
    </w:p>
    <w:p w14:paraId="1C69B992" w14:textId="77777777" w:rsidR="00F34C61" w:rsidRDefault="00F34C61" w:rsidP="00B463E2">
      <w:pPr>
        <w:spacing w:after="0" w:line="360" w:lineRule="auto"/>
        <w:jc w:val="both"/>
        <w:rPr>
          <w:rFonts w:ascii="Palatino Linotype" w:hAnsi="Palatino Linotype" w:cs="Tahoma"/>
        </w:rPr>
      </w:pPr>
    </w:p>
    <w:p w14:paraId="1F00E4DE" w14:textId="77777777" w:rsidR="00F34C61" w:rsidRDefault="00F34C61" w:rsidP="00B463E2">
      <w:pPr>
        <w:spacing w:after="0" w:line="360" w:lineRule="auto"/>
        <w:jc w:val="both"/>
        <w:rPr>
          <w:rFonts w:ascii="Palatino Linotype" w:hAnsi="Palatino Linotype" w:cs="Tahoma"/>
        </w:rPr>
      </w:pPr>
    </w:p>
    <w:p w14:paraId="0058CF6D" w14:textId="77777777" w:rsidR="00F34C61" w:rsidRDefault="00F34C61" w:rsidP="00B463E2">
      <w:pPr>
        <w:spacing w:after="0" w:line="360" w:lineRule="auto"/>
        <w:jc w:val="both"/>
        <w:rPr>
          <w:rFonts w:ascii="Palatino Linotype" w:hAnsi="Palatino Linotype" w:cs="Tahoma"/>
        </w:rPr>
      </w:pPr>
    </w:p>
    <w:p w14:paraId="6A1A339B" w14:textId="77777777" w:rsidR="00F34C61" w:rsidRDefault="00F34C61" w:rsidP="00B463E2">
      <w:pPr>
        <w:spacing w:after="0" w:line="360" w:lineRule="auto"/>
        <w:jc w:val="both"/>
        <w:rPr>
          <w:rFonts w:ascii="Palatino Linotype" w:hAnsi="Palatino Linotype" w:cs="Tahoma"/>
        </w:rPr>
      </w:pPr>
    </w:p>
    <w:p w14:paraId="0A3AA531" w14:textId="77777777" w:rsidR="00F34C61" w:rsidRDefault="00F34C61" w:rsidP="00B463E2">
      <w:pPr>
        <w:spacing w:after="0" w:line="360" w:lineRule="auto"/>
        <w:jc w:val="both"/>
        <w:rPr>
          <w:rFonts w:ascii="Palatino Linotype" w:hAnsi="Palatino Linotype" w:cs="Tahoma"/>
        </w:rPr>
      </w:pPr>
    </w:p>
    <w:p w14:paraId="06E00F89" w14:textId="77777777" w:rsidR="00F34C61" w:rsidRDefault="00F34C61" w:rsidP="00B463E2">
      <w:pPr>
        <w:spacing w:after="0" w:line="360" w:lineRule="auto"/>
        <w:jc w:val="both"/>
        <w:rPr>
          <w:rFonts w:ascii="Palatino Linotype" w:hAnsi="Palatino Linotype" w:cs="Tahoma"/>
        </w:rPr>
      </w:pPr>
    </w:p>
    <w:p w14:paraId="5CC0C03A" w14:textId="77777777" w:rsidR="00F34C61" w:rsidRDefault="00F34C61" w:rsidP="00B463E2">
      <w:pPr>
        <w:spacing w:after="0" w:line="360" w:lineRule="auto"/>
        <w:jc w:val="both"/>
        <w:rPr>
          <w:rFonts w:ascii="Palatino Linotype" w:hAnsi="Palatino Linotype" w:cs="Tahoma"/>
        </w:rPr>
      </w:pPr>
    </w:p>
    <w:p w14:paraId="699B5985" w14:textId="77777777" w:rsidR="00F34C61" w:rsidRDefault="00F34C61" w:rsidP="00B463E2">
      <w:pPr>
        <w:spacing w:after="0" w:line="360" w:lineRule="auto"/>
        <w:jc w:val="both"/>
        <w:rPr>
          <w:rFonts w:ascii="Palatino Linotype" w:hAnsi="Palatino Linotype" w:cs="Tahoma"/>
        </w:rPr>
      </w:pPr>
    </w:p>
    <w:p w14:paraId="07C6251A" w14:textId="77777777" w:rsidR="00F34C61" w:rsidRDefault="00F34C61" w:rsidP="00B463E2">
      <w:pPr>
        <w:spacing w:after="0" w:line="360" w:lineRule="auto"/>
        <w:jc w:val="both"/>
        <w:rPr>
          <w:rFonts w:ascii="Palatino Linotype" w:hAnsi="Palatino Linotype" w:cs="Tahoma"/>
        </w:rPr>
      </w:pPr>
    </w:p>
    <w:p w14:paraId="578A0B7E" w14:textId="77777777" w:rsidR="00F34C61" w:rsidRDefault="00F34C61" w:rsidP="00B463E2">
      <w:pPr>
        <w:spacing w:after="0" w:line="360" w:lineRule="auto"/>
        <w:jc w:val="both"/>
        <w:rPr>
          <w:rFonts w:ascii="Palatino Linotype" w:hAnsi="Palatino Linotype" w:cs="Tahoma"/>
        </w:rPr>
      </w:pPr>
    </w:p>
    <w:p w14:paraId="65E7D1B0" w14:textId="77777777" w:rsidR="00F34C61" w:rsidRDefault="00F34C61" w:rsidP="00B463E2">
      <w:pPr>
        <w:spacing w:after="0" w:line="360" w:lineRule="auto"/>
        <w:jc w:val="both"/>
        <w:rPr>
          <w:rFonts w:ascii="Palatino Linotype" w:hAnsi="Palatino Linotype" w:cs="Tahoma"/>
        </w:rPr>
      </w:pPr>
    </w:p>
    <w:p w14:paraId="096442E1" w14:textId="77777777" w:rsidR="00F34C61" w:rsidRDefault="00F34C61" w:rsidP="00B463E2">
      <w:pPr>
        <w:spacing w:after="0" w:line="360" w:lineRule="auto"/>
        <w:jc w:val="both"/>
        <w:rPr>
          <w:rFonts w:ascii="Palatino Linotype" w:hAnsi="Palatino Linotype" w:cs="Tahoma"/>
        </w:rPr>
      </w:pPr>
    </w:p>
    <w:p w14:paraId="66666177" w14:textId="77777777" w:rsidR="00F34C61" w:rsidRDefault="00F34C61" w:rsidP="00B463E2">
      <w:pPr>
        <w:spacing w:after="0" w:line="360" w:lineRule="auto"/>
        <w:jc w:val="both"/>
        <w:rPr>
          <w:rFonts w:ascii="Palatino Linotype" w:hAnsi="Palatino Linotype" w:cs="Tahoma"/>
        </w:rPr>
      </w:pPr>
    </w:p>
    <w:p w14:paraId="00B6071F" w14:textId="77777777" w:rsidR="00F34C61" w:rsidRDefault="00F34C61" w:rsidP="00B463E2">
      <w:pPr>
        <w:spacing w:after="0" w:line="360" w:lineRule="auto"/>
        <w:jc w:val="both"/>
        <w:rPr>
          <w:rFonts w:ascii="Palatino Linotype" w:hAnsi="Palatino Linotype" w:cs="Tahoma"/>
        </w:rPr>
      </w:pPr>
    </w:p>
    <w:p w14:paraId="623BF186" w14:textId="77777777" w:rsidR="00F84B95" w:rsidRDefault="00F84B95" w:rsidP="00B463E2">
      <w:pPr>
        <w:spacing w:after="0" w:line="360" w:lineRule="auto"/>
        <w:jc w:val="both"/>
      </w:pPr>
    </w:p>
    <w:sectPr w:rsidR="00F84B95" w:rsidSect="00C15BB2">
      <w:headerReference w:type="default" r:id="rId6"/>
      <w:footerReference w:type="default" r:id="rId7"/>
      <w:pgSz w:w="12240" w:h="15840" w:code="1"/>
      <w:pgMar w:top="2410" w:right="1701" w:bottom="1417" w:left="1701" w:header="426"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4E3B0AD" w14:textId="77777777" w:rsidR="002A1397" w:rsidRDefault="002A1397" w:rsidP="00A80C30">
      <w:pPr>
        <w:spacing w:after="0" w:line="240" w:lineRule="auto"/>
      </w:pPr>
      <w:r>
        <w:separator/>
      </w:r>
    </w:p>
  </w:endnote>
  <w:endnote w:type="continuationSeparator" w:id="0">
    <w:p w14:paraId="0348F552" w14:textId="77777777" w:rsidR="002A1397" w:rsidRDefault="002A1397" w:rsidP="00A80C3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Palatino Linotype">
    <w:panose1 w:val="02040502050505030304"/>
    <w:charset w:val="00"/>
    <w:family w:val="roman"/>
    <w:pitch w:val="variable"/>
    <w:sig w:usb0="E0000287" w:usb1="40000013"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84792261"/>
      <w:docPartObj>
        <w:docPartGallery w:val="Page Numbers (Bottom of Page)"/>
        <w:docPartUnique/>
      </w:docPartObj>
    </w:sdtPr>
    <w:sdtContent>
      <w:sdt>
        <w:sdtPr>
          <w:id w:val="1728636285"/>
          <w:docPartObj>
            <w:docPartGallery w:val="Page Numbers (Top of Page)"/>
            <w:docPartUnique/>
          </w:docPartObj>
        </w:sdtPr>
        <w:sdtContent>
          <w:p w14:paraId="7808C19B" w14:textId="77777777" w:rsidR="00AC333A" w:rsidRDefault="001F75E5">
            <w:pPr>
              <w:pStyle w:val="Piedepgina"/>
              <w:jc w:val="center"/>
            </w:pPr>
            <w:r>
              <w:t xml:space="preserve">Página </w:t>
            </w:r>
            <w:r>
              <w:rPr>
                <w:b/>
                <w:bCs/>
                <w:sz w:val="24"/>
                <w:szCs w:val="24"/>
              </w:rPr>
              <w:fldChar w:fldCharType="begin"/>
            </w:r>
            <w:r>
              <w:rPr>
                <w:b/>
                <w:bCs/>
              </w:rPr>
              <w:instrText>PAGE</w:instrText>
            </w:r>
            <w:r>
              <w:rPr>
                <w:b/>
                <w:bCs/>
                <w:sz w:val="24"/>
                <w:szCs w:val="24"/>
              </w:rPr>
              <w:fldChar w:fldCharType="separate"/>
            </w:r>
            <w:r w:rsidR="009F1959">
              <w:rPr>
                <w:b/>
                <w:bCs/>
                <w:noProof/>
              </w:rPr>
              <w:t>1</w:t>
            </w:r>
            <w:r>
              <w:rPr>
                <w:b/>
                <w:bCs/>
                <w:sz w:val="24"/>
                <w:szCs w:val="24"/>
              </w:rPr>
              <w:fldChar w:fldCharType="end"/>
            </w:r>
            <w:r>
              <w:t xml:space="preserve"> de </w:t>
            </w:r>
            <w:r>
              <w:rPr>
                <w:b/>
                <w:bCs/>
                <w:sz w:val="24"/>
                <w:szCs w:val="24"/>
              </w:rPr>
              <w:fldChar w:fldCharType="begin"/>
            </w:r>
            <w:r>
              <w:rPr>
                <w:b/>
                <w:bCs/>
              </w:rPr>
              <w:instrText>NUMPAGES</w:instrText>
            </w:r>
            <w:r>
              <w:rPr>
                <w:b/>
                <w:bCs/>
                <w:sz w:val="24"/>
                <w:szCs w:val="24"/>
              </w:rPr>
              <w:fldChar w:fldCharType="separate"/>
            </w:r>
            <w:r w:rsidR="009F1959">
              <w:rPr>
                <w:b/>
                <w:bCs/>
                <w:noProof/>
              </w:rPr>
              <w:t>10</w:t>
            </w:r>
            <w:r>
              <w:rPr>
                <w:b/>
                <w:bCs/>
                <w:sz w:val="24"/>
                <w:szCs w:val="24"/>
              </w:rPr>
              <w:fldChar w:fldCharType="end"/>
            </w:r>
          </w:p>
        </w:sdtContent>
      </w:sdt>
    </w:sdtContent>
  </w:sdt>
  <w:p w14:paraId="02F853FE" w14:textId="77777777" w:rsidR="00AC333A" w:rsidRDefault="00000000">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3AC8FB7" w14:textId="77777777" w:rsidR="002A1397" w:rsidRDefault="002A1397" w:rsidP="00A80C30">
      <w:pPr>
        <w:spacing w:after="0" w:line="240" w:lineRule="auto"/>
      </w:pPr>
      <w:r>
        <w:separator/>
      </w:r>
    </w:p>
  </w:footnote>
  <w:footnote w:type="continuationSeparator" w:id="0">
    <w:p w14:paraId="2BA6B68A" w14:textId="77777777" w:rsidR="002A1397" w:rsidRDefault="002A1397" w:rsidP="00A80C3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aconcuadrcula"/>
      <w:tblW w:w="949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119"/>
      <w:gridCol w:w="6379"/>
    </w:tblGrid>
    <w:tr w:rsidR="0077694E" w:rsidRPr="001106EA" w14:paraId="4A0DF44C" w14:textId="77777777" w:rsidTr="00C15BB2">
      <w:trPr>
        <w:trHeight w:val="1843"/>
      </w:trPr>
      <w:tc>
        <w:tcPr>
          <w:tcW w:w="3119" w:type="dxa"/>
          <w:vAlign w:val="bottom"/>
        </w:tcPr>
        <w:p w14:paraId="02CD10AD" w14:textId="77777777" w:rsidR="0077694E" w:rsidRDefault="001F75E5" w:rsidP="00285C7B">
          <w:pPr>
            <w:pStyle w:val="Encabezado"/>
            <w:tabs>
              <w:tab w:val="clear" w:pos="4252"/>
              <w:tab w:val="center" w:pos="2614"/>
            </w:tabs>
            <w:ind w:left="-255"/>
          </w:pPr>
          <w:r>
            <w:rPr>
              <w:noProof/>
              <w:sz w:val="10"/>
              <w:szCs w:val="10"/>
              <w:lang w:val="es-MX" w:eastAsia="es-MX"/>
            </w:rPr>
            <w:drawing>
              <wp:anchor distT="0" distB="0" distL="114300" distR="114300" simplePos="0" relativeHeight="251664384" behindDoc="0" locked="0" layoutInCell="1" allowOverlap="1" wp14:anchorId="135BA6A0" wp14:editId="3E1407A1">
                <wp:simplePos x="0" y="0"/>
                <wp:positionH relativeFrom="column">
                  <wp:posOffset>-329565</wp:posOffset>
                </wp:positionH>
                <wp:positionV relativeFrom="paragraph">
                  <wp:posOffset>-861060</wp:posOffset>
                </wp:positionV>
                <wp:extent cx="1873250" cy="1126490"/>
                <wp:effectExtent l="0" t="0" r="0" b="0"/>
                <wp:wrapNone/>
                <wp:docPr id="12" name="Imagen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tipo Infoem.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873250" cy="1126490"/>
                        </a:xfrm>
                        <a:prstGeom prst="rect">
                          <a:avLst/>
                        </a:prstGeom>
                      </pic:spPr>
                    </pic:pic>
                  </a:graphicData>
                </a:graphic>
                <wp14:sizeRelH relativeFrom="margin">
                  <wp14:pctWidth>0</wp14:pctWidth>
                </wp14:sizeRelH>
                <wp14:sizeRelV relativeFrom="margin">
                  <wp14:pctHeight>0</wp14:pctHeight>
                </wp14:sizeRelV>
              </wp:anchor>
            </w:drawing>
          </w:r>
        </w:p>
        <w:p w14:paraId="10056A8F" w14:textId="77777777" w:rsidR="00285C7B" w:rsidRDefault="00285C7B" w:rsidP="00285C7B">
          <w:pPr>
            <w:pStyle w:val="Encabezado"/>
            <w:tabs>
              <w:tab w:val="clear" w:pos="4252"/>
              <w:tab w:val="center" w:pos="2614"/>
            </w:tabs>
            <w:ind w:left="-255"/>
          </w:pPr>
        </w:p>
      </w:tc>
      <w:tc>
        <w:tcPr>
          <w:tcW w:w="6379" w:type="dxa"/>
          <w:vAlign w:val="center"/>
        </w:tcPr>
        <w:p w14:paraId="3AD59BC9" w14:textId="77777777" w:rsidR="001106EA" w:rsidRPr="00B9745A" w:rsidRDefault="001F75E5" w:rsidP="00285C7B">
          <w:pPr>
            <w:pStyle w:val="Encabezado"/>
            <w:ind w:left="-108" w:right="-250"/>
            <w:jc w:val="both"/>
            <w:rPr>
              <w:rFonts w:ascii="Palatino Linotype" w:hAnsi="Palatino Linotype" w:cs="Tahoma"/>
              <w:b/>
            </w:rPr>
          </w:pPr>
          <w:r w:rsidRPr="00B9745A">
            <w:rPr>
              <w:rFonts w:ascii="Palatino Linotype" w:hAnsi="Palatino Linotype" w:cs="Tahoma"/>
              <w:b/>
            </w:rPr>
            <w:t>Voto Particular</w:t>
          </w:r>
        </w:p>
        <w:p w14:paraId="2FC64277" w14:textId="05DA57A5" w:rsidR="004E5EAD" w:rsidRDefault="001F75E5" w:rsidP="00285C7B">
          <w:pPr>
            <w:pStyle w:val="Encabezado"/>
            <w:ind w:left="-108" w:right="37"/>
            <w:jc w:val="both"/>
            <w:rPr>
              <w:rFonts w:ascii="Palatino Linotype" w:hAnsi="Palatino Linotype"/>
              <w:lang w:val="es-MX"/>
            </w:rPr>
          </w:pPr>
          <w:r w:rsidRPr="00B9745A">
            <w:rPr>
              <w:rFonts w:ascii="Palatino Linotype" w:hAnsi="Palatino Linotype" w:cs="Tahoma"/>
              <w:b/>
            </w:rPr>
            <w:t xml:space="preserve">Recurso de Revisión: </w:t>
          </w:r>
          <w:r w:rsidR="00C15BB2" w:rsidRPr="00C15BB2">
            <w:rPr>
              <w:rFonts w:ascii="Palatino Linotype" w:hAnsi="Palatino Linotype"/>
              <w:lang w:val="es-MX"/>
            </w:rPr>
            <w:t>07832/INFOEM/IP/RR/2022</w:t>
          </w:r>
        </w:p>
        <w:p w14:paraId="63F09DE7" w14:textId="63EE4FE7" w:rsidR="00100065" w:rsidRDefault="001F75E5" w:rsidP="00285C7B">
          <w:pPr>
            <w:pStyle w:val="Encabezado"/>
            <w:ind w:left="-108" w:right="37"/>
            <w:jc w:val="both"/>
            <w:rPr>
              <w:rFonts w:ascii="Palatino Linotype" w:hAnsi="Palatino Linotype"/>
              <w:bCs/>
              <w:lang w:val="es-MX"/>
            </w:rPr>
          </w:pPr>
          <w:r>
            <w:rPr>
              <w:rFonts w:ascii="Palatino Linotype" w:hAnsi="Palatino Linotype" w:cs="Tahoma"/>
              <w:b/>
            </w:rPr>
            <w:t>Sujeto Obligado:</w:t>
          </w:r>
          <w:r w:rsidR="00100065">
            <w:rPr>
              <w:rFonts w:ascii="Palatino Linotype" w:hAnsi="Palatino Linotype"/>
              <w:bCs/>
              <w:lang w:val="es-MX"/>
            </w:rPr>
            <w:t xml:space="preserve"> </w:t>
          </w:r>
          <w:r w:rsidR="00C15BB2" w:rsidRPr="00C15BB2">
            <w:rPr>
              <w:rFonts w:ascii="Palatino Linotype" w:hAnsi="Palatino Linotype"/>
              <w:bCs/>
              <w:lang w:val="es-MX"/>
            </w:rPr>
            <w:t>Ayuntamiento de Temamatla</w:t>
          </w:r>
        </w:p>
        <w:p w14:paraId="20E69C7C" w14:textId="06CCD5CE" w:rsidR="00285C7B" w:rsidRPr="00285C7B" w:rsidRDefault="001F75E5" w:rsidP="00B463E2">
          <w:pPr>
            <w:pStyle w:val="Encabezado"/>
            <w:ind w:left="-108" w:right="-250"/>
            <w:jc w:val="both"/>
            <w:rPr>
              <w:rFonts w:ascii="Palatino Linotype" w:hAnsi="Palatino Linotype"/>
              <w:bCs/>
              <w:lang w:val="es-ES_tradnl"/>
            </w:rPr>
          </w:pPr>
          <w:r w:rsidRPr="00B9745A">
            <w:rPr>
              <w:rFonts w:ascii="Palatino Linotype" w:hAnsi="Palatino Linotype" w:cs="Tahoma"/>
              <w:b/>
            </w:rPr>
            <w:t>Comisionad</w:t>
          </w:r>
          <w:r w:rsidR="0023510C">
            <w:rPr>
              <w:rFonts w:ascii="Palatino Linotype" w:hAnsi="Palatino Linotype" w:cs="Tahoma"/>
              <w:b/>
            </w:rPr>
            <w:t>a</w:t>
          </w:r>
          <w:r w:rsidRPr="00B9745A">
            <w:rPr>
              <w:rFonts w:ascii="Palatino Linotype" w:hAnsi="Palatino Linotype" w:cs="Tahoma"/>
              <w:b/>
            </w:rPr>
            <w:t xml:space="preserve"> Ponente: </w:t>
          </w:r>
          <w:r w:rsidR="00C15BB2" w:rsidRPr="00C15BB2">
            <w:rPr>
              <w:rFonts w:ascii="Palatino Linotype" w:hAnsi="Palatino Linotype" w:cs="Arial"/>
              <w:szCs w:val="20"/>
            </w:rPr>
            <w:t>Sharon Cristina Morales Martínez</w:t>
          </w:r>
        </w:p>
      </w:tc>
    </w:tr>
  </w:tbl>
  <w:p w14:paraId="1461EABE" w14:textId="77777777" w:rsidR="00D55429" w:rsidRPr="001106EA" w:rsidRDefault="00000000">
    <w:pPr>
      <w:pStyle w:val="Encabezado"/>
      <w:rPr>
        <w:sz w:val="2"/>
        <w:szCs w:val="2"/>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80C30"/>
    <w:rsid w:val="00082310"/>
    <w:rsid w:val="000A3E0D"/>
    <w:rsid w:val="000F2A3B"/>
    <w:rsid w:val="00100065"/>
    <w:rsid w:val="00181771"/>
    <w:rsid w:val="001971A0"/>
    <w:rsid w:val="001F75E5"/>
    <w:rsid w:val="0023510C"/>
    <w:rsid w:val="00257C76"/>
    <w:rsid w:val="00285C7B"/>
    <w:rsid w:val="002A1397"/>
    <w:rsid w:val="002D6AB3"/>
    <w:rsid w:val="00304A0F"/>
    <w:rsid w:val="0030677B"/>
    <w:rsid w:val="00314859"/>
    <w:rsid w:val="00352C26"/>
    <w:rsid w:val="003E56C5"/>
    <w:rsid w:val="003F751B"/>
    <w:rsid w:val="00416D98"/>
    <w:rsid w:val="00427F85"/>
    <w:rsid w:val="004412C6"/>
    <w:rsid w:val="004738C3"/>
    <w:rsid w:val="00486BD3"/>
    <w:rsid w:val="00494387"/>
    <w:rsid w:val="004A7A76"/>
    <w:rsid w:val="004C0D87"/>
    <w:rsid w:val="004C7D91"/>
    <w:rsid w:val="004D26F6"/>
    <w:rsid w:val="004E5EAD"/>
    <w:rsid w:val="00506560"/>
    <w:rsid w:val="00506AB5"/>
    <w:rsid w:val="00523136"/>
    <w:rsid w:val="00533E57"/>
    <w:rsid w:val="0054004F"/>
    <w:rsid w:val="00541BAC"/>
    <w:rsid w:val="00543C9A"/>
    <w:rsid w:val="0056435E"/>
    <w:rsid w:val="005974CA"/>
    <w:rsid w:val="00601591"/>
    <w:rsid w:val="006408E2"/>
    <w:rsid w:val="00684986"/>
    <w:rsid w:val="00686864"/>
    <w:rsid w:val="00690441"/>
    <w:rsid w:val="006C2B09"/>
    <w:rsid w:val="00716333"/>
    <w:rsid w:val="00756729"/>
    <w:rsid w:val="007929B1"/>
    <w:rsid w:val="007F32AC"/>
    <w:rsid w:val="00823E1B"/>
    <w:rsid w:val="0083177F"/>
    <w:rsid w:val="00833C20"/>
    <w:rsid w:val="00842979"/>
    <w:rsid w:val="00860125"/>
    <w:rsid w:val="00864A25"/>
    <w:rsid w:val="00894F7D"/>
    <w:rsid w:val="008D79A0"/>
    <w:rsid w:val="008E1028"/>
    <w:rsid w:val="008E2746"/>
    <w:rsid w:val="008F78B8"/>
    <w:rsid w:val="00913F1E"/>
    <w:rsid w:val="00922026"/>
    <w:rsid w:val="00940A65"/>
    <w:rsid w:val="00940F06"/>
    <w:rsid w:val="009550A0"/>
    <w:rsid w:val="00960C5A"/>
    <w:rsid w:val="00961702"/>
    <w:rsid w:val="009710D4"/>
    <w:rsid w:val="00984371"/>
    <w:rsid w:val="009A4BE1"/>
    <w:rsid w:val="009C6B45"/>
    <w:rsid w:val="009C6B85"/>
    <w:rsid w:val="009F1959"/>
    <w:rsid w:val="009F23B2"/>
    <w:rsid w:val="00A07071"/>
    <w:rsid w:val="00A17F80"/>
    <w:rsid w:val="00A21473"/>
    <w:rsid w:val="00A54CCC"/>
    <w:rsid w:val="00A72226"/>
    <w:rsid w:val="00A80C30"/>
    <w:rsid w:val="00A9782A"/>
    <w:rsid w:val="00AA09E0"/>
    <w:rsid w:val="00AF1692"/>
    <w:rsid w:val="00AF7314"/>
    <w:rsid w:val="00AF77D3"/>
    <w:rsid w:val="00B1157F"/>
    <w:rsid w:val="00B4136F"/>
    <w:rsid w:val="00B43526"/>
    <w:rsid w:val="00B463E2"/>
    <w:rsid w:val="00B55282"/>
    <w:rsid w:val="00B80272"/>
    <w:rsid w:val="00BA54EE"/>
    <w:rsid w:val="00C00E77"/>
    <w:rsid w:val="00C15BB2"/>
    <w:rsid w:val="00C60C1A"/>
    <w:rsid w:val="00C75F6B"/>
    <w:rsid w:val="00CB36F3"/>
    <w:rsid w:val="00CC3620"/>
    <w:rsid w:val="00CD7937"/>
    <w:rsid w:val="00D44199"/>
    <w:rsid w:val="00D51BFD"/>
    <w:rsid w:val="00D6254E"/>
    <w:rsid w:val="00DB121C"/>
    <w:rsid w:val="00DD5D61"/>
    <w:rsid w:val="00E253AB"/>
    <w:rsid w:val="00E43FEA"/>
    <w:rsid w:val="00E67710"/>
    <w:rsid w:val="00E678EF"/>
    <w:rsid w:val="00E7322A"/>
    <w:rsid w:val="00E83189"/>
    <w:rsid w:val="00E878DE"/>
    <w:rsid w:val="00EB135A"/>
    <w:rsid w:val="00F04F7C"/>
    <w:rsid w:val="00F1426D"/>
    <w:rsid w:val="00F25630"/>
    <w:rsid w:val="00F2611B"/>
    <w:rsid w:val="00F34C61"/>
    <w:rsid w:val="00F35BFB"/>
    <w:rsid w:val="00F84B95"/>
    <w:rsid w:val="00F95E81"/>
    <w:rsid w:val="00F97AF3"/>
    <w:rsid w:val="00FA184E"/>
    <w:rsid w:val="00FB0274"/>
    <w:rsid w:val="00FB6E2E"/>
    <w:rsid w:val="00FC3DE6"/>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1512E47"/>
  <w15:docId w15:val="{C335D522-6A7F-478C-973C-BD863B81DF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80C30"/>
    <w:rPr>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A80C30"/>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A80C30"/>
    <w:rPr>
      <w:lang w:val="es-ES"/>
    </w:rPr>
  </w:style>
  <w:style w:type="paragraph" w:styleId="Piedepgina">
    <w:name w:val="footer"/>
    <w:basedOn w:val="Normal"/>
    <w:link w:val="PiedepginaCar"/>
    <w:uiPriority w:val="99"/>
    <w:unhideWhenUsed/>
    <w:rsid w:val="00A80C30"/>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A80C30"/>
    <w:rPr>
      <w:lang w:val="es-ES"/>
    </w:rPr>
  </w:style>
  <w:style w:type="table" w:styleId="Tablaconcuadrcula">
    <w:name w:val="Table Grid"/>
    <w:basedOn w:val="Tablanormal"/>
    <w:uiPriority w:val="59"/>
    <w:rsid w:val="00A80C30"/>
    <w:pPr>
      <w:spacing w:after="0" w:line="240" w:lineRule="auto"/>
    </w:pPr>
    <w:rPr>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Textoennegrita">
    <w:name w:val="Strong"/>
    <w:uiPriority w:val="22"/>
    <w:qFormat/>
    <w:rsid w:val="00A80C30"/>
    <w:rPr>
      <w:b/>
      <w:bCs/>
    </w:rPr>
  </w:style>
  <w:style w:type="paragraph" w:styleId="Textodeglobo">
    <w:name w:val="Balloon Text"/>
    <w:basedOn w:val="Normal"/>
    <w:link w:val="TextodegloboCar"/>
    <w:uiPriority w:val="99"/>
    <w:semiHidden/>
    <w:unhideWhenUsed/>
    <w:rsid w:val="00756729"/>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756729"/>
    <w:rPr>
      <w:rFonts w:ascii="Tahoma" w:hAnsi="Tahoma" w:cs="Tahoma"/>
      <w:sz w:val="16"/>
      <w:szCs w:val="16"/>
      <w:lang w:val="es-ES"/>
    </w:rPr>
  </w:style>
  <w:style w:type="character" w:styleId="Hipervnculo">
    <w:name w:val="Hyperlink"/>
    <w:basedOn w:val="Fuentedeprrafopredeter"/>
    <w:uiPriority w:val="99"/>
    <w:unhideWhenUsed/>
    <w:rsid w:val="00756729"/>
    <w:rPr>
      <w:color w:val="0563C1" w:themeColor="hyperlink"/>
      <w:u w:val="single"/>
    </w:rPr>
  </w:style>
  <w:style w:type="paragraph" w:styleId="NormalWeb">
    <w:name w:val="Normal (Web)"/>
    <w:basedOn w:val="Normal"/>
    <w:uiPriority w:val="99"/>
    <w:unhideWhenUsed/>
    <w:rsid w:val="00F84B95"/>
    <w:pPr>
      <w:spacing w:before="100" w:beforeAutospacing="1" w:after="100" w:afterAutospacing="1" w:line="240" w:lineRule="auto"/>
    </w:pPr>
    <w:rPr>
      <w:rFonts w:ascii="Times New Roman" w:eastAsia="Times New Roman" w:hAnsi="Times New Roman" w:cs="Times New Roman"/>
      <w:sz w:val="24"/>
      <w:szCs w:val="24"/>
      <w:lang w:val="es-MX" w:eastAsia="es-MX"/>
    </w:rPr>
  </w:style>
  <w:style w:type="character" w:customStyle="1" w:styleId="normaltextrun">
    <w:name w:val="normaltextrun"/>
    <w:basedOn w:val="Fuentedeprrafopredeter"/>
    <w:rsid w:val="00FC3DE6"/>
  </w:style>
  <w:style w:type="character" w:customStyle="1" w:styleId="eop">
    <w:name w:val="eop"/>
    <w:basedOn w:val="Fuentedeprrafopredeter"/>
    <w:rsid w:val="004C7D9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00924185">
      <w:bodyDiv w:val="1"/>
      <w:marLeft w:val="0"/>
      <w:marRight w:val="0"/>
      <w:marTop w:val="0"/>
      <w:marBottom w:val="0"/>
      <w:divBdr>
        <w:top w:val="none" w:sz="0" w:space="0" w:color="auto"/>
        <w:left w:val="none" w:sz="0" w:space="0" w:color="auto"/>
        <w:bottom w:val="none" w:sz="0" w:space="0" w:color="auto"/>
        <w:right w:val="none" w:sz="0" w:space="0" w:color="auto"/>
      </w:divBdr>
    </w:div>
    <w:div w:id="16495076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10</Pages>
  <Words>2808</Words>
  <Characters>15448</Characters>
  <Application>Microsoft Office Word</Application>
  <DocSecurity>0</DocSecurity>
  <Lines>128</Lines>
  <Paragraphs>36</Paragraphs>
  <ScaleCrop>false</ScaleCrop>
  <HeadingPairs>
    <vt:vector size="2" baseType="variant">
      <vt:variant>
        <vt:lpstr>Título</vt:lpstr>
      </vt:variant>
      <vt:variant>
        <vt:i4>1</vt:i4>
      </vt:variant>
    </vt:vector>
  </HeadingPairs>
  <TitlesOfParts>
    <vt:vector size="1" baseType="lpstr">
      <vt:lpstr/>
    </vt:vector>
  </TitlesOfParts>
  <Company>Hewlett-Packard</Company>
  <LinksUpToDate>false</LinksUpToDate>
  <CharactersWithSpaces>18220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LENOVO</dc:creator>
  <cp:lastModifiedBy>Juan</cp:lastModifiedBy>
  <cp:revision>2</cp:revision>
  <cp:lastPrinted>2022-06-06T17:54:00Z</cp:lastPrinted>
  <dcterms:created xsi:type="dcterms:W3CDTF">2022-12-05T04:38:00Z</dcterms:created>
  <dcterms:modified xsi:type="dcterms:W3CDTF">2022-12-05T04:38:00Z</dcterms:modified>
</cp:coreProperties>
</file>