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27"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spacing w:line="360" w:lineRule="auto"/>
        <w:ind w:right="1117" w:firstLine="682"/>
        <w:rPr/>
      </w:pPr>
      <w:r w:rsidDel="00000000" w:rsidR="00000000" w:rsidRPr="00000000">
        <w:rPr>
          <w:rtl w:val="0"/>
        </w:rPr>
        <w:t xml:space="preserve">VOTO PARTICULAR CONCURRENTE QUE FORMULAN LAS COMISIONADAS GUADALUPE RAMÍREZ PEÑA Y SHARON CRISTINA MORALES MARTÍNEZ, EN RELACIÓN CON LA RESOLUCIÓN DICTADA POR EL PLENO DEL INSTITUTO DE TRANSPARENCIA, ACCESO A LA INFORMACIÓN PÚBLICA Y PROTECCIÓN DE DATOS PERSONALES DEL ESTADO DE MÉXICO Y MUNICIPIOS, EN LA CUADRAGÉSIMA TERCERA SESIÓN ORDINARIA DEL VEINTINUEVE DE NOVIEMBRE DE DOS MIL VEINTITRÉS, EN EL RECURSO DE REVISIÓN 07465/INFOEM/IP/RR/2023.</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360" w:lineRule="auto"/>
        <w:ind w:left="682" w:right="111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las que suscriben emiten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CONCURRENTE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07465/INFOEM/IP/RR/2023</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pronunciada por el Pleno de este Instituto ante el proyecto presentado por el Comisionado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José Martínez Vilchis</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el cual es al tenor siguiente:</w:t>
      </w:r>
    </w:p>
    <w:p w:rsidR="00000000" w:rsidDel="00000000" w:rsidP="00000000" w:rsidRDefault="00000000" w:rsidRPr="00000000" w14:paraId="00000009">
      <w:pPr>
        <w:pStyle w:val="Heading1"/>
        <w:numPr>
          <w:ilvl w:val="0"/>
          <w:numId w:val="1"/>
        </w:numPr>
        <w:tabs>
          <w:tab w:val="left" w:leader="none" w:pos="1401"/>
        </w:tabs>
        <w:spacing w:after="0" w:before="239" w:line="240" w:lineRule="auto"/>
        <w:ind w:left="1401" w:right="0" w:hanging="292"/>
        <w:jc w:val="both"/>
        <w:rPr/>
      </w:pPr>
      <w:r w:rsidDel="00000000" w:rsidR="00000000" w:rsidRPr="00000000">
        <w:rPr>
          <w:rtl w:val="0"/>
        </w:rPr>
        <w:t xml:space="preserve">Antecedentes.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spacing w:before="0" w:line="360" w:lineRule="auto"/>
        <w:ind w:left="682" w:right="1115" w:firstLine="0"/>
        <w:jc w:val="both"/>
        <w:rPr>
          <w:sz w:val="24"/>
          <w:szCs w:val="24"/>
        </w:rPr>
      </w:pPr>
      <w:r w:rsidDel="00000000" w:rsidR="00000000" w:rsidRPr="00000000">
        <w:rPr>
          <w:sz w:val="24"/>
          <w:szCs w:val="24"/>
          <w:rtl w:val="0"/>
        </w:rPr>
        <w:t xml:space="preserve">En el asunto que nos ocupa, la parte </w:t>
      </w:r>
      <w:r w:rsidDel="00000000" w:rsidR="00000000" w:rsidRPr="00000000">
        <w:rPr>
          <w:b w:val="1"/>
          <w:sz w:val="24"/>
          <w:szCs w:val="24"/>
          <w:rtl w:val="0"/>
        </w:rPr>
        <w:t xml:space="preserve">Recurrente </w:t>
      </w:r>
      <w:r w:rsidDel="00000000" w:rsidR="00000000" w:rsidRPr="00000000">
        <w:rPr>
          <w:sz w:val="24"/>
          <w:szCs w:val="24"/>
          <w:rtl w:val="0"/>
        </w:rPr>
        <w:t xml:space="preserve">solicitó al </w:t>
      </w:r>
      <w:r w:rsidDel="00000000" w:rsidR="00000000" w:rsidRPr="00000000">
        <w:rPr>
          <w:b w:val="1"/>
          <w:sz w:val="24"/>
          <w:szCs w:val="24"/>
          <w:rtl w:val="0"/>
        </w:rPr>
        <w:t xml:space="preserve">Sujeto Obligado</w:t>
      </w:r>
      <w:r w:rsidDel="00000000" w:rsidR="00000000" w:rsidRPr="00000000">
        <w:rPr>
          <w:sz w:val="24"/>
          <w:szCs w:val="24"/>
          <w:rtl w:val="0"/>
        </w:rPr>
        <w:t xml:space="preserve">, le proporcionará la siguiente información:</w:t>
      </w:r>
    </w:p>
    <w:p w:rsidR="00000000" w:rsidDel="00000000" w:rsidP="00000000" w:rsidRDefault="00000000" w:rsidRPr="00000000" w14:paraId="0000000C">
      <w:pPr>
        <w:spacing w:before="241" w:line="256" w:lineRule="auto"/>
        <w:ind w:left="1531" w:right="1063" w:firstLine="0"/>
        <w:jc w:val="left"/>
        <w:rPr>
          <w:i w:val="1"/>
          <w:sz w:val="22"/>
          <w:szCs w:val="22"/>
        </w:rPr>
      </w:pPr>
      <w:r w:rsidDel="00000000" w:rsidR="00000000" w:rsidRPr="00000000">
        <w:rPr>
          <w:i w:val="1"/>
          <w:sz w:val="22"/>
          <w:szCs w:val="22"/>
          <w:rtl w:val="0"/>
        </w:rPr>
        <w:t xml:space="preserve">“Proporcione el Curriculum Vitae de la Primera Síndico Emma Laura Álvarez Villavicencio, las percepciones brutas y netas que percibe por su cargo, así como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spacing w:before="0" w:lineRule="auto"/>
        <w:ind w:left="0" w:right="1116" w:firstLine="0"/>
        <w:jc w:val="right"/>
        <w:rPr>
          <w:rFonts w:ascii="Times New Roman" w:cs="Times New Roman" w:eastAsia="Times New Roman" w:hAnsi="Times New Roman"/>
          <w:b w:val="1"/>
          <w:sz w:val="20"/>
          <w:szCs w:val="20"/>
        </w:rPr>
        <w:sectPr>
          <w:pgSz w:h="15840" w:w="12240" w:orient="portrait"/>
          <w:pgMar w:bottom="280" w:top="280" w:left="1020" w:right="580" w:header="360" w:footer="360"/>
          <w:pgNumType w:start="1"/>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1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32"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spacing w:before="0" w:line="256" w:lineRule="auto"/>
        <w:ind w:left="1531" w:right="2105" w:firstLine="0"/>
        <w:jc w:val="both"/>
        <w:rPr>
          <w:i w:val="1"/>
          <w:sz w:val="22"/>
          <w:szCs w:val="22"/>
        </w:rPr>
      </w:pPr>
      <w:r w:rsidDel="00000000" w:rsidR="00000000" w:rsidRPr="00000000">
        <w:rPr>
          <w:i w:val="1"/>
          <w:sz w:val="22"/>
          <w:szCs w:val="22"/>
          <w:rtl w:val="0"/>
        </w:rPr>
        <w:t xml:space="preserve">la lista de servidores públicos adscritos a su Sindicatura, sus percepciones netas y brutas, señalar el tipo de vehículo proporcionado el ayuntamiento asignado a dciha síndico y el monto económico que se otorga para el combustible de éste” (sic)</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 w:line="360" w:lineRule="auto"/>
        <w:ind w:left="682" w:right="1167"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respuesta,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 través de la Unidad de Transparencia, hizo del conocimiento de la persona solicitante el pronunciamiento emitido por la Dirección General de Administración, área que, de conformidad con la información proporcionada por el Departamento de Nómina y Administración de Personal, proporcionó la relación de los servidores públicos adscritos a la Primera Sindicatura, que contiene nombre, categoría, sueldo bruto y sueldo neto; así como la Ficha curricular de la Primera </w:t>
      </w:r>
      <w:r w:rsidDel="00000000" w:rsidR="00000000" w:rsidRPr="00000000">
        <w:rPr>
          <w:sz w:val="24"/>
          <w:szCs w:val="24"/>
          <w:rtl w:val="0"/>
        </w:rPr>
        <w:t xml:space="preserve">síndica</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municipal, que contiene datos generales, medio de contacto, escolaridad y experiencia laboral.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360" w:lineRule="auto"/>
        <w:ind w:left="682" w:right="117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Asimismo, la Titular de la Unidad de Transparencia refirió que la Dirección de Servicios Públicos informó que la Primera Síndico cuenta con un suministro mensual de combustible de $8,000.00 pesos.</w:t>
      </w:r>
    </w:p>
    <w:p w:rsidR="00000000" w:rsidDel="00000000" w:rsidP="00000000" w:rsidRDefault="00000000" w:rsidRPr="00000000" w14:paraId="0000001C">
      <w:pPr>
        <w:spacing w:before="240" w:line="360" w:lineRule="auto"/>
        <w:ind w:left="682" w:right="1168" w:firstLine="0"/>
        <w:jc w:val="both"/>
        <w:rPr>
          <w:i w:val="1"/>
          <w:sz w:val="22"/>
          <w:szCs w:val="22"/>
        </w:rPr>
      </w:pPr>
      <w:r w:rsidDel="00000000" w:rsidR="00000000" w:rsidRPr="00000000">
        <w:rPr>
          <w:sz w:val="24"/>
          <w:szCs w:val="24"/>
          <w:rtl w:val="0"/>
        </w:rPr>
        <w:t xml:space="preserve">Conocida la respuesta emitida, al no estar conforme con los términos de la misma, la persona solicitante presentó el recurso de revisión que se resolvió, mediante el cual alegó “</w:t>
      </w:r>
      <w:r w:rsidDel="00000000" w:rsidR="00000000" w:rsidRPr="00000000">
        <w:rPr>
          <w:i w:val="1"/>
          <w:sz w:val="22"/>
          <w:szCs w:val="22"/>
          <w:rtl w:val="0"/>
        </w:rPr>
        <w:t xml:space="preserve">La respuesta proporcionada no colma los extremos de la solicitud de información pública porque sólo se proporcionó el curriculum de la </w:t>
      </w:r>
      <w:r w:rsidDel="00000000" w:rsidR="00000000" w:rsidRPr="00000000">
        <w:rPr>
          <w:i w:val="1"/>
          <w:rtl w:val="0"/>
        </w:rPr>
        <w:t xml:space="preserve">Síndico</w:t>
      </w:r>
      <w:r w:rsidDel="00000000" w:rsidR="00000000" w:rsidRPr="00000000">
        <w:rPr>
          <w:i w:val="1"/>
          <w:sz w:val="22"/>
          <w:szCs w:val="22"/>
          <w:rtl w:val="0"/>
        </w:rPr>
        <w:t xml:space="preserve"> en cuestión y no se dio respuesta a los demás requerimientos” (sic)</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11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Admitido el recurso de revisión, en términos del artículo 185 fracción II de la Ley de Transparencia y Acceso a la Información Pública del Estado de México y Municipios,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spacing w:before="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2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33"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11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se integró el expediente y se puso a disposición de las partes para que, en un plazo máximo de siete días hábiles, manifestaran lo que a su derecho resultara conveniente.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362" w:lineRule="auto"/>
        <w:ind w:left="682" w:right="1118"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así, que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uso de su derecho y en atención a los motivos de inconformidad manifestados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ratificó en sus términos la respuesta proporcionada en primera instancia.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 w:line="360" w:lineRule="auto"/>
        <w:ind w:left="682" w:right="1115"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las cosas, el Instituto consideró que las razones o motivos de inconformidad hechos valer por la parte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resultaban parcialmente fundados, y determinó modificar la respuesta del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ordenando la entrega de lo siguiente:</w:t>
      </w:r>
    </w:p>
    <w:p w:rsidR="00000000" w:rsidDel="00000000" w:rsidP="00000000" w:rsidRDefault="00000000" w:rsidRPr="00000000" w14:paraId="0000002A">
      <w:pPr>
        <w:spacing w:before="236" w:lineRule="auto"/>
        <w:ind w:left="1534" w:right="2015" w:firstLine="0"/>
        <w:jc w:val="both"/>
        <w:rPr>
          <w:i w:val="1"/>
          <w:sz w:val="22"/>
          <w:szCs w:val="22"/>
        </w:rPr>
      </w:pPr>
      <w:r w:rsidDel="00000000" w:rsidR="00000000" w:rsidRPr="00000000">
        <w:rPr>
          <w:i w:val="1"/>
          <w:sz w:val="22"/>
          <w:szCs w:val="22"/>
          <w:rtl w:val="0"/>
        </w:rPr>
        <w:t xml:space="preserve">“</w:t>
      </w:r>
      <w:r w:rsidDel="00000000" w:rsidR="00000000" w:rsidRPr="00000000">
        <w:rPr>
          <w:b w:val="1"/>
          <w:i w:val="1"/>
          <w:sz w:val="22"/>
          <w:szCs w:val="22"/>
          <w:rtl w:val="0"/>
        </w:rPr>
        <w:t xml:space="preserve">SEGUNDO. </w:t>
      </w:r>
      <w:r w:rsidDel="00000000" w:rsidR="00000000" w:rsidRPr="00000000">
        <w:rPr>
          <w:i w:val="1"/>
          <w:sz w:val="22"/>
          <w:szCs w:val="22"/>
          <w:rtl w:val="0"/>
        </w:rPr>
        <w:t xml:space="preserve">Se </w:t>
      </w:r>
      <w:r w:rsidDel="00000000" w:rsidR="00000000" w:rsidRPr="00000000">
        <w:rPr>
          <w:b w:val="1"/>
          <w:i w:val="1"/>
          <w:sz w:val="22"/>
          <w:szCs w:val="22"/>
          <w:rtl w:val="0"/>
        </w:rPr>
        <w:t xml:space="preserve">ORDENA </w:t>
      </w:r>
      <w:r w:rsidDel="00000000" w:rsidR="00000000" w:rsidRPr="00000000">
        <w:rPr>
          <w:i w:val="1"/>
          <w:sz w:val="22"/>
          <w:szCs w:val="22"/>
          <w:rtl w:val="0"/>
        </w:rPr>
        <w:t xml:space="preserve">al </w:t>
      </w:r>
      <w:r w:rsidDel="00000000" w:rsidR="00000000" w:rsidRPr="00000000">
        <w:rPr>
          <w:b w:val="1"/>
          <w:i w:val="1"/>
          <w:sz w:val="22"/>
          <w:szCs w:val="22"/>
          <w:rtl w:val="0"/>
        </w:rPr>
        <w:t xml:space="preserve">SUJETO OBLIGADO </w:t>
      </w:r>
      <w:r w:rsidDel="00000000" w:rsidR="00000000" w:rsidRPr="00000000">
        <w:rPr>
          <w:i w:val="1"/>
          <w:sz w:val="22"/>
          <w:szCs w:val="22"/>
          <w:rtl w:val="0"/>
        </w:rPr>
        <w:t xml:space="preserve">realizar una búsqueda exhaustiva y razonable a fin de entregar al </w:t>
      </w:r>
      <w:r w:rsidDel="00000000" w:rsidR="00000000" w:rsidRPr="00000000">
        <w:rPr>
          <w:b w:val="1"/>
          <w:i w:val="1"/>
          <w:sz w:val="22"/>
          <w:szCs w:val="22"/>
          <w:rtl w:val="0"/>
        </w:rPr>
        <w:t xml:space="preserve">RECURRENTE </w:t>
      </w:r>
      <w:r w:rsidDel="00000000" w:rsidR="00000000" w:rsidRPr="00000000">
        <w:rPr>
          <w:i w:val="1"/>
          <w:sz w:val="22"/>
          <w:szCs w:val="22"/>
          <w:rtl w:val="0"/>
        </w:rPr>
        <w:t xml:space="preserve">en términos del Considerando </w:t>
      </w:r>
      <w:r w:rsidDel="00000000" w:rsidR="00000000" w:rsidRPr="00000000">
        <w:rPr>
          <w:b w:val="1"/>
          <w:i w:val="1"/>
          <w:sz w:val="22"/>
          <w:szCs w:val="22"/>
          <w:rtl w:val="0"/>
        </w:rPr>
        <w:t xml:space="preserve">CUARTO </w:t>
      </w:r>
      <w:r w:rsidDel="00000000" w:rsidR="00000000" w:rsidRPr="00000000">
        <w:rPr>
          <w:i w:val="1"/>
          <w:sz w:val="22"/>
          <w:szCs w:val="22"/>
          <w:rtl w:val="0"/>
        </w:rPr>
        <w:t xml:space="preserve">de esta resolución</w:t>
      </w:r>
      <w:r w:rsidDel="00000000" w:rsidR="00000000" w:rsidRPr="00000000">
        <w:rPr>
          <w:b w:val="1"/>
          <w:i w:val="1"/>
          <w:sz w:val="22"/>
          <w:szCs w:val="22"/>
          <w:rtl w:val="0"/>
        </w:rPr>
        <w:t xml:space="preserve">, </w:t>
      </w:r>
      <w:r w:rsidDel="00000000" w:rsidR="00000000" w:rsidRPr="00000000">
        <w:rPr>
          <w:i w:val="1"/>
          <w:sz w:val="22"/>
          <w:szCs w:val="22"/>
          <w:rtl w:val="0"/>
        </w:rPr>
        <w:t xml:space="preserve">en versión pública de ser procedente, a través del Sistema de Acceso a la Información Mexiquense </w:t>
      </w:r>
      <w:r w:rsidDel="00000000" w:rsidR="00000000" w:rsidRPr="00000000">
        <w:rPr>
          <w:b w:val="1"/>
          <w:i w:val="1"/>
          <w:sz w:val="22"/>
          <w:szCs w:val="22"/>
          <w:rtl w:val="0"/>
        </w:rPr>
        <w:t xml:space="preserve">(SAIMEX), </w:t>
      </w:r>
      <w:r w:rsidDel="00000000" w:rsidR="00000000" w:rsidRPr="00000000">
        <w:rPr>
          <w:i w:val="1"/>
          <w:sz w:val="22"/>
          <w:szCs w:val="22"/>
          <w:rtl w:val="0"/>
        </w:rPr>
        <w:t xml:space="preserve">de lo siguiente:</w:t>
      </w:r>
    </w:p>
    <w:p w:rsidR="00000000" w:rsidDel="00000000" w:rsidP="00000000" w:rsidRDefault="00000000" w:rsidRPr="00000000" w14:paraId="0000002B">
      <w:pPr>
        <w:spacing w:before="122" w:lineRule="auto"/>
        <w:ind w:left="1814" w:right="2020" w:firstLine="0"/>
        <w:jc w:val="both"/>
        <w:rPr>
          <w:i w:val="1"/>
          <w:sz w:val="22"/>
          <w:szCs w:val="22"/>
        </w:rPr>
      </w:pPr>
      <w:r w:rsidDel="00000000" w:rsidR="00000000" w:rsidRPr="00000000">
        <w:rPr>
          <w:i w:val="1"/>
          <w:sz w:val="22"/>
          <w:szCs w:val="22"/>
          <w:rtl w:val="0"/>
        </w:rPr>
        <w:t xml:space="preserve">1. El o los documentos donde conste el tipo de vehículo proporcionado a la primera sindico Emma Laura Álvarez Villavicencio, al diecinueve de septiembre de dos mil veintitrés.</w:t>
      </w:r>
    </w:p>
    <w:p w:rsidR="00000000" w:rsidDel="00000000" w:rsidP="00000000" w:rsidRDefault="00000000" w:rsidRPr="00000000" w14:paraId="0000002C">
      <w:pPr>
        <w:spacing w:before="120" w:lineRule="auto"/>
        <w:ind w:left="1534" w:right="2019" w:firstLine="0"/>
        <w:jc w:val="both"/>
        <w:rPr>
          <w:i w:val="1"/>
          <w:sz w:val="22"/>
          <w:szCs w:val="22"/>
        </w:rPr>
      </w:pPr>
      <w:r w:rsidDel="00000000" w:rsidR="00000000" w:rsidRPr="00000000">
        <w:rPr>
          <w:i w:val="1"/>
          <w:sz w:val="22"/>
          <w:szCs w:val="22"/>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00000" w:rsidDel="00000000" w:rsidP="00000000" w:rsidRDefault="00000000" w:rsidRPr="00000000" w14:paraId="0000002D">
      <w:pPr>
        <w:spacing w:before="119" w:lineRule="auto"/>
        <w:ind w:left="1534" w:right="2022" w:firstLine="0"/>
        <w:jc w:val="both"/>
        <w:rPr>
          <w:i w:val="1"/>
          <w:sz w:val="22"/>
          <w:szCs w:val="22"/>
        </w:rPr>
      </w:pPr>
      <w:r w:rsidDel="00000000" w:rsidR="00000000" w:rsidRPr="00000000">
        <w:rPr>
          <w:i w:val="1"/>
          <w:sz w:val="22"/>
          <w:szCs w:val="22"/>
          <w:rtl w:val="0"/>
        </w:rPr>
        <w:t xml:space="preserve">Una vez realizada la búsqueda exhaustiva y razonable, para el caso de no contar con la información bastará con que lo haga del conocimiento al Recurrente.”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3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31"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numPr>
          <w:ilvl w:val="0"/>
          <w:numId w:val="1"/>
        </w:numPr>
        <w:tabs>
          <w:tab w:val="left" w:leader="none" w:pos="1759"/>
        </w:tabs>
        <w:spacing w:after="0" w:before="0" w:line="240" w:lineRule="auto"/>
        <w:ind w:left="1759" w:right="0" w:hanging="718"/>
        <w:jc w:val="both"/>
        <w:rPr/>
      </w:pPr>
      <w:r w:rsidDel="00000000" w:rsidR="00000000" w:rsidRPr="00000000">
        <w:rPr>
          <w:rtl w:val="0"/>
        </w:rPr>
        <w:t xml:space="preserve">Razones del Voto Particular Concurrente.</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360" w:lineRule="auto"/>
        <w:ind w:left="682" w:right="12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 bien se coincide con la decisión adoptada por el Pleno de este Organismo Garante, también se advierte que la información que se ordena puede contener datos que a consideración de las suscritas debe clasificarse como información reservada, concretamente respecto del número de placa del vehículo oficial del Sujeto Obligado, asignado a la Primera Síndico.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6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ese sentido, se considera que los datos de identificación de los vehículos, concretamente respecto del número de placa vinculado con el nombre del servidor público que lo tiene bajo su uso, se trata de información que hace plenamente identificable a un vehículo, siendo altamente posible identificar también a sus tripulantes.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6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Lo anterior, conforme a lo establecido en la Ley de Transparencia y Acceso a la Información Pública del Estado de México y Municipios, ya que prevé que la clasificación de la información es el proceso mediante el cual el Sujeto Obligado determina que la información en su poder, actualiza alguno de los supuestos de reserva o confidencialidad.</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63"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el entendido de que la clasificación de la información se llevará a cabo en el momento en que se reciba una solicitud de acceso a la información, se determine mediante resolución de autoridad competente o se generen versiones públicas para dar cumplimiento a las obligaciones de transparencia previstas en la ley.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pacing w:before="1"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4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25"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5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Así, excepcionalmente por razones de interés público, se clasificará como reservada aquella información pública que encuadre en alguno de los supuestos previstos en el artículo 140 de la Ley de la materia, y que para el caso concreto se actualiza el previsto en la fracción IV, esto es ponga en riesgo la vida, seguridad o la salud de una persona física.</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66"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tanto que se clasificará como información confidencial, entre otras y atendiendo al caso que nos ocupa, la información privada, datos personales concernientes a una persona física o jurídico colectiva identificada o identificable.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62"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 acuerdo con lo anterior y conforme a las actuaciones que integran el expediente electrónico y atendiendo la naturaleza jurídica del documento enviado, contiene datos de identificación de vehículos que son utilizados por servidores públicos adscritos al Sujeto Obligado para el desarrollo de sus funciones; información que a criterio de la mayoría de los integrantes del Pleno, se trata de datos que deben dejarse visibles, por lo que, no se pronunció al respecto.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de precisar que consideramos que el número de placas es reservado si se vincula con el nombre del servidor público que lo tiene bajo su uso, toda vez que los vehículos, con independencia de que sean particulares o pertenezcan al parque vehicular del Sujeto Obligado y son utilizados para el desarrollo de las actividades de su personal que ostentan cargos de Dirección, mandos medios y/o superiores, que, a diferencia de cualquier otro vehículo utilitario, en ellos asisten a eventos públicos derivados de sus funciones y se trasladan de sus oficinas a sus domicilios.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5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29"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spacing w:before="0" w:line="360" w:lineRule="auto"/>
        <w:ind w:left="682" w:right="1259" w:firstLine="0"/>
        <w:jc w:val="both"/>
        <w:rPr>
          <w:b w:val="1"/>
          <w:sz w:val="24"/>
          <w:szCs w:val="24"/>
        </w:rPr>
      </w:pPr>
      <w:r w:rsidDel="00000000" w:rsidR="00000000" w:rsidRPr="00000000">
        <w:rPr>
          <w:sz w:val="24"/>
          <w:szCs w:val="24"/>
          <w:rtl w:val="0"/>
        </w:rPr>
        <w:t xml:space="preserve">Por lo que, consideramos que proporcionar la información de identificación de un vehículo como el número de placas si se vincula con el nombre del servidor público que lo tiene bajo su uso, </w:t>
      </w:r>
      <w:r w:rsidDel="00000000" w:rsidR="00000000" w:rsidRPr="00000000">
        <w:rPr>
          <w:b w:val="1"/>
          <w:sz w:val="24"/>
          <w:szCs w:val="24"/>
          <w:u w:val="single"/>
          <w:rtl w:val="0"/>
        </w:rPr>
        <w:t xml:space="preserve">aun perteneciendo al servicio público, atenta contra la</w:t>
      </w:r>
      <w:r w:rsidDel="00000000" w:rsidR="00000000" w:rsidRPr="00000000">
        <w:rPr>
          <w:b w:val="1"/>
          <w:sz w:val="24"/>
          <w:szCs w:val="24"/>
          <w:rtl w:val="0"/>
        </w:rPr>
        <w:t xml:space="preserve"> </w:t>
      </w:r>
      <w:r w:rsidDel="00000000" w:rsidR="00000000" w:rsidRPr="00000000">
        <w:rPr>
          <w:b w:val="1"/>
          <w:sz w:val="24"/>
          <w:szCs w:val="24"/>
          <w:u w:val="single"/>
          <w:rtl w:val="0"/>
        </w:rPr>
        <w:t xml:space="preserve">seguridad de los servidores públicos que en ellos se trasladan, máxime de</w:t>
      </w:r>
      <w:r w:rsidDel="00000000" w:rsidR="00000000" w:rsidRPr="00000000">
        <w:rPr>
          <w:b w:val="1"/>
          <w:sz w:val="24"/>
          <w:szCs w:val="24"/>
          <w:rtl w:val="0"/>
        </w:rPr>
        <w:t xml:space="preserve"> </w:t>
      </w:r>
      <w:r w:rsidDel="00000000" w:rsidR="00000000" w:rsidRPr="00000000">
        <w:rPr>
          <w:b w:val="1"/>
          <w:sz w:val="24"/>
          <w:szCs w:val="24"/>
          <w:u w:val="single"/>
          <w:rtl w:val="0"/>
        </w:rPr>
        <w:t xml:space="preserve">aquellos que a nivel Estatal representan a la autoridad; incluso, se pone en riesgo</w:t>
      </w:r>
      <w:r w:rsidDel="00000000" w:rsidR="00000000" w:rsidRPr="00000000">
        <w:rPr>
          <w:b w:val="1"/>
          <w:sz w:val="24"/>
          <w:szCs w:val="24"/>
          <w:rtl w:val="0"/>
        </w:rPr>
        <w:t xml:space="preserve"> </w:t>
      </w:r>
      <w:r w:rsidDel="00000000" w:rsidR="00000000" w:rsidRPr="00000000">
        <w:rPr>
          <w:b w:val="1"/>
          <w:sz w:val="24"/>
          <w:szCs w:val="24"/>
          <w:u w:val="single"/>
          <w:rtl w:val="0"/>
        </w:rPr>
        <w:t xml:space="preserve">a su familia, al vulnerar su esfera privada.</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61"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Aunado a las condiciones socioeconómicas por las que atraviesa el país, en el que han proliferado grupos delictivos, que pudieran utilizar esa información para vulnerar la vida, seguridad o salud de dicho funcionario, de sus familias o entorno social, aumentando, incluso, el riesgo de que personas ajenas a los intereses institucionales intenten realizar actos para inhibir o entrometerse en la función pública, situación que puede corroborarse con la incidencia delictiva, que publica el Secretariado Ejecutivo del Sistema Nacional de Seguridad Pública, en el que en lo toral éste concentra la ocurrencia de delitos registrados en Carpetas de Investigación, reportadas por las Procuradurías de Justicia y las Fiscalías Generales de las entidades federativas, en el caso del fuero común y la Fiscalía General de la República en el fuero federal.</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 w:line="360" w:lineRule="auto"/>
        <w:ind w:left="682" w:right="1261"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Sirve de apoyo a lo anterior, el Criterio 9/2008 que sustenta por unanimidad de votos, el Comité de Acceso a la Información y de Protección de Datos Personales de la Suprema Corte de Justicia de la Nación, que cuenta con el siguiente rubro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SERVIDORES PÚBLICOS DE LA SUPREMA CORTE DE JUSTICIA DE LA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6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28"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spacing w:line="360" w:lineRule="auto"/>
        <w:ind w:right="1260" w:firstLine="682"/>
        <w:rPr>
          <w:sz w:val="24"/>
          <w:szCs w:val="24"/>
        </w:rPr>
      </w:pPr>
      <w:r w:rsidDel="00000000" w:rsidR="00000000" w:rsidRPr="00000000">
        <w:rPr>
          <w:rtl w:val="0"/>
        </w:rPr>
        <w:t xml:space="preserve">NACIÓN. LA INFORMACIÓN RELATIVA A LOS VEHÍCULOS QUE LES SON ASIGNADOS ES PÚBLICA SALVO POR LO QUE SE REFIERE A LOS DATOS QUE PERMITAN IDENTIFICAR CUÁL CORRESPONDE A CADA UNO DE </w:t>
      </w:r>
      <w:r w:rsidDel="00000000" w:rsidR="00000000" w:rsidRPr="00000000">
        <w:rPr>
          <w:b w:val="1"/>
          <w:sz w:val="24"/>
          <w:szCs w:val="24"/>
          <w:rtl w:val="0"/>
        </w:rPr>
        <w:t xml:space="preserve">ELLOS, </w:t>
      </w:r>
      <w:r w:rsidDel="00000000" w:rsidR="00000000" w:rsidRPr="00000000">
        <w:rPr>
          <w:sz w:val="24"/>
          <w:szCs w:val="24"/>
          <w:rtl w:val="0"/>
        </w:rPr>
        <w:t xml:space="preserve">la cual señala:</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spacing w:before="0" w:line="240" w:lineRule="auto"/>
        <w:ind w:left="1534" w:right="2016" w:firstLine="0"/>
        <w:jc w:val="both"/>
        <w:rPr>
          <w:i w:val="1"/>
          <w:sz w:val="22"/>
          <w:szCs w:val="22"/>
        </w:rPr>
      </w:pPr>
      <w:r w:rsidDel="00000000" w:rsidR="00000000" w:rsidRPr="00000000">
        <w:rPr>
          <w:i w:val="1"/>
          <w:sz w:val="22"/>
          <w:szCs w:val="22"/>
          <w:rtl w:val="0"/>
        </w:rPr>
        <w:t xml:space="preserve">“La asignación de vehículos a los servidores públicos de la Suprema Corte de Justicia de la Nación constituye un apoyo que se otorga para coadyuvar en el desempeño de sus funciones y cumplimiento de sus responsabilidades; además, tal apoyo se sujeta al presupuesto autorizado y se ejerce en afectación al mismo. En este sentido, los registros administrativos en que consten los datos inherentes a la asignación de vehículos a dichos servidores públicos (marcas y modelos de autos asignados, así como las fechas de asignación y el kilometraje registrado al momento de la misma), en razón del ejercicio de su cargo, son públicos, en términos de lo dispuesto en los artículos 2° y 7°, fracciones IV y IX, de la Ley Federal de Transparencia y Acceso a la Información Pública Gubernamental. No obstante, </w:t>
      </w:r>
      <w:r w:rsidDel="00000000" w:rsidR="00000000" w:rsidRPr="00000000">
        <w:rPr>
          <w:b w:val="1"/>
          <w:i w:val="1"/>
          <w:sz w:val="22"/>
          <w:szCs w:val="22"/>
          <w:rtl w:val="0"/>
        </w:rPr>
        <w:t xml:space="preserve">la naturaleza pública de esta información no debe entenderse de manera absoluta, ya que encuentra su excepción respecto del dato consistente en el nombre de los mencionados servidores públicos, pues al relacionarse con los datos del vehículo o vehículos de su asignación, constituye un dato relevante y trascendente en su vida privada, pues los autos que se les otorgan son usados por ellos en apoyo del ejercicio de sus funciones y responsabilidades, las cuales pueden desarrollarse conjuntamente con sus actividades personales y/o privadas</w:t>
      </w:r>
      <w:r w:rsidDel="00000000" w:rsidR="00000000" w:rsidRPr="00000000">
        <w:rPr>
          <w:i w:val="1"/>
          <w:sz w:val="22"/>
          <w:szCs w:val="22"/>
          <w:rtl w:val="0"/>
        </w:rPr>
        <w:t xml:space="preserve">. Por lo tanto, el dato de su nombre relacionado con el de los vehículos de su asignación constituye un dato personal que trasciende a su vida privada que debe ser objeto de protección, ya que su difusión pondría en riesgo el derecho fundamental a la vida privada.”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360" w:lineRule="auto"/>
        <w:ind w:left="682" w:right="1264"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criterio en cita, se advierte que no debe proporcionarse el número de placa de los vehículos oficiales que utilizan los servidores públicos si se vincula con el nombre del servidor público que lo tiene bajo su uso, por hacerlos identificables y trascender a su vida privada, garantizando con ello su protección.</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7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Pr>
        <w:drawing>
          <wp:anchor allowOverlap="1" behindDoc="1" distB="0" distT="0" distL="0" distR="0" hidden="0" layoutInCell="1" locked="0" relativeHeight="0" simplePos="0">
            <wp:simplePos x="0" y="0"/>
            <wp:positionH relativeFrom="page">
              <wp:posOffset>1028287</wp:posOffset>
            </wp:positionH>
            <wp:positionV relativeFrom="page">
              <wp:posOffset>174034</wp:posOffset>
            </wp:positionV>
            <wp:extent cx="6152925" cy="9600901"/>
            <wp:effectExtent b="0" l="0" r="0" t="0"/>
            <wp:wrapNone/>
            <wp:docPr descr="Imagen que contiene Gráfico de burbujas  Descripción generada automáticamente" id="26" name="image2.jpg"/>
            <a:graphic>
              <a:graphicData uri="http://schemas.openxmlformats.org/drawingml/2006/picture">
                <pic:pic>
                  <pic:nvPicPr>
                    <pic:cNvPr descr="Imagen que contiene Gráfico de burbujas  Descripción generada automáticamente" id="0" name="image2.jpg"/>
                    <pic:cNvPicPr preferRelativeResize="0"/>
                  </pic:nvPicPr>
                  <pic:blipFill>
                    <a:blip r:embed="rId7"/>
                    <a:srcRect b="0" l="0" r="0" t="0"/>
                    <a:stretch>
                      <a:fillRect/>
                    </a:stretch>
                  </pic:blipFill>
                  <pic:spPr>
                    <a:xfrm>
                      <a:off x="0" y="0"/>
                      <a:ext cx="6152925" cy="9600901"/>
                    </a:xfrm>
                    <a:prstGeom prst="rect"/>
                    <a:ln/>
                  </pic:spPr>
                </pic:pic>
              </a:graphicData>
            </a:graphic>
          </wp:anchor>
        </w:drawing>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spacing w:before="0" w:lineRule="auto"/>
        <w:ind w:left="4587" w:right="1063" w:firstLine="1255.0000000000005"/>
        <w:jc w:val="left"/>
        <w:rPr>
          <w:b w:val="1"/>
          <w:sz w:val="20"/>
          <w:szCs w:val="20"/>
        </w:rPr>
      </w:pPr>
      <w:r w:rsidDel="00000000" w:rsidR="00000000" w:rsidRPr="00000000">
        <w:rPr>
          <w:b w:val="1"/>
          <w:sz w:val="20"/>
          <w:szCs w:val="20"/>
          <w:rtl w:val="0"/>
        </w:rPr>
        <w:t xml:space="preserve">VOTO PARTICULAR CONCURRENTE RECURSO DE REVISIÓN 07465/INFOEM/IP/RR/2022</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 w:line="240" w:lineRule="auto"/>
        <w:ind w:left="0" w:right="0" w:firstLine="0"/>
        <w:jc w:val="left"/>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682" w:right="126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las razones expuestas se emite el presente Voto Particular, pues consideramos que debe reservarse del número de placa de los vehículos al vincularse con el nombre del servidor público que lo tiene bajo su uso, en los documentos que proporcionó al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Sujeto Obligado</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al corresponder con información que, por su naturaleza, trasciende en su vida privada, cuyo ámbito de protección es mucho más amplio, al ponderar los derechos que se protegen con la reserva, como la vida, integridad personal, el pleno ejercicio del servicio público, contra el acceso a la información de un particular, y en nuestro criterio resulta proporcional clasificar esta información.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360" w:lineRule="auto"/>
        <w:ind w:left="682" w:right="1259"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Es por todo lo vertido en líneas anteriores que, las suscritas no comparten la totalidad del estudio de la resolución y formulamos el presente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Voto particular Concurrente.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spacing w:before="0" w:lineRule="auto"/>
        <w:ind w:left="0" w:right="1116" w:firstLine="0"/>
        <w:jc w:val="right"/>
        <w:rPr>
          <w:rFonts w:ascii="Times New Roman" w:cs="Times New Roman" w:eastAsia="Times New Roman" w:hAnsi="Times New Roman"/>
          <w:b w:val="1"/>
          <w:sz w:val="20"/>
          <w:szCs w:val="20"/>
        </w:rPr>
        <w:sectPr>
          <w:type w:val="nextPage"/>
          <w:pgSz w:h="15840" w:w="12240" w:orient="portrait"/>
          <w:pgMar w:bottom="280" w:top="280" w:left="1020" w:right="580" w:header="360" w:footer="360"/>
        </w:sectPr>
      </w:pPr>
      <w:r w:rsidDel="00000000" w:rsidR="00000000" w:rsidRPr="00000000">
        <w:rPr>
          <w:rFonts w:ascii="Times New Roman" w:cs="Times New Roman" w:eastAsia="Times New Roman" w:hAnsi="Times New Roman"/>
          <w:sz w:val="20"/>
          <w:szCs w:val="20"/>
          <w:rtl w:val="0"/>
        </w:rPr>
        <w:t xml:space="preserve">Página </w:t>
      </w:r>
      <w:r w:rsidDel="00000000" w:rsidR="00000000" w:rsidRPr="00000000">
        <w:rPr>
          <w:rFonts w:ascii="Times New Roman" w:cs="Times New Roman" w:eastAsia="Times New Roman" w:hAnsi="Times New Roman"/>
          <w:b w:val="1"/>
          <w:sz w:val="20"/>
          <w:szCs w:val="20"/>
          <w:rtl w:val="0"/>
        </w:rPr>
        <w:t xml:space="preserve">8 </w:t>
      </w:r>
      <w:r w:rsidDel="00000000" w:rsidR="00000000" w:rsidRPr="00000000">
        <w:rPr>
          <w:rFonts w:ascii="Times New Roman" w:cs="Times New Roman" w:eastAsia="Times New Roman" w:hAnsi="Times New Roman"/>
          <w:sz w:val="20"/>
          <w:szCs w:val="20"/>
          <w:rtl w:val="0"/>
        </w:rPr>
        <w:t xml:space="preserve">de </w:t>
      </w:r>
      <w:r w:rsidDel="00000000" w:rsidR="00000000" w:rsidRPr="00000000">
        <w:rPr>
          <w:rFonts w:ascii="Times New Roman" w:cs="Times New Roman" w:eastAsia="Times New Roman" w:hAnsi="Times New Roman"/>
          <w:b w:val="1"/>
          <w:sz w:val="20"/>
          <w:szCs w:val="20"/>
          <w:rtl w:val="0"/>
        </w:rPr>
        <w:t xml:space="preserve">9</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1486757" cy="700944"/>
            <wp:effectExtent b="0" l="0" r="0" t="0"/>
            <wp:docPr id="3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0">
      <w:pPr>
        <w:spacing w:before="0"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58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402" w:hanging="293"/>
      </w:pPr>
      <w:rPr>
        <w:rFonts w:ascii="Palatino Linotype" w:cs="Palatino Linotype" w:eastAsia="Palatino Linotype" w:hAnsi="Palatino Linotype"/>
        <w:b w:val="1"/>
        <w:i w:val="0"/>
        <w:sz w:val="24"/>
        <w:szCs w:val="24"/>
      </w:rPr>
    </w:lvl>
    <w:lvl w:ilvl="1">
      <w:start w:val="0"/>
      <w:numFmt w:val="bullet"/>
      <w:lvlText w:val="•"/>
      <w:lvlJc w:val="left"/>
      <w:pPr>
        <w:ind w:left="2324" w:hanging="293"/>
      </w:pPr>
      <w:rPr/>
    </w:lvl>
    <w:lvl w:ilvl="2">
      <w:start w:val="0"/>
      <w:numFmt w:val="bullet"/>
      <w:lvlText w:val="•"/>
      <w:lvlJc w:val="left"/>
      <w:pPr>
        <w:ind w:left="3248" w:hanging="293"/>
      </w:pPr>
      <w:rPr/>
    </w:lvl>
    <w:lvl w:ilvl="3">
      <w:start w:val="0"/>
      <w:numFmt w:val="bullet"/>
      <w:lvlText w:val="•"/>
      <w:lvlJc w:val="left"/>
      <w:pPr>
        <w:ind w:left="4172" w:hanging="293"/>
      </w:pPr>
      <w:rPr/>
    </w:lvl>
    <w:lvl w:ilvl="4">
      <w:start w:val="0"/>
      <w:numFmt w:val="bullet"/>
      <w:lvlText w:val="•"/>
      <w:lvlJc w:val="left"/>
      <w:pPr>
        <w:ind w:left="5096" w:hanging="293"/>
      </w:pPr>
      <w:rPr/>
    </w:lvl>
    <w:lvl w:ilvl="5">
      <w:start w:val="0"/>
      <w:numFmt w:val="bullet"/>
      <w:lvlText w:val="•"/>
      <w:lvlJc w:val="left"/>
      <w:pPr>
        <w:ind w:left="6020" w:hanging="293"/>
      </w:pPr>
      <w:rPr/>
    </w:lvl>
    <w:lvl w:ilvl="6">
      <w:start w:val="0"/>
      <w:numFmt w:val="bullet"/>
      <w:lvlText w:val="•"/>
      <w:lvlJc w:val="left"/>
      <w:pPr>
        <w:ind w:left="6944" w:hanging="293"/>
      </w:pPr>
      <w:rPr/>
    </w:lvl>
    <w:lvl w:ilvl="7">
      <w:start w:val="0"/>
      <w:numFmt w:val="bullet"/>
      <w:lvlText w:val="•"/>
      <w:lvlJc w:val="left"/>
      <w:pPr>
        <w:ind w:left="7868" w:hanging="293"/>
      </w:pPr>
      <w:rPr/>
    </w:lvl>
    <w:lvl w:ilvl="8">
      <w:start w:val="0"/>
      <w:numFmt w:val="bullet"/>
      <w:lvlText w:val="•"/>
      <w:lvlJc w:val="left"/>
      <w:pPr>
        <w:ind w:left="8792" w:hanging="29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682"/>
      <w:jc w:val="both"/>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4"/>
      <w:szCs w:val="24"/>
      <w:lang w:bidi="ar-SA" w:eastAsia="en-US" w:val="es-ES"/>
    </w:rPr>
  </w:style>
  <w:style w:type="paragraph" w:styleId="Heading1">
    <w:name w:val="Heading 1"/>
    <w:basedOn w:val="Normal"/>
    <w:uiPriority w:val="1"/>
    <w:qFormat w:val="1"/>
    <w:pPr>
      <w:ind w:left="682"/>
      <w:jc w:val="both"/>
      <w:outlineLvl w:val="1"/>
    </w:pPr>
    <w:rPr>
      <w:rFonts w:ascii="Palatino Linotype" w:cs="Palatino Linotype" w:eastAsia="Palatino Linotype" w:hAnsi="Palatino Linotype"/>
      <w:b w:val="1"/>
      <w:bCs w:val="1"/>
      <w:sz w:val="24"/>
      <w:szCs w:val="24"/>
      <w:lang w:bidi="ar-SA" w:eastAsia="en-US" w:val="es-ES"/>
    </w:rPr>
  </w:style>
  <w:style w:type="paragraph" w:styleId="ListParagraph">
    <w:name w:val="List Paragraph"/>
    <w:basedOn w:val="Normal"/>
    <w:uiPriority w:val="1"/>
    <w:qFormat w:val="1"/>
    <w:pPr>
      <w:ind w:left="1401" w:hanging="718"/>
      <w:jc w:val="both"/>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rPr>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TWAVzpi/1UihldIWYc3TL+BpoA==">CgMxLjA4AHIhMXVrazdLal92ejNJSWhMeGZyWTM4TzlVX09BME5SLWM5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2024-08-30T00:12:05Z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