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17230A03" w:rsidR="00F47FB5" w:rsidRDefault="00DD1946" w:rsidP="00F47FB5">
      <w:pPr>
        <w:spacing w:line="360" w:lineRule="auto"/>
        <w:jc w:val="both"/>
        <w:rPr>
          <w:rFonts w:ascii="Palatino Linotype" w:eastAsia="Palatino Linotype" w:hAnsi="Palatino Linotype" w:cs="Palatino Linotype"/>
          <w:b/>
        </w:rPr>
      </w:pPr>
      <w:r>
        <w:rPr>
          <w:rFonts w:ascii="Palatino Linotype" w:hAnsi="Palatino Linotype" w:cs="Tahoma"/>
          <w:b/>
        </w:rPr>
        <w:t>VOTO PARTICULAR QUE FORMULA</w:t>
      </w:r>
      <w:bookmarkStart w:id="0" w:name="_GoBack"/>
      <w:bookmarkEnd w:id="0"/>
      <w:r w:rsidR="00F47FB5">
        <w:rPr>
          <w:rFonts w:ascii="Palatino Linotype" w:hAnsi="Palatino Linotype" w:cs="Tahoma"/>
          <w:b/>
        </w:rPr>
        <w:t xml:space="preserve"> LA COMISIONADA MARÍA DEL ROSARIO MEJÍA AYALA, CON RELACIÓN A LA RESOLUCIÓN EMITIDA POR EL PLENO DEL INSTITUTO DE TRANSPARENCIA, ACCESO A LA </w:t>
      </w:r>
      <w:r w:rsidR="004F2B9E">
        <w:rPr>
          <w:rFonts w:ascii="Palatino Linotype" w:hAnsi="Palatino Linotype" w:cs="Tahoma"/>
          <w:b/>
        </w:rPr>
        <w:t xml:space="preserve">INFORMACIÓN </w:t>
      </w:r>
      <w:r w:rsidR="00935C69">
        <w:rPr>
          <w:rFonts w:ascii="Palatino Linotype" w:hAnsi="Palatino Linotype" w:cs="Tahoma"/>
          <w:b/>
        </w:rPr>
        <w:t xml:space="preserve">PÚBLICA </w:t>
      </w:r>
      <w:r w:rsidR="00897099">
        <w:rPr>
          <w:rFonts w:ascii="Palatino Linotype" w:hAnsi="Palatino Linotype" w:cs="Tahoma"/>
          <w:b/>
        </w:rPr>
        <w:t xml:space="preserve">Y PROTECCIÓN DE DATOS PERSONALES DEL ESTADO DE MÉXICO Y MUNICIPIOS AL RECURSO DE REVISIÓN </w:t>
      </w:r>
      <w:r w:rsidR="009C6E75" w:rsidRPr="009C6E75">
        <w:rPr>
          <w:rFonts w:ascii="Palatino Linotype" w:hAnsi="Palatino Linotype" w:cs="Tahoma"/>
          <w:b/>
          <w:szCs w:val="22"/>
        </w:rPr>
        <w:t>16481</w:t>
      </w:r>
      <w:r w:rsidR="009C6E75" w:rsidRPr="009C6E75">
        <w:rPr>
          <w:rFonts w:ascii="Palatino Linotype" w:hAnsi="Palatino Linotype"/>
          <w:b/>
          <w:szCs w:val="22"/>
        </w:rPr>
        <w:t>/INFOEM/IP/RR/202</w:t>
      </w:r>
      <w:r w:rsidR="00521614">
        <w:rPr>
          <w:rFonts w:ascii="Palatino Linotype" w:hAnsi="Palatino Linotype"/>
          <w:b/>
          <w:szCs w:val="22"/>
        </w:rPr>
        <w:t>2</w:t>
      </w:r>
      <w:r w:rsidR="00897099">
        <w:rPr>
          <w:rFonts w:ascii="Palatino Linotype" w:eastAsia="Palatino Linotype" w:hAnsi="Palatino Linotype" w:cs="Palatino Linotype"/>
          <w:color w:val="000000"/>
        </w:rPr>
        <w:t>,</w:t>
      </w:r>
      <w:r w:rsidR="00897099">
        <w:rPr>
          <w:rFonts w:ascii="Palatino Linotype" w:hAnsi="Palatino Linotype" w:cs="Tahoma"/>
          <w:b/>
        </w:rPr>
        <w:t xml:space="preserve"> PROMOVIDO EN CONTRA DE</w:t>
      </w:r>
      <w:r w:rsidR="009C6E75">
        <w:rPr>
          <w:rFonts w:ascii="Palatino Linotype" w:hAnsi="Palatino Linotype" w:cs="Tahoma"/>
          <w:b/>
        </w:rPr>
        <w:t xml:space="preserve"> </w:t>
      </w:r>
      <w:r w:rsidR="00897099">
        <w:rPr>
          <w:rFonts w:ascii="Palatino Linotype" w:hAnsi="Palatino Linotype" w:cs="Tahoma"/>
          <w:b/>
        </w:rPr>
        <w:t>L</w:t>
      </w:r>
      <w:r w:rsidR="009C6E75">
        <w:rPr>
          <w:rFonts w:ascii="Palatino Linotype" w:hAnsi="Palatino Linotype" w:cs="Tahoma"/>
          <w:b/>
        </w:rPr>
        <w:t>A</w:t>
      </w:r>
      <w:r w:rsidR="00897099">
        <w:rPr>
          <w:rFonts w:ascii="Palatino Linotype" w:hAnsi="Palatino Linotype" w:cs="Tahoma"/>
          <w:b/>
        </w:rPr>
        <w:t xml:space="preserve"> </w:t>
      </w:r>
      <w:r w:rsidR="009C6E75">
        <w:rPr>
          <w:rFonts w:ascii="Palatino Linotype" w:hAnsi="Palatino Linotype" w:cs="Arial"/>
          <w:b/>
          <w:color w:val="000000" w:themeColor="text1"/>
        </w:rPr>
        <w:t>SECRETARÍA DE SALUD</w:t>
      </w:r>
      <w:r w:rsidR="00122A5C">
        <w:rPr>
          <w:rFonts w:ascii="Palatino Linotype" w:eastAsia="Palatino Linotype" w:hAnsi="Palatino Linotype" w:cs="Palatino Linotype"/>
          <w:b/>
        </w:rPr>
        <w:t>.</w:t>
      </w:r>
    </w:p>
    <w:p w14:paraId="55D20AC7" w14:textId="77777777" w:rsidR="00122A5C" w:rsidRDefault="00122A5C" w:rsidP="00F47FB5">
      <w:pPr>
        <w:spacing w:line="360" w:lineRule="auto"/>
        <w:jc w:val="both"/>
        <w:rPr>
          <w:rFonts w:ascii="Palatino Linotype" w:hAnsi="Palatino Linotype" w:cs="Tahoma"/>
          <w:b/>
          <w:lang w:val="es-MX"/>
        </w:rPr>
      </w:pP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362F5F">
      <w:pPr>
        <w:pStyle w:val="Ttulo1"/>
        <w:numPr>
          <w:ilvl w:val="0"/>
          <w:numId w:val="1"/>
        </w:numPr>
        <w:spacing w:before="0" w:line="360" w:lineRule="auto"/>
        <w:ind w:left="993" w:hanging="567"/>
        <w:rPr>
          <w:rFonts w:ascii="Palatino Linotype" w:hAnsi="Palatino Linotype"/>
          <w:color w:val="000000" w:themeColor="text1"/>
          <w:sz w:val="24"/>
          <w:szCs w:val="24"/>
        </w:rPr>
      </w:pPr>
      <w:bookmarkStart w:id="1" w:name="_Toc70345222"/>
      <w:r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60F0E591" w14:textId="219799B7"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9C6E75" w:rsidRPr="009C6E75">
        <w:rPr>
          <w:rFonts w:ascii="Palatino Linotype" w:hAnsi="Palatino Linotype" w:cs="Tahoma"/>
          <w:szCs w:val="22"/>
        </w:rPr>
        <w:t>16481</w:t>
      </w:r>
      <w:r w:rsidR="009C6E75" w:rsidRPr="009C6E75">
        <w:rPr>
          <w:rFonts w:ascii="Palatino Linotype" w:hAnsi="Palatino Linotype"/>
          <w:szCs w:val="22"/>
        </w:rPr>
        <w:t>/INFOEM/IP/RR/202</w:t>
      </w:r>
      <w:r w:rsidR="00521614">
        <w:rPr>
          <w:rFonts w:ascii="Palatino Linotype" w:hAnsi="Palatino Linotype"/>
          <w:szCs w:val="22"/>
        </w:rPr>
        <w:t>2</w:t>
      </w:r>
      <w:r w:rsidR="004F2B9E" w:rsidRPr="00897099">
        <w:rPr>
          <w:rFonts w:ascii="Palatino Linotype" w:hAnsi="Palatino Linotype" w:cs="Arial"/>
        </w:rPr>
        <w:t>,</w:t>
      </w:r>
      <w:r w:rsidR="007B578D" w:rsidRPr="00897099">
        <w:rPr>
          <w:rFonts w:ascii="Palatino Linotype" w:hAnsi="Palatino Linotype" w:cs="Arial"/>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9C6E75">
        <w:rPr>
          <w:rFonts w:ascii="Palatino Linotype" w:hAnsi="Palatino Linotype" w:cs="Arial"/>
        </w:rPr>
        <w:t xml:space="preserve"> </w:t>
      </w:r>
      <w:r w:rsidR="006517BA">
        <w:rPr>
          <w:rFonts w:ascii="Palatino Linotype" w:hAnsi="Palatino Linotype" w:cs="Arial"/>
        </w:rPr>
        <w:t>l</w:t>
      </w:r>
      <w:r w:rsidR="009C6E75">
        <w:rPr>
          <w:rFonts w:ascii="Palatino Linotype" w:hAnsi="Palatino Linotype" w:cs="Arial"/>
        </w:rPr>
        <w:t>a</w:t>
      </w:r>
      <w:r w:rsidR="0068101D">
        <w:rPr>
          <w:rFonts w:ascii="Palatino Linotype" w:hAnsi="Palatino Linotype" w:cs="Arial"/>
        </w:rPr>
        <w:t xml:space="preserve"> </w:t>
      </w:r>
      <w:r w:rsidR="009C6E75">
        <w:rPr>
          <w:rFonts w:ascii="Palatino Linotype" w:hAnsi="Palatino Linotype" w:cs="Arial"/>
          <w:b/>
          <w:color w:val="000000" w:themeColor="text1"/>
        </w:rPr>
        <w:t>Secretaría de Salud</w:t>
      </w:r>
      <w:r w:rsidR="006A7AB7" w:rsidRPr="00897099">
        <w:rPr>
          <w:rFonts w:ascii="Palatino Linotype" w:hAnsi="Palatino Linotype" w:cs="Arial"/>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5E6FC661"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B64C7A">
        <w:rPr>
          <w:rFonts w:ascii="Palatino Linotype" w:hAnsi="Palatino Linotype"/>
          <w:b/>
          <w:bCs/>
        </w:rPr>
        <w:t>,</w:t>
      </w:r>
      <w:r w:rsidR="00BF358F">
        <w:rPr>
          <w:rFonts w:ascii="Palatino Linotype" w:hAnsi="Palatino Linotype" w:cs="Arial"/>
          <w:b/>
          <w:lang w:eastAsia="es-MX"/>
        </w:rPr>
        <w:t xml:space="preserve"> </w:t>
      </w:r>
      <w:r w:rsidR="002362D7">
        <w:rPr>
          <w:rFonts w:ascii="Palatino Linotype" w:hAnsi="Palatino Linotype" w:cs="Arial"/>
        </w:rPr>
        <w:t>mediante la</w:t>
      </w:r>
      <w:r w:rsidR="00BF358F">
        <w:rPr>
          <w:rFonts w:ascii="Palatino Linotype" w:hAnsi="Palatino Linotype" w:cs="Arial"/>
        </w:rPr>
        <w:t xml:space="preserve"> cual </w:t>
      </w:r>
      <w:r w:rsidR="004F2B9E">
        <w:rPr>
          <w:rFonts w:ascii="Palatino Linotype" w:hAnsi="Palatino Linotype" w:cs="Arial"/>
        </w:rPr>
        <w:t xml:space="preserve">requirió </w:t>
      </w:r>
      <w:r w:rsidR="00BF358F">
        <w:rPr>
          <w:rFonts w:ascii="Palatino Linotype" w:hAnsi="Palatino Linotype" w:cs="Arial"/>
        </w:rPr>
        <w:t>la siguiente información:</w:t>
      </w:r>
    </w:p>
    <w:p w14:paraId="404A9410" w14:textId="77777777" w:rsidR="002027E5" w:rsidRDefault="002027E5" w:rsidP="002027E5">
      <w:pPr>
        <w:ind w:right="51"/>
        <w:jc w:val="both"/>
        <w:rPr>
          <w:rFonts w:ascii="Palatino Linotype" w:eastAsia="Palatino Linotype" w:hAnsi="Palatino Linotype" w:cs="Palatino Linotype"/>
        </w:rPr>
      </w:pPr>
    </w:p>
    <w:p w14:paraId="07D9E680" w14:textId="77777777" w:rsidR="009C6E75" w:rsidRPr="001233D5" w:rsidRDefault="00E50DC8" w:rsidP="009C6E75">
      <w:pPr>
        <w:tabs>
          <w:tab w:val="left" w:pos="567"/>
        </w:tabs>
        <w:spacing w:line="360" w:lineRule="auto"/>
        <w:ind w:left="567" w:right="567"/>
        <w:contextualSpacing/>
        <w:jc w:val="both"/>
        <w:rPr>
          <w:rFonts w:ascii="Palatino Linotype" w:hAnsi="Palatino Linotype" w:cs="Tahoma"/>
          <w:i/>
          <w:sz w:val="20"/>
        </w:rPr>
      </w:pPr>
      <w:r w:rsidRPr="00164BC1">
        <w:rPr>
          <w:rFonts w:ascii="Palatino Linotype" w:hAnsi="Palatino Linotype"/>
          <w:i/>
          <w:lang w:eastAsia="es-MX"/>
        </w:rPr>
        <w:t>“</w:t>
      </w:r>
      <w:r w:rsidR="009C6E75" w:rsidRPr="001233D5">
        <w:rPr>
          <w:rFonts w:ascii="Palatino Linotype" w:hAnsi="Palatino Linotype" w:cs="Tahoma"/>
          <w:i/>
          <w:sz w:val="20"/>
        </w:rPr>
        <w:t>Requiero conocer las acciones realizadas por el Órgano Interno de Control en la Secretaría de Salud para verificar la existencia de conflicto de intereses y/o cualquier otra falta grave o no grave que pudiera darse entre el Secretario de Salud Francisco Javier Fernández Clamont y su hermano y Coordinador Jurídico de la Secretaría de Salud, Arturo Rafael Fernández Clamont. Versión Pública de los informes de las auditorías, inspecciones, verificaciones o cualquier otra acción realizada por el ÓRgano Interno de Control de la Secretaría de Salud tendente a verificar la existencia de conflicto de intereses y/o cualquier otra falta grave o no grave que pudiera darse entre el Secretario de Salud Francisco Javier Fernández Clamont y su hermano y Coordinador Jurídico de la Secretaría de Salud, Arturo Rafael Fernández Clamont. Versión pública de la Declaración de Situación Patrimonial y de Intereses de los CC. Francisco Javier Fernández Clamont y Arturo Rafael Fernández Clamont.</w:t>
      </w:r>
    </w:p>
    <w:p w14:paraId="5C1BB343" w14:textId="53809B7D" w:rsidR="00E50DC8" w:rsidRPr="00A071B6" w:rsidRDefault="00E50DC8" w:rsidP="00E50DC8">
      <w:pPr>
        <w:spacing w:line="360" w:lineRule="auto"/>
        <w:ind w:left="567" w:right="567"/>
        <w:contextualSpacing/>
        <w:jc w:val="both"/>
        <w:rPr>
          <w:rFonts w:ascii="Palatino Linotype" w:hAnsi="Palatino Linotype"/>
          <w:i/>
          <w:lang w:eastAsia="es-MX"/>
        </w:rPr>
      </w:pPr>
      <w:r w:rsidRPr="00164BC1">
        <w:rPr>
          <w:rFonts w:ascii="Palatino Linotype" w:hAnsi="Palatino Linotype" w:cs="Tahoma"/>
          <w:bCs/>
          <w:i/>
        </w:rPr>
        <w:t>”</w:t>
      </w:r>
      <w:r w:rsidRPr="00A071B6">
        <w:rPr>
          <w:rFonts w:ascii="Palatino Linotype" w:hAnsi="Palatino Linotype" w:cs="Tahoma"/>
          <w:bCs/>
          <w:i/>
        </w:rPr>
        <w:t xml:space="preserve"> (Sic)</w:t>
      </w:r>
    </w:p>
    <w:p w14:paraId="494B6A63" w14:textId="77777777" w:rsidR="00E50DC8" w:rsidRDefault="00E50DC8" w:rsidP="002027E5">
      <w:pPr>
        <w:ind w:right="51"/>
        <w:jc w:val="both"/>
        <w:rPr>
          <w:rFonts w:ascii="Palatino Linotype" w:eastAsia="Palatino Linotype" w:hAnsi="Palatino Linotype" w:cs="Palatino Linotype"/>
        </w:rPr>
      </w:pPr>
    </w:p>
    <w:p w14:paraId="537997F7" w14:textId="77777777" w:rsidR="00975ECE" w:rsidRDefault="005A761C" w:rsidP="005A761C">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Pr>
          <w:rFonts w:ascii="Palatino Linotype" w:hAnsi="Palatino Linotype" w:cs="Arial"/>
          <w:b/>
          <w:color w:val="000000" w:themeColor="text1"/>
        </w:rPr>
        <w:t>EL SUJETO OBLIGADO</w:t>
      </w:r>
      <w:r>
        <w:rPr>
          <w:rFonts w:ascii="Palatino Linotype" w:hAnsi="Palatino Linotype"/>
          <w:color w:val="000000" w:themeColor="text1"/>
        </w:rPr>
        <w:t xml:space="preserve"> acompañó a su respuesta </w:t>
      </w:r>
      <w:r w:rsidR="00975ECE">
        <w:rPr>
          <w:rFonts w:ascii="Palatino Linotype" w:hAnsi="Palatino Linotype"/>
          <w:color w:val="000000" w:themeColor="text1"/>
        </w:rPr>
        <w:t>de la siguiente información:</w:t>
      </w:r>
    </w:p>
    <w:p w14:paraId="59A1DA7D" w14:textId="77777777" w:rsidR="00975ECE" w:rsidRDefault="00975ECE" w:rsidP="005A761C">
      <w:pPr>
        <w:spacing w:line="360" w:lineRule="auto"/>
        <w:jc w:val="both"/>
        <w:rPr>
          <w:rFonts w:ascii="Palatino Linotype" w:hAnsi="Palatino Linotype"/>
          <w:color w:val="000000" w:themeColor="text1"/>
        </w:rPr>
      </w:pPr>
    </w:p>
    <w:p w14:paraId="2D26353F" w14:textId="77777777" w:rsidR="009C6E75" w:rsidRPr="001233D5" w:rsidRDefault="009C6E75" w:rsidP="009C6E75">
      <w:pPr>
        <w:spacing w:line="360" w:lineRule="auto"/>
        <w:contextualSpacing/>
        <w:jc w:val="both"/>
        <w:rPr>
          <w:rFonts w:ascii="Palatino Linotype" w:hAnsi="Palatino Linotype" w:cs="Tahoma"/>
        </w:rPr>
      </w:pPr>
      <w:r w:rsidRPr="001233D5">
        <w:rPr>
          <w:rFonts w:ascii="Palatino Linotype" w:hAnsi="Palatino Linotype" w:cs="Tahoma"/>
        </w:rPr>
        <w:t>I) Oficio número SAIMEX SARCOEM/ 459 / 2022, de fecha veintisiete de octubre de dos mil veintidós, suscrito por el Jefe de la Unidad de Información, Planeación, Programación y Evaluación, a través del cual refirió lo siguiente:</w:t>
      </w:r>
    </w:p>
    <w:p w14:paraId="2DD58057" w14:textId="77777777" w:rsidR="009C6E75" w:rsidRPr="001233D5" w:rsidRDefault="009C6E75" w:rsidP="009C6E75">
      <w:pPr>
        <w:spacing w:line="360" w:lineRule="auto"/>
        <w:contextualSpacing/>
        <w:jc w:val="both"/>
        <w:rPr>
          <w:rFonts w:ascii="Palatino Linotype" w:hAnsi="Palatino Linotype" w:cs="Tahoma"/>
          <w:i/>
          <w:iCs/>
          <w:color w:val="FF0000"/>
          <w:sz w:val="20"/>
          <w:szCs w:val="20"/>
        </w:rPr>
      </w:pPr>
    </w:p>
    <w:p w14:paraId="72A943E6"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r w:rsidRPr="001233D5">
        <w:rPr>
          <w:rFonts w:ascii="Palatino Linotype" w:hAnsi="Palatino Linotype" w:cs="Tahoma"/>
          <w:i/>
          <w:sz w:val="20"/>
          <w:szCs w:val="20"/>
        </w:rPr>
        <w:t>“…</w:t>
      </w:r>
    </w:p>
    <w:p w14:paraId="629EB488"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r w:rsidRPr="001233D5">
        <w:rPr>
          <w:rFonts w:ascii="Palatino Linotype" w:hAnsi="Palatino Linotype" w:cs="Tahoma"/>
          <w:i/>
          <w:sz w:val="20"/>
          <w:szCs w:val="20"/>
        </w:rPr>
        <w:t>En .cumplimiento a los que establecen los artículos 1, 4, 6, 16, 17 y 45 de la Ley General de Transparencia y Acceso a la Información Pública, así como 1, 2, 7, 8, 11, 50, 52, 53 fracciones II, V, VI y XII, 58, 59 fracción I, 162 y 163 de la Ley de Transparencia y Acceso a la Información Pública del Estado de México y Municipios, se informa:</w:t>
      </w:r>
    </w:p>
    <w:p w14:paraId="7D80A77C"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p>
    <w:p w14:paraId="4BA63755"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r w:rsidRPr="001233D5">
        <w:rPr>
          <w:rFonts w:ascii="Palatino Linotype" w:hAnsi="Palatino Linotype" w:cs="Tahoma"/>
          <w:i/>
          <w:sz w:val="20"/>
          <w:szCs w:val="20"/>
        </w:rPr>
        <w:lastRenderedPageBreak/>
        <w:t>Con fundamento en el artículo 12 de la Ley de Transparencia y Acceso a la Información Pública del Estado de México y Municipios, que textualmente señala: “Quienes generen, recopilen, administren, manejen, procesen, archiven o conserven información pública serán responsables de la misma en los términos de las disposiciones jurídicas aplicables.</w:t>
      </w:r>
    </w:p>
    <w:p w14:paraId="42A59850"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p>
    <w:p w14:paraId="65D10622"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r w:rsidRPr="001233D5">
        <w:rPr>
          <w:rFonts w:ascii="Palatino Linotype" w:hAnsi="Palatino Linotype" w:cs="Tahoma"/>
          <w:i/>
          <w:sz w:val="20"/>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E534B9"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p>
    <w:p w14:paraId="5A246609"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r w:rsidRPr="001233D5">
        <w:rPr>
          <w:rFonts w:ascii="Palatino Linotype" w:hAnsi="Palatino Linotype" w:cs="Tahoma"/>
          <w:i/>
          <w:sz w:val="20"/>
          <w:szCs w:val="20"/>
        </w:rPr>
        <w:t>Asimismo, lo establecido en el artículo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16B5663"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p>
    <w:p w14:paraId="4DDDFC1D"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r w:rsidRPr="001233D5">
        <w:rPr>
          <w:rFonts w:ascii="Palatino Linotype" w:hAnsi="Palatino Linotype" w:cs="Tahoma"/>
          <w:i/>
          <w:sz w:val="20"/>
          <w:szCs w:val="20"/>
        </w:rPr>
        <w:t>Mediante oficio número 20800000050000S/431/2022, Titular del Órgano Interno de Control en la Secretaría de Salud del Estado de México, Maestra Marcela Hernández Contreras, hace de su conocimiento que […] “el programa de trabajo en materia de control y evaluación , investigación de presuntas faltas administrativas, directrices para la atención de investigaciones inherentes a denuncias y procedimientos de responsabilidad administrativa, son definidas y supervisadas por la Secretaría de la Contraloría […] por lo que se recomienda ingresar su solicitud de información a través de la Unidad de Transparencia de dicha dependencia.</w:t>
      </w:r>
    </w:p>
    <w:p w14:paraId="581DD0CE"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p>
    <w:p w14:paraId="0AE05ABC"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r w:rsidRPr="001233D5">
        <w:rPr>
          <w:rFonts w:ascii="Palatino Linotype" w:hAnsi="Palatino Linotype" w:cs="Tahoma"/>
          <w:i/>
          <w:sz w:val="20"/>
          <w:szCs w:val="20"/>
        </w:rPr>
        <w:t>…”</w:t>
      </w:r>
    </w:p>
    <w:p w14:paraId="5C05A75A" w14:textId="77777777" w:rsidR="009C6E75" w:rsidRPr="001233D5" w:rsidRDefault="009C6E75" w:rsidP="009C6E75">
      <w:pPr>
        <w:spacing w:line="360" w:lineRule="auto"/>
        <w:ind w:left="567" w:right="567"/>
        <w:contextualSpacing/>
        <w:jc w:val="both"/>
        <w:rPr>
          <w:rFonts w:ascii="Palatino Linotype" w:hAnsi="Palatino Linotype" w:cs="Tahoma"/>
          <w:i/>
          <w:sz w:val="20"/>
          <w:szCs w:val="20"/>
        </w:rPr>
      </w:pPr>
    </w:p>
    <w:p w14:paraId="5FF2055B" w14:textId="7FA4D77F" w:rsidR="009C6E75" w:rsidRPr="001233D5" w:rsidRDefault="009C6E75" w:rsidP="009C6E75">
      <w:pPr>
        <w:spacing w:line="360" w:lineRule="auto"/>
        <w:contextualSpacing/>
        <w:jc w:val="both"/>
        <w:rPr>
          <w:rFonts w:ascii="Palatino Linotype" w:hAnsi="Palatino Linotype" w:cs="Tahoma"/>
        </w:rPr>
      </w:pPr>
      <w:r w:rsidRPr="001233D5">
        <w:rPr>
          <w:rFonts w:ascii="Palatino Linotype" w:hAnsi="Palatino Linotype" w:cs="Tahoma"/>
          <w:caps/>
        </w:rPr>
        <w:lastRenderedPageBreak/>
        <w:t>ii</w:t>
      </w:r>
      <w:r w:rsidRPr="001233D5">
        <w:rPr>
          <w:rFonts w:ascii="Palatino Linotype" w:hAnsi="Palatino Linotype" w:cs="Tahoma"/>
        </w:rPr>
        <w:t>) Oficio número 20800000050000S/431/2022, de fecha veintisiete de octubre de dos mil veintidós, suscrito por la Titular del Órgano Interno de Control, en donde indica que es incompetente para poseer la información</w:t>
      </w:r>
    </w:p>
    <w:p w14:paraId="62C44FD8" w14:textId="77777777" w:rsidR="009C6E75" w:rsidRPr="001233D5" w:rsidRDefault="009C6E75" w:rsidP="009C6E75">
      <w:pPr>
        <w:spacing w:line="360" w:lineRule="auto"/>
        <w:contextualSpacing/>
        <w:jc w:val="both"/>
        <w:rPr>
          <w:rFonts w:ascii="Palatino Linotype" w:hAnsi="Palatino Linotype" w:cs="Tahoma"/>
        </w:rPr>
      </w:pPr>
    </w:p>
    <w:p w14:paraId="570B24AE" w14:textId="798C4357" w:rsidR="009C666B" w:rsidRDefault="006517BA" w:rsidP="00975ECE">
      <w:pPr>
        <w:spacing w:line="360" w:lineRule="auto"/>
        <w:jc w:val="both"/>
        <w:rPr>
          <w:rFonts w:ascii="Palatino Linotype" w:hAnsi="Palatino Linotype" w:cs="Arial"/>
          <w:bCs/>
          <w:i/>
        </w:rPr>
      </w:pPr>
      <w:r>
        <w:rPr>
          <w:rFonts w:ascii="Palatino Linotype" w:hAnsi="Palatino Linotype" w:cs="Arial"/>
        </w:rPr>
        <w:t>D</w:t>
      </w:r>
      <w:r w:rsidR="0067381F">
        <w:rPr>
          <w:rFonts w:ascii="Palatino Linotype" w:hAnsi="Palatino Linotype" w:cs="Arial"/>
        </w:rPr>
        <w:t xml:space="preserve">erivado de la respuesta emitida por el Sujeto Obligado, el Recurrente, </w:t>
      </w:r>
      <w:r w:rsidR="0067381F">
        <w:rPr>
          <w:rFonts w:ascii="Palatino Linotype" w:hAnsi="Palatino Linotype" w:cs="Arial"/>
          <w:bCs/>
        </w:rPr>
        <w:t>interpuso el recurso de revisión, señalando sustancialmente como sus razones o motivos de inconformidad, lo siguiente:</w:t>
      </w:r>
      <w:r w:rsidR="00CE217B">
        <w:rPr>
          <w:rFonts w:ascii="Palatino Linotype" w:hAnsi="Palatino Linotype" w:cs="Arial"/>
          <w:bCs/>
          <w:i/>
        </w:rPr>
        <w:t xml:space="preserve"> </w:t>
      </w:r>
      <w:r w:rsidR="00CE217B" w:rsidRPr="00CE217B">
        <w:rPr>
          <w:rFonts w:ascii="Palatino Linotype" w:hAnsi="Palatino Linotype" w:cs="Arial"/>
          <w:bCs/>
          <w:i/>
        </w:rPr>
        <w:t>“</w:t>
      </w:r>
    </w:p>
    <w:p w14:paraId="0DBE39CA" w14:textId="77777777" w:rsidR="005A761C" w:rsidRDefault="005A761C" w:rsidP="009C666B">
      <w:pPr>
        <w:spacing w:line="360" w:lineRule="auto"/>
        <w:ind w:right="141"/>
        <w:jc w:val="both"/>
        <w:rPr>
          <w:rFonts w:ascii="Palatino Linotype" w:hAnsi="Palatino Linotype" w:cs="Arial"/>
          <w:bCs/>
          <w:i/>
        </w:rPr>
      </w:pPr>
    </w:p>
    <w:p w14:paraId="5283714D" w14:textId="77777777" w:rsidR="005E77C6" w:rsidRPr="005E77C6" w:rsidRDefault="005E77C6" w:rsidP="005E77C6">
      <w:pPr>
        <w:tabs>
          <w:tab w:val="left" w:pos="4667"/>
        </w:tabs>
        <w:spacing w:line="360" w:lineRule="auto"/>
        <w:ind w:left="567" w:right="567"/>
        <w:jc w:val="both"/>
        <w:rPr>
          <w:rFonts w:ascii="Palatino Linotype" w:hAnsi="Palatino Linotype" w:cs="Tahoma"/>
          <w:b/>
          <w:bCs/>
          <w:i/>
          <w:sz w:val="22"/>
        </w:rPr>
      </w:pPr>
      <w:r w:rsidRPr="005E77C6">
        <w:rPr>
          <w:rFonts w:ascii="Palatino Linotype" w:hAnsi="Palatino Linotype" w:cs="Tahoma"/>
          <w:b/>
          <w:bCs/>
          <w:i/>
          <w:sz w:val="22"/>
        </w:rPr>
        <w:t>“ACTO IMPUGNADO</w:t>
      </w:r>
    </w:p>
    <w:p w14:paraId="179E74EF" w14:textId="7B416F38" w:rsidR="005E77C6" w:rsidRPr="005E77C6" w:rsidRDefault="009C6E75" w:rsidP="005E77C6">
      <w:pPr>
        <w:tabs>
          <w:tab w:val="left" w:pos="4667"/>
        </w:tabs>
        <w:spacing w:line="360" w:lineRule="auto"/>
        <w:ind w:left="567" w:right="567"/>
        <w:jc w:val="both"/>
        <w:rPr>
          <w:rFonts w:ascii="Palatino Linotype" w:hAnsi="Palatino Linotype" w:cs="Tahoma"/>
          <w:bCs/>
          <w:i/>
          <w:sz w:val="22"/>
        </w:rPr>
      </w:pPr>
      <w:r w:rsidRPr="001233D5">
        <w:rPr>
          <w:rFonts w:ascii="Palatino Linotype" w:hAnsi="Palatino Linotype"/>
          <w:i/>
          <w:sz w:val="20"/>
          <w:szCs w:val="20"/>
        </w:rPr>
        <w:t>La respuesta a la solicitud de información</w:t>
      </w:r>
      <w:r w:rsidR="005E77C6" w:rsidRPr="005E77C6">
        <w:rPr>
          <w:rFonts w:ascii="Palatino Linotype" w:hAnsi="Palatino Linotype" w:cs="Tahoma"/>
          <w:bCs/>
          <w:i/>
          <w:sz w:val="22"/>
        </w:rPr>
        <w:t>” (Sic.)</w:t>
      </w:r>
    </w:p>
    <w:p w14:paraId="34F8C61F" w14:textId="77777777" w:rsidR="005E77C6" w:rsidRPr="005E77C6" w:rsidRDefault="005E77C6" w:rsidP="005E77C6">
      <w:pPr>
        <w:tabs>
          <w:tab w:val="left" w:pos="4667"/>
        </w:tabs>
        <w:spacing w:line="360" w:lineRule="auto"/>
        <w:ind w:left="567" w:right="567"/>
        <w:jc w:val="both"/>
        <w:rPr>
          <w:rFonts w:ascii="Palatino Linotype" w:hAnsi="Palatino Linotype" w:cs="Tahoma"/>
          <w:bCs/>
          <w:i/>
          <w:sz w:val="22"/>
        </w:rPr>
      </w:pPr>
    </w:p>
    <w:p w14:paraId="46D5702C" w14:textId="77777777" w:rsidR="005E77C6" w:rsidRPr="005E77C6" w:rsidRDefault="005E77C6" w:rsidP="005E77C6">
      <w:pPr>
        <w:tabs>
          <w:tab w:val="left" w:pos="4667"/>
        </w:tabs>
        <w:spacing w:line="360" w:lineRule="auto"/>
        <w:ind w:left="567" w:right="567"/>
        <w:jc w:val="both"/>
        <w:rPr>
          <w:rFonts w:ascii="Palatino Linotype" w:hAnsi="Palatino Linotype" w:cs="Tahoma"/>
          <w:b/>
          <w:bCs/>
          <w:i/>
          <w:sz w:val="22"/>
        </w:rPr>
      </w:pPr>
      <w:r w:rsidRPr="005E77C6">
        <w:rPr>
          <w:rFonts w:ascii="Palatino Linotype" w:hAnsi="Palatino Linotype" w:cs="Tahoma"/>
          <w:b/>
          <w:bCs/>
          <w:i/>
          <w:sz w:val="22"/>
        </w:rPr>
        <w:t>“RAZONES O MOTIVOS DE LA INCONFORMIDAD</w:t>
      </w:r>
    </w:p>
    <w:p w14:paraId="053D2AD2" w14:textId="688761E4" w:rsidR="005E77C6" w:rsidRDefault="009C6E75" w:rsidP="005E77C6">
      <w:pPr>
        <w:tabs>
          <w:tab w:val="left" w:pos="4667"/>
        </w:tabs>
        <w:spacing w:line="360" w:lineRule="auto"/>
        <w:ind w:left="567" w:right="567"/>
        <w:jc w:val="both"/>
        <w:rPr>
          <w:rFonts w:ascii="Palatino Linotype" w:hAnsi="Palatino Linotype" w:cs="Tahoma"/>
          <w:i/>
          <w:sz w:val="22"/>
        </w:rPr>
      </w:pPr>
      <w:r w:rsidRPr="001233D5">
        <w:rPr>
          <w:rFonts w:ascii="Palatino Linotype" w:hAnsi="Palatino Linotype"/>
          <w:i/>
          <w:sz w:val="20"/>
          <w:szCs w:val="20"/>
        </w:rPr>
        <w:t>De conformidad con el Reglamento Interior de la Secretaría de Salud, el ÓRgano Interno de Control es una unidad administrativa adscrita a dicha dependencia, en consecuencia es parte del sujeto obligado a proporcionar la información que se le solicite o en su caso informar sobre la inexistencia de la misma, ello con independencia de que dependa jerárquicamente de la Secretaría de la Contraloría, pues dicha dependencia se traduce en el deber de seguir las directrices que ésta le establezca y no lo limita al ejercicio de las atribuciones que expresamente le otorga la Ley. No debe pasar desapercibido que con la reforma constitucional al sistema nacional anticorrupción se eleva a tal rango a los órganos internos de control, por lo que les corresponde vigilar la actuación de los servidores públicos y en su caso investigar los posibles actos contrarios a la ley, entre los que se encuentran los conflictos de intererses</w:t>
      </w:r>
      <w:r w:rsidR="005E77C6" w:rsidRPr="005E77C6">
        <w:rPr>
          <w:rFonts w:ascii="Palatino Linotype" w:hAnsi="Palatino Linotype" w:cs="Tahoma"/>
          <w:i/>
          <w:sz w:val="22"/>
        </w:rPr>
        <w:t>” (Sic.)</w:t>
      </w:r>
    </w:p>
    <w:p w14:paraId="672EFA77" w14:textId="77777777" w:rsidR="0017446D" w:rsidRPr="005E77C6" w:rsidRDefault="0017446D" w:rsidP="005E77C6">
      <w:pPr>
        <w:tabs>
          <w:tab w:val="left" w:pos="4667"/>
        </w:tabs>
        <w:spacing w:line="360" w:lineRule="auto"/>
        <w:ind w:left="567" w:right="567"/>
        <w:jc w:val="both"/>
        <w:rPr>
          <w:rFonts w:ascii="Palatino Linotype" w:hAnsi="Palatino Linotype" w:cs="Tahoma"/>
          <w:i/>
          <w:sz w:val="22"/>
        </w:rPr>
      </w:pPr>
    </w:p>
    <w:p w14:paraId="1E184F06" w14:textId="79BA612D" w:rsidR="005E77C6" w:rsidRPr="005E77C6" w:rsidRDefault="00BB071F" w:rsidP="005E77C6">
      <w:pPr>
        <w:spacing w:line="360" w:lineRule="auto"/>
        <w:ind w:right="141"/>
        <w:jc w:val="both"/>
        <w:rPr>
          <w:rFonts w:ascii="Palatino Linotype" w:eastAsia="Calibri" w:hAnsi="Palatino Linotype" w:cs="Arial"/>
          <w:bCs/>
          <w:iCs/>
          <w:lang w:val="es-MX"/>
        </w:rPr>
      </w:pPr>
      <w:r w:rsidRPr="00BB071F">
        <w:rPr>
          <w:rFonts w:ascii="Palatino Linotype" w:hAnsi="Palatino Linotype"/>
        </w:rPr>
        <w:lastRenderedPageBreak/>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sidR="0017446D">
        <w:rPr>
          <w:rFonts w:ascii="Palatino Linotype" w:hAnsi="Palatino Linotype"/>
          <w:b/>
        </w:rPr>
        <w:t>REVOCAR</w:t>
      </w:r>
      <w:r w:rsidR="008942F0">
        <w:rPr>
          <w:rFonts w:ascii="Palatino Linotype" w:eastAsia="Calibri" w:hAnsi="Palatino Linotype" w:cs="Arial"/>
          <w:b/>
          <w:bCs/>
        </w:rPr>
        <w:t xml:space="preserve"> </w:t>
      </w:r>
      <w:r w:rsidR="008942F0">
        <w:rPr>
          <w:rFonts w:ascii="Palatino Linotype" w:eastAsia="Calibri" w:hAnsi="Palatino Linotype" w:cs="Arial"/>
          <w:bCs/>
        </w:rPr>
        <w:t>la respuesta emitida por</w:t>
      </w:r>
      <w:r w:rsidR="008942F0">
        <w:rPr>
          <w:rFonts w:ascii="Palatino Linotype" w:eastAsia="Calibri" w:hAnsi="Palatino Linotype" w:cs="Arial"/>
          <w:b/>
          <w:bCs/>
        </w:rPr>
        <w:t xml:space="preserve"> </w:t>
      </w:r>
      <w:r w:rsidR="008942F0">
        <w:rPr>
          <w:rFonts w:ascii="Palatino Linotype" w:eastAsia="Calibri" w:hAnsi="Palatino Linotype" w:cs="Arial"/>
          <w:bCs/>
        </w:rPr>
        <w:t xml:space="preserve">el </w:t>
      </w:r>
      <w:r w:rsidR="009C6E75">
        <w:rPr>
          <w:rFonts w:ascii="Palatino Linotype" w:hAnsi="Palatino Linotype" w:cs="Arial"/>
          <w:b/>
          <w:color w:val="000000" w:themeColor="text1"/>
        </w:rPr>
        <w:t>Secretaría de Salud</w:t>
      </w:r>
      <w:r w:rsidR="008942F0">
        <w:rPr>
          <w:rFonts w:ascii="Palatino Linotype" w:hAnsi="Palatino Linotype"/>
          <w:b/>
          <w:bCs/>
          <w:color w:val="000000"/>
        </w:rPr>
        <w:t xml:space="preserve"> </w:t>
      </w:r>
      <w:r w:rsidR="008942F0">
        <w:rPr>
          <w:rFonts w:ascii="Palatino Linotype" w:eastAsia="Calibri" w:hAnsi="Palatino Linotype" w:cs="Arial"/>
          <w:bCs/>
        </w:rPr>
        <w:t>y se</w:t>
      </w:r>
      <w:r w:rsidR="008942F0">
        <w:rPr>
          <w:rFonts w:ascii="Palatino Linotype" w:eastAsia="Calibri" w:hAnsi="Palatino Linotype" w:cs="Arial"/>
          <w:b/>
          <w:bCs/>
        </w:rPr>
        <w:t xml:space="preserve"> ORDENA </w:t>
      </w:r>
      <w:r w:rsidR="008942F0">
        <w:rPr>
          <w:rFonts w:ascii="Palatino Linotype" w:eastAsia="Calibri" w:hAnsi="Palatino Linotype" w:cs="Arial"/>
          <w:bCs/>
        </w:rPr>
        <w:t xml:space="preserve">entregar vía </w:t>
      </w:r>
      <w:r w:rsidR="008942F0">
        <w:rPr>
          <w:rFonts w:ascii="Palatino Linotype" w:eastAsia="Calibri" w:hAnsi="Palatino Linotype" w:cs="Arial"/>
          <w:b/>
          <w:bCs/>
        </w:rPr>
        <w:t>Sistema de Acceso a la Información Mexiquense (SAIMEX),</w:t>
      </w:r>
      <w:r w:rsidR="008942F0">
        <w:rPr>
          <w:rFonts w:ascii="Palatino Linotype" w:eastAsia="Calibri" w:hAnsi="Palatino Linotype" w:cs="Arial"/>
        </w:rPr>
        <w:t xml:space="preserve"> </w:t>
      </w:r>
      <w:r w:rsidR="005E77C6" w:rsidRPr="005E77C6">
        <w:rPr>
          <w:rFonts w:ascii="Palatino Linotype" w:eastAsia="Calibri" w:hAnsi="Palatino Linotype" w:cs="Arial"/>
          <w:lang w:val="es-MX"/>
        </w:rPr>
        <w:t>en versión pública</w:t>
      </w:r>
      <w:r w:rsidR="005E77C6" w:rsidRPr="005E77C6">
        <w:rPr>
          <w:rFonts w:ascii="Palatino Linotype" w:eastAsia="Calibri" w:hAnsi="Palatino Linotype" w:cs="Arial"/>
          <w:bCs/>
          <w:iCs/>
          <w:lang w:val="es-MX"/>
        </w:rPr>
        <w:t>, lo siguiente:</w:t>
      </w:r>
    </w:p>
    <w:p w14:paraId="739193FA" w14:textId="77777777" w:rsidR="00164BC1" w:rsidRDefault="00164BC1" w:rsidP="00164BC1">
      <w:pPr>
        <w:spacing w:line="276" w:lineRule="auto"/>
        <w:ind w:left="567" w:right="851"/>
        <w:jc w:val="both"/>
        <w:rPr>
          <w:rFonts w:ascii="Palatino Linotype" w:eastAsia="Palatino Linotype" w:hAnsi="Palatino Linotype" w:cs="Palatino Linotype"/>
          <w:b/>
          <w:i/>
          <w:sz w:val="22"/>
          <w:szCs w:val="22"/>
        </w:rPr>
      </w:pPr>
    </w:p>
    <w:p w14:paraId="5FE6A782" w14:textId="77777777" w:rsidR="003D1D24" w:rsidRPr="001233D5" w:rsidRDefault="003D1D24" w:rsidP="003D1D24">
      <w:pPr>
        <w:pStyle w:val="Prrafodelista"/>
        <w:numPr>
          <w:ilvl w:val="0"/>
          <w:numId w:val="11"/>
        </w:numPr>
        <w:spacing w:line="360" w:lineRule="auto"/>
        <w:jc w:val="both"/>
      </w:pPr>
      <w:r w:rsidRPr="001233D5">
        <w:rPr>
          <w:rFonts w:cs="Tahoma"/>
          <w:lang w:eastAsia="es-MX"/>
        </w:rPr>
        <w:t xml:space="preserve">Documento soporte </w:t>
      </w:r>
      <w:r>
        <w:rPr>
          <w:rFonts w:cs="Tahoma"/>
          <w:lang w:eastAsia="es-MX"/>
        </w:rPr>
        <w:t>mediante el cual el Órgano Interno de Control respondió el alcance Informe Justificado de la presente resolución)</w:t>
      </w:r>
      <w:r w:rsidRPr="001233D5">
        <w:rPr>
          <w:rFonts w:cs="Tahoma"/>
          <w:lang w:eastAsia="es-MX"/>
        </w:rPr>
        <w:t>.</w:t>
      </w:r>
    </w:p>
    <w:p w14:paraId="2EB519FE" w14:textId="77777777" w:rsidR="003D1D24" w:rsidRPr="001233D5" w:rsidRDefault="003D1D24" w:rsidP="003D1D24">
      <w:pPr>
        <w:pStyle w:val="Prrafodelista"/>
        <w:spacing w:line="360" w:lineRule="auto"/>
      </w:pPr>
    </w:p>
    <w:p w14:paraId="74B2F119" w14:textId="77777777" w:rsidR="003D1D24" w:rsidRPr="001233D5" w:rsidRDefault="003D1D24" w:rsidP="003D1D24">
      <w:pPr>
        <w:pStyle w:val="Prrafodelista"/>
        <w:numPr>
          <w:ilvl w:val="0"/>
          <w:numId w:val="11"/>
        </w:numPr>
        <w:spacing w:line="360" w:lineRule="auto"/>
        <w:jc w:val="both"/>
      </w:pPr>
      <w:r w:rsidRPr="001233D5">
        <w:rPr>
          <w:rFonts w:cs="Tahoma"/>
          <w:lang w:eastAsia="es-MX"/>
        </w:rPr>
        <w:t xml:space="preserve">Declaración patrimonial </w:t>
      </w:r>
      <w:r>
        <w:rPr>
          <w:rFonts w:cs="Tahoma"/>
          <w:lang w:eastAsia="es-MX"/>
        </w:rPr>
        <w:t xml:space="preserve">y de intereses </w:t>
      </w:r>
      <w:r w:rsidRPr="001233D5">
        <w:rPr>
          <w:rFonts w:cs="Tahoma"/>
          <w:lang w:eastAsia="es-MX"/>
        </w:rPr>
        <w:t xml:space="preserve">entregada por los servidores públicos </w:t>
      </w:r>
      <w:r>
        <w:rPr>
          <w:rFonts w:cs="Tahoma"/>
          <w:lang w:eastAsia="es-MX"/>
        </w:rPr>
        <w:t xml:space="preserve">referidos </w:t>
      </w:r>
      <w:r w:rsidRPr="001233D5">
        <w:rPr>
          <w:rFonts w:cs="Tahoma"/>
          <w:lang w:eastAsia="es-MX"/>
        </w:rPr>
        <w:t>en la solicitud</w:t>
      </w:r>
      <w:r>
        <w:rPr>
          <w:rFonts w:cs="Tahoma"/>
          <w:lang w:eastAsia="es-MX"/>
        </w:rPr>
        <w:t xml:space="preserve"> que nos ocupa (última presentada a</w:t>
      </w:r>
      <w:r w:rsidRPr="001233D5">
        <w:rPr>
          <w:rFonts w:cs="Tahoma"/>
          <w:lang w:eastAsia="es-MX"/>
        </w:rPr>
        <w:t>l veinticuatro de octubre de dos mil veintidós</w:t>
      </w:r>
      <w:r>
        <w:rPr>
          <w:rFonts w:cs="Tahoma"/>
          <w:lang w:eastAsia="es-MX"/>
        </w:rPr>
        <w:t>)</w:t>
      </w:r>
      <w:r w:rsidRPr="001233D5">
        <w:rPr>
          <w:rFonts w:cs="Tahoma"/>
          <w:lang w:eastAsia="es-MX"/>
        </w:rPr>
        <w:t>.</w:t>
      </w:r>
    </w:p>
    <w:p w14:paraId="379ACAB1" w14:textId="54DA9B2C" w:rsidR="003D1D24" w:rsidRDefault="009B6CFB" w:rsidP="00B7570E">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w:t>
      </w:r>
      <w:r w:rsidR="003D1D24">
        <w:rPr>
          <w:rFonts w:ascii="Palatino Linotype" w:eastAsia="Calibri" w:hAnsi="Palatino Linotype" w:cs="Tahoma"/>
          <w:bCs/>
          <w:lang w:eastAsia="en-US"/>
        </w:rPr>
        <w:t>ordenados se encuentran en posesión de la Secretaría de Salud, situación que no se comparte, toda vez que se considera que es información que obra en los archivos de la Secretaría de la Contraloría.</w:t>
      </w:r>
    </w:p>
    <w:p w14:paraId="5A9488E4" w14:textId="77777777" w:rsidR="009B6CFB" w:rsidRDefault="009B6CFB" w:rsidP="009B6CFB">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0F548133" w14:textId="77777777" w:rsidR="009B6CFB" w:rsidRPr="006A1040" w:rsidRDefault="009B6CFB" w:rsidP="009B6CFB">
      <w:pPr>
        <w:pStyle w:val="Ttulo1"/>
        <w:rPr>
          <w:rFonts w:ascii="Palatino Linotype" w:eastAsia="Calibri" w:hAnsi="Palatino Linotype" w:cs="Tahoma"/>
          <w:bCs w:val="0"/>
          <w:sz w:val="24"/>
          <w:lang w:eastAsia="en-US"/>
        </w:rPr>
      </w:pPr>
      <w:r w:rsidRPr="006A1040">
        <w:rPr>
          <w:rFonts w:ascii="Palatino Linotype" w:eastAsia="Palatino Linotype" w:hAnsi="Palatino Linotype" w:cs="Palatino Linotype"/>
          <w:color w:val="000000"/>
          <w:sz w:val="24"/>
          <w:lang w:val="es-ES_tradnl"/>
        </w:rPr>
        <w:t>II.- Análisis de fondo.</w:t>
      </w:r>
    </w:p>
    <w:p w14:paraId="1DFA8110" w14:textId="68BD34F7" w:rsidR="003D1D24" w:rsidRPr="003D1D24" w:rsidRDefault="003D1D24" w:rsidP="003D1D24">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Derivado de la naturaleza de la información, es necesario precisar que, </w:t>
      </w:r>
      <w:r w:rsidRPr="005E77F1">
        <w:rPr>
          <w:rFonts w:ascii="Palatino Linotype" w:eastAsia="Palatino Linotype" w:hAnsi="Palatino Linotype" w:cs="Palatino Linotype"/>
        </w:rPr>
        <w:t xml:space="preserve">Ley de Responsabilidades Administrativas del Estado de México y Municipios, es el ordenamiento jurídico que norma el procedimiento para declaración de intereses y </w:t>
      </w:r>
      <w:r w:rsidRPr="005E77F1">
        <w:rPr>
          <w:rFonts w:ascii="Palatino Linotype" w:eastAsia="Palatino Linotype" w:hAnsi="Palatino Linotype" w:cs="Palatino Linotype"/>
        </w:rPr>
        <w:lastRenderedPageBreak/>
        <w:t>la presentación de la constancia de declaración fiscal de los servidores públicos del Estado de México; instrumentos administrativos que permiten la rendición de cuentas, en razón de que las autoridades encargadas de aplicar e interpretar la Ley, llevan un sistema público de registro y seguimiento, mediante procesos de revisión constantes e incluso aleatorios para prevenir y combatir la corrupción.</w:t>
      </w:r>
    </w:p>
    <w:p w14:paraId="12514803" w14:textId="77777777" w:rsidR="003D1D24"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Es por ello, que en sus artículos 32, 44 y 46 establece de manera concreta, quienes son aquellos servidores públicos obligados a presentar declaración de intereses, los plazos y la forma de su presentación; así como que es, la Secretaría de la Contraloría la responsable de llevar el sistema de certificación de los medios de identificación electrónica que utilicen los servidores públicos y su control, según se lee enseguida:</w:t>
      </w:r>
    </w:p>
    <w:p w14:paraId="53446053" w14:textId="77777777" w:rsidR="003D1D24" w:rsidRPr="005E77F1" w:rsidRDefault="003D1D24" w:rsidP="003D1D24">
      <w:pPr>
        <w:spacing w:line="360" w:lineRule="auto"/>
        <w:jc w:val="both"/>
        <w:rPr>
          <w:rFonts w:ascii="Palatino Linotype" w:eastAsia="Palatino Linotype" w:hAnsi="Palatino Linotype" w:cs="Palatino Linotype"/>
        </w:rPr>
      </w:pPr>
    </w:p>
    <w:p w14:paraId="2F4158F7" w14:textId="77777777" w:rsidR="00925E0C" w:rsidRDefault="003D1D24" w:rsidP="003D1D24">
      <w:pPr>
        <w:ind w:left="851" w:right="851"/>
        <w:jc w:val="both"/>
        <w:rPr>
          <w:rFonts w:ascii="Palatino Linotype" w:hAnsi="Palatino Linotype" w:cs="Arial"/>
          <w:i/>
        </w:rPr>
      </w:pPr>
      <w:r>
        <w:rPr>
          <w:rFonts w:ascii="Palatino Linotype" w:hAnsi="Palatino Linotype" w:cs="Arial"/>
          <w:b/>
          <w:i/>
        </w:rPr>
        <w:t>“</w:t>
      </w:r>
      <w:r w:rsidRPr="00617C9B">
        <w:rPr>
          <w:rFonts w:ascii="Palatino Linotype" w:hAnsi="Palatino Linotype" w:cs="Arial"/>
          <w:b/>
          <w:i/>
        </w:rPr>
        <w:t>Artículo 32.</w:t>
      </w:r>
      <w:r w:rsidRPr="00617C9B">
        <w:rPr>
          <w:rFonts w:ascii="Palatino Linotype" w:hAnsi="Palatino Linotype" w:cs="Arial"/>
          <w:i/>
        </w:rPr>
        <w:t xml:space="preserve"> La Secretaría de la Contraloría, así como los órganos internos de control, según corresponda, serán responsables de inscribir y mantener actualizada en el sistema de evolución patrimonial, </w:t>
      </w:r>
      <w:r w:rsidRPr="00A62419">
        <w:rPr>
          <w:rFonts w:ascii="Palatino Linotype" w:hAnsi="Palatino Linotype" w:cs="Arial"/>
          <w:b/>
          <w:i/>
        </w:rPr>
        <w:t>de declaración de intereses</w:t>
      </w:r>
      <w:r w:rsidRPr="00617C9B">
        <w:rPr>
          <w:rFonts w:ascii="Palatino Linotype" w:hAnsi="Palatino Linotype" w:cs="Arial"/>
          <w:i/>
        </w:rPr>
        <w:t xml:space="preserve"> y de presentación de la constancia de declaración fiscal, la información correspondiente a sus servidores públicos declarantes.</w:t>
      </w:r>
    </w:p>
    <w:p w14:paraId="5FB39D7B" w14:textId="77777777" w:rsidR="00925E0C" w:rsidRDefault="00925E0C" w:rsidP="003D1D24">
      <w:pPr>
        <w:ind w:left="851" w:right="851"/>
        <w:jc w:val="both"/>
        <w:rPr>
          <w:rFonts w:ascii="Palatino Linotype" w:hAnsi="Palatino Linotype" w:cs="Arial"/>
          <w:i/>
        </w:rPr>
      </w:pPr>
    </w:p>
    <w:p w14:paraId="01303AB4" w14:textId="08AD6BE7" w:rsidR="003D1D24" w:rsidRPr="00617C9B" w:rsidRDefault="003D1D24" w:rsidP="003D1D24">
      <w:pPr>
        <w:ind w:left="851" w:right="851"/>
        <w:jc w:val="both"/>
        <w:rPr>
          <w:rFonts w:ascii="Palatino Linotype" w:hAnsi="Palatino Linotype" w:cs="Arial"/>
          <w:i/>
        </w:rPr>
      </w:pPr>
      <w:r w:rsidRPr="00617C9B">
        <w:rPr>
          <w:rFonts w:ascii="Palatino Linotype" w:hAnsi="Palatino Linotype" w:cs="Arial"/>
          <w:i/>
        </w:rPr>
        <w:t xml:space="preserve">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w:t>
      </w:r>
      <w:r w:rsidRPr="00617C9B">
        <w:rPr>
          <w:rFonts w:ascii="Palatino Linotype" w:hAnsi="Palatino Linotype" w:cs="Arial"/>
          <w:i/>
        </w:rPr>
        <w:lastRenderedPageBreak/>
        <w:t>que puedan servir para verificar la información declarada por los servidores públicos.</w:t>
      </w:r>
    </w:p>
    <w:p w14:paraId="3248CA1B" w14:textId="77777777" w:rsidR="003D1D24" w:rsidRPr="004D50E4" w:rsidRDefault="003D1D24" w:rsidP="003D1D24">
      <w:pPr>
        <w:ind w:left="851" w:right="851"/>
        <w:jc w:val="both"/>
        <w:rPr>
          <w:rFonts w:ascii="Palatino Linotype" w:hAnsi="Palatino Linotype" w:cs="Arial"/>
          <w:i/>
        </w:rPr>
      </w:pPr>
      <w:r>
        <w:rPr>
          <w:rFonts w:ascii="Palatino Linotype" w:hAnsi="Palatino Linotype" w:cs="Arial"/>
        </w:rPr>
        <w:t>…</w:t>
      </w:r>
    </w:p>
    <w:p w14:paraId="001125D5" w14:textId="77777777" w:rsidR="00925E0C" w:rsidRDefault="003D1D24" w:rsidP="003D1D24">
      <w:pPr>
        <w:ind w:left="851" w:right="851"/>
        <w:jc w:val="both"/>
        <w:rPr>
          <w:rFonts w:ascii="Palatino Linotype" w:hAnsi="Palatino Linotype"/>
          <w:i/>
        </w:rPr>
      </w:pPr>
      <w:r>
        <w:rPr>
          <w:rFonts w:ascii="Palatino Linotype" w:hAnsi="Palatino Linotype"/>
          <w:b/>
          <w:i/>
        </w:rPr>
        <w:t>“</w:t>
      </w:r>
      <w:r w:rsidRPr="00594AF5">
        <w:rPr>
          <w:rFonts w:ascii="Palatino Linotype" w:hAnsi="Palatino Linotype"/>
          <w:b/>
          <w:i/>
        </w:rPr>
        <w:t>Artículo 44.</w:t>
      </w:r>
      <w:r w:rsidRPr="00594AF5">
        <w:rPr>
          <w:rFonts w:ascii="Palatino Linotype" w:hAnsi="Palatino Linotype"/>
          <w:i/>
        </w:rPr>
        <w:t xml:space="preserve"> Se encuentran obligados a presentar </w:t>
      </w:r>
      <w:r w:rsidRPr="00A62419">
        <w:rPr>
          <w:rFonts w:ascii="Palatino Linotype" w:hAnsi="Palatino Linotype"/>
          <w:b/>
          <w:i/>
        </w:rPr>
        <w:t>declaración de intereses</w:t>
      </w:r>
      <w:r w:rsidRPr="00594AF5">
        <w:rPr>
          <w:rFonts w:ascii="Palatino Linotype" w:hAnsi="Palatino Linotype"/>
          <w:i/>
        </w:rPr>
        <w:t xml:space="preserve"> todos los servidores públicos que deban presentar la declaración de situación patrimonial, en términos de la presente Ley. </w:t>
      </w:r>
    </w:p>
    <w:p w14:paraId="6BA0CA97" w14:textId="77777777" w:rsidR="00925E0C" w:rsidRDefault="00925E0C" w:rsidP="003D1D24">
      <w:pPr>
        <w:ind w:left="851" w:right="851"/>
        <w:jc w:val="both"/>
        <w:rPr>
          <w:rFonts w:ascii="Palatino Linotype" w:hAnsi="Palatino Linotype"/>
          <w:i/>
        </w:rPr>
      </w:pPr>
    </w:p>
    <w:p w14:paraId="2D7E48ED" w14:textId="2CE5169A" w:rsidR="003D1D24" w:rsidRDefault="003D1D24" w:rsidP="003D1D24">
      <w:pPr>
        <w:ind w:left="851" w:right="851"/>
        <w:jc w:val="both"/>
        <w:rPr>
          <w:rFonts w:ascii="Palatino Linotype" w:hAnsi="Palatino Linotype"/>
          <w:i/>
        </w:rPr>
      </w:pPr>
      <w:r w:rsidRPr="00594AF5">
        <w:rPr>
          <w:rFonts w:ascii="Palatino Linotype" w:hAnsi="Palatino Linotype"/>
          <w:i/>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60C06647" w14:textId="77777777" w:rsidR="003D1D24" w:rsidRDefault="003D1D24" w:rsidP="003D1D24">
      <w:pPr>
        <w:ind w:left="851" w:right="851"/>
        <w:jc w:val="both"/>
        <w:rPr>
          <w:rFonts w:ascii="Palatino Linotype" w:hAnsi="Palatino Linotype" w:cs="Arial"/>
          <w:i/>
        </w:rPr>
      </w:pPr>
      <w:r>
        <w:rPr>
          <w:rFonts w:ascii="Palatino Linotype" w:hAnsi="Palatino Linotype" w:cs="Arial"/>
          <w:i/>
        </w:rPr>
        <w:t>…</w:t>
      </w:r>
    </w:p>
    <w:p w14:paraId="5020A080" w14:textId="77777777" w:rsidR="003D1D24" w:rsidRDefault="003D1D24" w:rsidP="003D1D24">
      <w:pPr>
        <w:ind w:left="851" w:right="851"/>
        <w:jc w:val="both"/>
        <w:rPr>
          <w:rFonts w:ascii="Palatino Linotype" w:hAnsi="Palatino Linotype" w:cs="Arial"/>
          <w:i/>
        </w:rPr>
      </w:pPr>
      <w:r w:rsidRPr="00DD3C80">
        <w:rPr>
          <w:rFonts w:ascii="Palatino Linotype" w:hAnsi="Palatino Linotype" w:cs="Arial"/>
          <w:b/>
          <w:i/>
        </w:rPr>
        <w:t>Artículo 46.</w:t>
      </w:r>
      <w:r w:rsidRPr="00DD3C80">
        <w:rPr>
          <w:rFonts w:ascii="Palatino Linotype" w:hAnsi="Palatino Linotype" w:cs="Arial"/>
          <w:i/>
        </w:rPr>
        <w:t xml:space="preserve"> El Comité Coordinador, a propuesta del Comité de Participación Ciudadana, expedirá las normas, manuales e instructivos, así como los formatos impresos y electrónicos, bajo los cuales los declarantes deberán presentar la </w:t>
      </w:r>
      <w:r w:rsidRPr="0084266E">
        <w:rPr>
          <w:rFonts w:ascii="Palatino Linotype" w:hAnsi="Palatino Linotype" w:cs="Arial"/>
          <w:b/>
          <w:i/>
        </w:rPr>
        <w:t>declaración de intereses</w:t>
      </w:r>
      <w:r w:rsidRPr="00DD3C80">
        <w:rPr>
          <w:rFonts w:ascii="Palatino Linotype" w:hAnsi="Palatino Linotype" w:cs="Arial"/>
          <w:i/>
        </w:rPr>
        <w:t xml:space="preserve">, observando lo dispuesto en el artículo 30 de esta Ley. </w:t>
      </w:r>
    </w:p>
    <w:p w14:paraId="1288F69F" w14:textId="77777777" w:rsidR="00925E0C" w:rsidRDefault="00925E0C" w:rsidP="003D1D24">
      <w:pPr>
        <w:ind w:left="851" w:right="851"/>
        <w:jc w:val="both"/>
        <w:rPr>
          <w:rFonts w:ascii="Palatino Linotype" w:hAnsi="Palatino Linotype" w:cs="Arial"/>
          <w:i/>
        </w:rPr>
      </w:pPr>
    </w:p>
    <w:p w14:paraId="0EBA2379" w14:textId="77777777" w:rsidR="003D1D24" w:rsidRPr="00594AF5" w:rsidRDefault="003D1D24" w:rsidP="003D1D24">
      <w:pPr>
        <w:ind w:left="851" w:right="851"/>
        <w:jc w:val="both"/>
        <w:rPr>
          <w:rFonts w:ascii="Palatino Linotype" w:hAnsi="Palatino Linotype" w:cs="Arial"/>
          <w:i/>
        </w:rPr>
      </w:pPr>
      <w:r w:rsidRPr="00DD3C80">
        <w:rPr>
          <w:rFonts w:ascii="Palatino Linotype" w:hAnsi="Palatino Linotype" w:cs="Arial"/>
          <w:i/>
        </w:rPr>
        <w:t xml:space="preserve">La </w:t>
      </w:r>
      <w:r w:rsidRPr="0084266E">
        <w:rPr>
          <w:rFonts w:ascii="Palatino Linotype" w:hAnsi="Palatino Linotype" w:cs="Arial"/>
          <w:b/>
          <w:i/>
        </w:rPr>
        <w:t>declaración de intereses</w:t>
      </w:r>
      <w:r w:rsidRPr="00DD3C80">
        <w:rPr>
          <w:rFonts w:ascii="Palatino Linotype" w:hAnsi="Palatino Linotype" w:cs="Arial"/>
          <w:i/>
        </w:rPr>
        <w:t xml:space="preserve"> deberá presentarse en los plazos a que se refiere el artículo 34 de esta Ley, y de la misma manera le serán aplicables los procedimientos establecidos en dicho artículo, para el incumplimiento de dichos plazos. El servidor público deberá presentar la declaración en cualquier momento en el que, en el ejercicio de sus funciones, considere que se puede actualizar un posible conflicto de interés.</w:t>
      </w:r>
      <w:r>
        <w:rPr>
          <w:rFonts w:ascii="Palatino Linotype" w:hAnsi="Palatino Linotype" w:cs="Arial"/>
          <w:i/>
        </w:rPr>
        <w:t>”(SIC)</w:t>
      </w:r>
    </w:p>
    <w:p w14:paraId="15EF8BB0" w14:textId="77777777" w:rsidR="003D1D24" w:rsidRPr="005E77F1" w:rsidRDefault="003D1D24" w:rsidP="003D1D24">
      <w:pPr>
        <w:spacing w:line="360" w:lineRule="auto"/>
        <w:jc w:val="both"/>
        <w:rPr>
          <w:rFonts w:ascii="Palatino Linotype" w:eastAsia="Palatino Linotype" w:hAnsi="Palatino Linotype" w:cs="Palatino Linotype"/>
        </w:rPr>
      </w:pPr>
    </w:p>
    <w:p w14:paraId="21CE914B" w14:textId="77777777" w:rsidR="003D1D24"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Por su parte el artículo 44 y 46 de la Ley en análisis, prevé que la Secretaría de la Contraloría y los órganos internos de control se encargarán que las declaraciones sean integradas al sistema de evolución patrimonial, de declaración de intereses y presentación de la constancia de declaración fiscal.</w:t>
      </w:r>
    </w:p>
    <w:p w14:paraId="0CA8A01F" w14:textId="77777777" w:rsidR="003D1D24" w:rsidRPr="005E77F1" w:rsidRDefault="003D1D24" w:rsidP="003D1D24">
      <w:pPr>
        <w:spacing w:line="360" w:lineRule="auto"/>
        <w:jc w:val="both"/>
        <w:rPr>
          <w:rFonts w:ascii="Palatino Linotype" w:eastAsia="Palatino Linotype" w:hAnsi="Palatino Linotype" w:cs="Palatino Linotype"/>
        </w:rPr>
      </w:pPr>
    </w:p>
    <w:p w14:paraId="3C138FBE" w14:textId="77777777" w:rsidR="003D1D24"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lastRenderedPageBreak/>
        <w:t xml:space="preserve">La declaración de intereses tiene por objeto informar y determinar el conjunto de intereses de un servidor público a fin de delimitar cuando éstos entran en conflicto con su función, la cual deberá contener por lo menos: </w:t>
      </w:r>
    </w:p>
    <w:p w14:paraId="557E34A1" w14:textId="77777777" w:rsidR="003D1D24" w:rsidRPr="005E77F1" w:rsidRDefault="003D1D24" w:rsidP="003D1D24">
      <w:pPr>
        <w:spacing w:line="360" w:lineRule="auto"/>
        <w:jc w:val="both"/>
        <w:rPr>
          <w:rFonts w:ascii="Palatino Linotype" w:eastAsia="Palatino Linotype" w:hAnsi="Palatino Linotype" w:cs="Palatino Linotype"/>
        </w:rPr>
      </w:pPr>
    </w:p>
    <w:p w14:paraId="65B5DEB3" w14:textId="77777777" w:rsidR="003D1D24" w:rsidRPr="004D50E4" w:rsidRDefault="003D1D24" w:rsidP="003D1D24">
      <w:pPr>
        <w:ind w:left="851" w:right="851"/>
        <w:jc w:val="both"/>
        <w:rPr>
          <w:rFonts w:ascii="Palatino Linotype" w:hAnsi="Palatino Linotype" w:cs="Arial"/>
          <w:i/>
        </w:rPr>
      </w:pPr>
      <w:r w:rsidRPr="004D50E4">
        <w:rPr>
          <w:rFonts w:ascii="Palatino Linotype" w:hAnsi="Palatino Linotype" w:cs="Arial"/>
          <w:b/>
          <w:i/>
        </w:rPr>
        <w:t>I.</w:t>
      </w:r>
      <w:r w:rsidRPr="004D50E4">
        <w:rPr>
          <w:rFonts w:ascii="Palatino Linotype" w:hAnsi="Palatino Linotype" w:cs="Arial"/>
          <w:i/>
        </w:rPr>
        <w:t xml:space="preserve"> Intereses personales del declarante que pudieran influir en el empleo, cargo o comisión: como los son, datos del cónyuge, concubina o concubinario y dependientes económicos que laboren en el Gobierno Federal, Estatal o Municipal, o en órganos autónomos, familiares consanguíneos hasta el cuarto grado por afinidad o civil, que laboren en el Gobierno Federal, Estatal o Municipal, o en órganos autónomos. </w:t>
      </w:r>
    </w:p>
    <w:p w14:paraId="0D2D6D8B" w14:textId="77777777" w:rsidR="003D1D24" w:rsidRPr="004D50E4" w:rsidRDefault="003D1D24" w:rsidP="003D1D24">
      <w:pPr>
        <w:ind w:left="851" w:right="851"/>
        <w:jc w:val="both"/>
        <w:rPr>
          <w:rFonts w:ascii="Palatino Linotype" w:hAnsi="Palatino Linotype" w:cs="Arial"/>
          <w:i/>
        </w:rPr>
      </w:pPr>
      <w:r w:rsidRPr="004D50E4">
        <w:rPr>
          <w:rFonts w:ascii="Palatino Linotype" w:hAnsi="Palatino Linotype" w:cs="Arial"/>
          <w:b/>
          <w:i/>
        </w:rPr>
        <w:t>II.</w:t>
      </w:r>
      <w:r w:rsidRPr="004D50E4">
        <w:rPr>
          <w:rFonts w:ascii="Palatino Linotype" w:hAnsi="Palatino Linotype" w:cs="Arial"/>
          <w:i/>
        </w:rPr>
        <w:t xml:space="preserve"> Participación económica o financiera del declarante, concubina, concubinario, familiares consanguíneos hasta el cuarto grado por afinidad o civil y/o dependientes económicos a la fecha de conclusión.- Tipo de participación o contrato y/o tipo de sociedad.</w:t>
      </w:r>
    </w:p>
    <w:p w14:paraId="22D03248" w14:textId="77777777" w:rsidR="003D1D24" w:rsidRPr="004D50E4" w:rsidRDefault="003D1D24" w:rsidP="003D1D24">
      <w:pPr>
        <w:ind w:left="851" w:right="851"/>
        <w:jc w:val="both"/>
        <w:rPr>
          <w:rFonts w:ascii="Palatino Linotype" w:hAnsi="Palatino Linotype" w:cs="Arial"/>
          <w:i/>
        </w:rPr>
      </w:pPr>
      <w:r w:rsidRPr="004D50E4">
        <w:rPr>
          <w:rFonts w:ascii="Palatino Linotype" w:hAnsi="Palatino Linotype" w:cs="Arial"/>
          <w:b/>
          <w:i/>
        </w:rPr>
        <w:t xml:space="preserve"> III.</w:t>
      </w:r>
      <w:r w:rsidRPr="004D50E4">
        <w:rPr>
          <w:rFonts w:ascii="Palatino Linotype" w:hAnsi="Palatino Linotype" w:cs="Arial"/>
          <w:i/>
        </w:rPr>
        <w:t xml:space="preserve">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14:paraId="2825C442" w14:textId="77777777" w:rsidR="003D1D24" w:rsidRPr="004D50E4" w:rsidRDefault="003D1D24" w:rsidP="003D1D24">
      <w:pPr>
        <w:ind w:left="851" w:right="851"/>
        <w:jc w:val="both"/>
        <w:rPr>
          <w:rFonts w:ascii="Palatino Linotype" w:hAnsi="Palatino Linotype" w:cs="Arial"/>
          <w:i/>
        </w:rPr>
      </w:pPr>
      <w:r w:rsidRPr="004D50E4">
        <w:rPr>
          <w:rFonts w:ascii="Palatino Linotype" w:hAnsi="Palatino Linotype" w:cs="Arial"/>
          <w:b/>
          <w:i/>
        </w:rPr>
        <w:t>IV.</w:t>
      </w:r>
      <w:r w:rsidRPr="004D50E4">
        <w:rPr>
          <w:rFonts w:ascii="Palatino Linotype" w:hAnsi="Palatino Linotype" w:cs="Arial"/>
          <w:i/>
        </w:rPr>
        <w:t xml:space="preserve"> Viajes del declarante, cónyuge, concubina, concubinario, familiares hasta en segundo grado y/o dependientes económicos del cónyuge, dependientes económicos o familiares hasta en segundo grado financiados por terceros.</w:t>
      </w:r>
    </w:p>
    <w:p w14:paraId="4BE6D21F" w14:textId="77777777" w:rsidR="003D1D24" w:rsidRPr="004D50E4" w:rsidRDefault="003D1D24" w:rsidP="003D1D24">
      <w:pPr>
        <w:ind w:left="851" w:right="851"/>
        <w:jc w:val="both"/>
        <w:rPr>
          <w:rFonts w:ascii="Palatino Linotype" w:hAnsi="Palatino Linotype" w:cs="Arial"/>
          <w:i/>
        </w:rPr>
      </w:pPr>
      <w:r w:rsidRPr="004D50E4">
        <w:rPr>
          <w:rFonts w:ascii="Palatino Linotype" w:hAnsi="Palatino Linotype" w:cs="Arial"/>
          <w:b/>
          <w:i/>
        </w:rPr>
        <w:t>V.</w:t>
      </w:r>
      <w:r w:rsidRPr="004D50E4">
        <w:rPr>
          <w:rFonts w:ascii="Palatino Linotype" w:hAnsi="Palatino Linotype" w:cs="Arial"/>
          <w:i/>
        </w:rPr>
        <w:t xml:space="preserve"> Donativos realizados y/o recibidos por el declarante, cónyuge, concubina, concubinario, familiares hasta en segundo grado y/o dependientes económicos, así como los que hubieran realizado a fundaciones u organizaciones no lucrativas de las que forma parte el declarante.</w:t>
      </w:r>
    </w:p>
    <w:p w14:paraId="7117C74D" w14:textId="77777777" w:rsidR="003D1D24" w:rsidRDefault="003D1D24" w:rsidP="003D1D24">
      <w:pPr>
        <w:spacing w:line="360" w:lineRule="auto"/>
        <w:jc w:val="both"/>
        <w:rPr>
          <w:rFonts w:ascii="Palatino Linotype" w:eastAsia="Palatino Linotype" w:hAnsi="Palatino Linotype" w:cs="Palatino Linotype"/>
        </w:rPr>
      </w:pPr>
    </w:p>
    <w:p w14:paraId="3845BF39" w14:textId="1C353CAD" w:rsidR="003D1D24"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 xml:space="preserve">A mayor abundamiento, es de subrayar que la información prevista en el sistema de declaración de intereses, se almacenará en la plataforma digital estatal que </w:t>
      </w:r>
      <w:r w:rsidRPr="005E77F1">
        <w:rPr>
          <w:rFonts w:ascii="Palatino Linotype" w:eastAsia="Palatino Linotype" w:hAnsi="Palatino Linotype" w:cs="Palatino Linotype"/>
        </w:rPr>
        <w:lastRenderedPageBreak/>
        <w:t xml:space="preserve">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w:t>
      </w:r>
      <w:r w:rsidR="00925E0C">
        <w:rPr>
          <w:rFonts w:ascii="Palatino Linotype" w:eastAsia="Palatino Linotype" w:hAnsi="Palatino Linotype" w:cs="Palatino Linotype"/>
        </w:rPr>
        <w:t xml:space="preserve">Local </w:t>
      </w:r>
      <w:r w:rsidRPr="005E77F1">
        <w:rPr>
          <w:rFonts w:ascii="Palatino Linotype" w:eastAsia="Palatino Linotype" w:hAnsi="Palatino Linotype" w:cs="Palatino Linotype"/>
        </w:rPr>
        <w:t>del Sistema</w:t>
      </w:r>
      <w:r w:rsidRPr="00061CB5">
        <w:rPr>
          <w:rFonts w:ascii="Palatino Linotype" w:eastAsia="Palatino Linotype" w:hAnsi="Palatino Linotype" w:cs="Palatino Linotype"/>
          <w:sz w:val="16"/>
        </w:rPr>
        <w:footnoteReference w:id="1"/>
      </w:r>
      <w:r w:rsidRPr="00061CB5">
        <w:rPr>
          <w:rFonts w:ascii="Palatino Linotype" w:eastAsia="Palatino Linotype" w:hAnsi="Palatino Linotype" w:cs="Palatino Linotype"/>
          <w:sz w:val="16"/>
        </w:rPr>
        <w:t xml:space="preserve">. </w:t>
      </w:r>
    </w:p>
    <w:p w14:paraId="66C5B70F" w14:textId="77777777" w:rsidR="003D1D24" w:rsidRPr="005E77F1" w:rsidRDefault="003D1D24" w:rsidP="003D1D24">
      <w:pPr>
        <w:spacing w:line="360" w:lineRule="auto"/>
        <w:jc w:val="both"/>
        <w:rPr>
          <w:rFonts w:ascii="Palatino Linotype" w:eastAsia="Palatino Linotype" w:hAnsi="Palatino Linotype" w:cs="Palatino Linotype"/>
        </w:rPr>
      </w:pPr>
    </w:p>
    <w:p w14:paraId="4A0CB3FC" w14:textId="77777777" w:rsidR="003D1D24"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En el sistema de declaración de intereses, se inscribirán los datos públicos de los servidores públicos obligados a presentar declaraciones y de intereses</w:t>
      </w:r>
      <w:r w:rsidRPr="00061CB5">
        <w:rPr>
          <w:rFonts w:ascii="Palatino Linotype" w:eastAsia="Palatino Linotype" w:hAnsi="Palatino Linotype" w:cs="Palatino Linotype"/>
          <w:sz w:val="18"/>
        </w:rPr>
        <w:footnoteReference w:id="2"/>
      </w:r>
      <w:r w:rsidRPr="005E77F1">
        <w:rPr>
          <w:rFonts w:ascii="Palatino Linotype" w:eastAsia="Palatino Linotype" w:hAnsi="Palatino Linotype" w:cs="Palatino Linotype"/>
        </w:rPr>
        <w:t xml:space="preserve">. </w:t>
      </w:r>
    </w:p>
    <w:p w14:paraId="646195D9" w14:textId="77777777" w:rsidR="003D1D24" w:rsidRPr="005E77F1" w:rsidRDefault="003D1D24" w:rsidP="003D1D24">
      <w:pPr>
        <w:spacing w:line="360" w:lineRule="auto"/>
        <w:jc w:val="both"/>
        <w:rPr>
          <w:rFonts w:ascii="Palatino Linotype" w:eastAsia="Palatino Linotype" w:hAnsi="Palatino Linotype" w:cs="Palatino Linotype"/>
        </w:rPr>
      </w:pPr>
    </w:p>
    <w:p w14:paraId="0EBE94BB" w14:textId="77777777" w:rsidR="003D1D24"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 xml:space="preserve">Siendo pertinente agregar que el artículo 32, refiere que la Secretaría de la Contraloría, así como los órganos internos de control, según corresponda, serán responsables de inscribir y mantener actualizada en el sistema de evolución de declaración de intereses, la información correspondiente a sus servidores públicos declarantes. 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p w14:paraId="405C76D1" w14:textId="77777777" w:rsidR="003D1D24" w:rsidRPr="005E77F1" w:rsidRDefault="003D1D24" w:rsidP="003D1D24">
      <w:pPr>
        <w:spacing w:line="360" w:lineRule="auto"/>
        <w:jc w:val="both"/>
        <w:rPr>
          <w:rFonts w:ascii="Palatino Linotype" w:eastAsia="Palatino Linotype" w:hAnsi="Palatino Linotype" w:cs="Palatino Linotype"/>
        </w:rPr>
      </w:pPr>
    </w:p>
    <w:p w14:paraId="36470233" w14:textId="77777777" w:rsidR="003D1D24"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 xml:space="preserve">Para tales efectos, la Secretaría de la Contraloría podrá firmar Convenios con el Servicio de Administración Tributaria, con la Comisión Nacional Bancaria y de </w:t>
      </w:r>
      <w:r w:rsidRPr="005E77F1">
        <w:rPr>
          <w:rFonts w:ascii="Palatino Linotype" w:eastAsia="Palatino Linotype" w:hAnsi="Palatino Linotype" w:cs="Palatino Linotype"/>
        </w:rPr>
        <w:lastRenderedPageBreak/>
        <w:t xml:space="preserve">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 </w:t>
      </w:r>
    </w:p>
    <w:p w14:paraId="5D2C22EF" w14:textId="77777777" w:rsidR="003D1D24" w:rsidRPr="005E77F1" w:rsidRDefault="003D1D24" w:rsidP="003D1D24">
      <w:pPr>
        <w:spacing w:line="360" w:lineRule="auto"/>
        <w:jc w:val="both"/>
        <w:rPr>
          <w:rFonts w:ascii="Palatino Linotype" w:eastAsia="Palatino Linotype" w:hAnsi="Palatino Linotype" w:cs="Palatino Linotype"/>
        </w:rPr>
      </w:pPr>
    </w:p>
    <w:p w14:paraId="014524D0" w14:textId="77777777" w:rsidR="003D1D24" w:rsidRPr="00925E0C" w:rsidRDefault="003D1D24" w:rsidP="003D1D24">
      <w:pPr>
        <w:spacing w:line="360" w:lineRule="auto"/>
        <w:jc w:val="both"/>
        <w:rPr>
          <w:rFonts w:ascii="Palatino Linotype" w:eastAsia="Palatino Linotype" w:hAnsi="Palatino Linotype" w:cs="Palatino Linotype"/>
          <w:b/>
        </w:rPr>
      </w:pPr>
      <w:r w:rsidRPr="005E77F1">
        <w:rPr>
          <w:rFonts w:ascii="Palatino Linotype" w:eastAsia="Palatino Linotype" w:hAnsi="Palatino Linotype" w:cs="Palatino Linotype"/>
        </w:rPr>
        <w:t xml:space="preserve">Conforme al marco normativo planteado, es indispensable traer a colación lo previsto en el artículo 38 bis, fracción XVII de la Ley Orgánica de la Administración Pública del Estado de México, en el que se </w:t>
      </w:r>
      <w:r w:rsidRPr="00925E0C">
        <w:rPr>
          <w:rFonts w:ascii="Palatino Linotype" w:eastAsia="Palatino Linotype" w:hAnsi="Palatino Linotype" w:cs="Palatino Linotype"/>
          <w:b/>
        </w:rPr>
        <w:t>establece como competencia de la Secretaría de la Contraloría, recibir y registrar la declaración de intereses y determinar el Conflicto de Intereses de los servidores públicos del Estado y municipios.</w:t>
      </w:r>
    </w:p>
    <w:p w14:paraId="54A1E7F3" w14:textId="77777777" w:rsidR="003D1D24" w:rsidRPr="005E77F1" w:rsidRDefault="003D1D24" w:rsidP="003D1D24">
      <w:pPr>
        <w:spacing w:line="360" w:lineRule="auto"/>
        <w:jc w:val="both"/>
        <w:rPr>
          <w:rFonts w:ascii="Palatino Linotype" w:eastAsia="Palatino Linotype" w:hAnsi="Palatino Linotype" w:cs="Palatino Linotype"/>
        </w:rPr>
      </w:pPr>
    </w:p>
    <w:p w14:paraId="44687D09" w14:textId="7791A925" w:rsidR="002E22F6" w:rsidRDefault="003D1D24" w:rsidP="003D1D24">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En ese sentido, el Reglamento Interior de la Secretaría de la Contraloría, señala en su artículo 24 fracción VI y VII, que corresponde a la Dirección General de Responsabilidades Administrativas, entre otras atribuciones, recibir las declaraciones de intereses de los servidores públicos de la Administración Pública Estatal y Municipal, así como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w:t>
      </w:r>
      <w:r w:rsidR="002E22F6">
        <w:rPr>
          <w:rFonts w:ascii="Palatino Linotype" w:eastAsia="Palatino Linotype" w:hAnsi="Palatino Linotype" w:cs="Palatino Linotype"/>
        </w:rPr>
        <w:t>posiciones jurídicas aplicables, se inserta contenido original:</w:t>
      </w:r>
    </w:p>
    <w:p w14:paraId="6A812911" w14:textId="77777777" w:rsidR="002E22F6" w:rsidRDefault="002E22F6" w:rsidP="003D1D24">
      <w:pPr>
        <w:spacing w:line="360" w:lineRule="auto"/>
        <w:jc w:val="both"/>
        <w:rPr>
          <w:rFonts w:ascii="Palatino Linotype" w:eastAsia="Palatino Linotype" w:hAnsi="Palatino Linotype" w:cs="Palatino Linotype"/>
        </w:rPr>
      </w:pPr>
    </w:p>
    <w:p w14:paraId="78116563" w14:textId="75DBDB7A" w:rsidR="002E22F6" w:rsidRPr="002E22F6" w:rsidRDefault="002E22F6" w:rsidP="002E22F6">
      <w:pPr>
        <w:spacing w:line="360" w:lineRule="auto"/>
        <w:ind w:left="567" w:right="616"/>
        <w:jc w:val="both"/>
        <w:rPr>
          <w:rFonts w:ascii="Palatino Linotype" w:eastAsia="Palatino Linotype" w:hAnsi="Palatino Linotype" w:cs="Palatino Linotype"/>
          <w:i/>
          <w:sz w:val="22"/>
        </w:rPr>
      </w:pPr>
      <w:r w:rsidRPr="002E22F6">
        <w:rPr>
          <w:rFonts w:ascii="Palatino Linotype" w:hAnsi="Palatino Linotype"/>
          <w:i/>
          <w:sz w:val="22"/>
        </w:rPr>
        <w:lastRenderedPageBreak/>
        <w:t>Artículo 24. A la Dirección General de Responsabilidades Administrativas, corresponden las atribuciones siguientes:</w:t>
      </w:r>
    </w:p>
    <w:p w14:paraId="2A12D958" w14:textId="03A6E91C" w:rsidR="002E22F6" w:rsidRPr="002E22F6" w:rsidRDefault="002E22F6" w:rsidP="002E22F6">
      <w:pPr>
        <w:spacing w:line="360" w:lineRule="auto"/>
        <w:ind w:left="567" w:right="616"/>
        <w:jc w:val="both"/>
        <w:rPr>
          <w:rFonts w:ascii="Palatino Linotype" w:eastAsia="Palatino Linotype" w:hAnsi="Palatino Linotype" w:cs="Palatino Linotype"/>
          <w:i/>
          <w:sz w:val="22"/>
        </w:rPr>
      </w:pPr>
      <w:r w:rsidRPr="002E22F6">
        <w:rPr>
          <w:rFonts w:ascii="Palatino Linotype" w:eastAsia="Palatino Linotype" w:hAnsi="Palatino Linotype" w:cs="Palatino Linotype"/>
          <w:i/>
          <w:sz w:val="22"/>
        </w:rPr>
        <w:t>…</w:t>
      </w:r>
    </w:p>
    <w:p w14:paraId="35498973" w14:textId="77777777" w:rsidR="002E22F6" w:rsidRPr="002E22F6" w:rsidRDefault="002E22F6" w:rsidP="002E22F6">
      <w:pPr>
        <w:spacing w:line="360" w:lineRule="auto"/>
        <w:ind w:left="567" w:right="616"/>
        <w:jc w:val="both"/>
        <w:rPr>
          <w:rFonts w:ascii="Palatino Linotype" w:hAnsi="Palatino Linotype"/>
          <w:i/>
          <w:sz w:val="22"/>
        </w:rPr>
      </w:pPr>
      <w:r w:rsidRPr="002E22F6">
        <w:rPr>
          <w:rFonts w:ascii="Palatino Linotype" w:hAnsi="Palatino Linotype"/>
          <w:i/>
          <w:sz w:val="22"/>
        </w:rPr>
        <w:t xml:space="preserve">VI. Recibir las declaraciones de situación patrimonial, de intereses y el acuse de la presentación de la declaración fiscal de los servidores públicos de la Administración Pública Estatal y Municipal; </w:t>
      </w:r>
    </w:p>
    <w:p w14:paraId="3028C3D6" w14:textId="612AD60B" w:rsidR="002E22F6" w:rsidRPr="002E22F6" w:rsidRDefault="002E22F6" w:rsidP="002E22F6">
      <w:pPr>
        <w:spacing w:line="360" w:lineRule="auto"/>
        <w:ind w:left="567" w:right="616"/>
        <w:jc w:val="both"/>
        <w:rPr>
          <w:rFonts w:ascii="Palatino Linotype" w:hAnsi="Palatino Linotype"/>
          <w:i/>
          <w:sz w:val="22"/>
        </w:rPr>
      </w:pPr>
      <w:r w:rsidRPr="002E22F6">
        <w:rPr>
          <w:rFonts w:ascii="Palatino Linotype" w:hAnsi="Palatino Linotype"/>
          <w:i/>
          <w:sz w:val="22"/>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436258F6" w14:textId="10B30A2F" w:rsidR="002E22F6" w:rsidRPr="002E22F6" w:rsidRDefault="002E22F6" w:rsidP="002E22F6">
      <w:pPr>
        <w:spacing w:line="360" w:lineRule="auto"/>
        <w:ind w:left="567" w:right="616"/>
        <w:jc w:val="both"/>
        <w:rPr>
          <w:rFonts w:ascii="Palatino Linotype" w:eastAsia="Palatino Linotype" w:hAnsi="Palatino Linotype" w:cs="Palatino Linotype"/>
          <w:i/>
          <w:sz w:val="22"/>
        </w:rPr>
      </w:pPr>
      <w:r w:rsidRPr="002E22F6">
        <w:rPr>
          <w:rFonts w:ascii="Palatino Linotype" w:hAnsi="Palatino Linotype"/>
          <w:i/>
          <w:sz w:val="22"/>
        </w:rPr>
        <w:t>…</w:t>
      </w:r>
    </w:p>
    <w:p w14:paraId="1F2B9560" w14:textId="77777777" w:rsidR="003D1D24" w:rsidRPr="005E77F1" w:rsidRDefault="003D1D24" w:rsidP="003D1D24">
      <w:pPr>
        <w:spacing w:line="360" w:lineRule="auto"/>
        <w:jc w:val="both"/>
        <w:rPr>
          <w:rFonts w:ascii="Palatino Linotype" w:eastAsia="Palatino Linotype" w:hAnsi="Palatino Linotype" w:cs="Palatino Linotype"/>
        </w:rPr>
      </w:pPr>
    </w:p>
    <w:p w14:paraId="7567268A" w14:textId="7F8236E3" w:rsidR="001E68FA" w:rsidRDefault="003D1D24" w:rsidP="001E68FA">
      <w:pPr>
        <w:spacing w:line="360" w:lineRule="auto"/>
        <w:jc w:val="both"/>
        <w:rPr>
          <w:rFonts w:ascii="Palatino Linotype" w:eastAsia="Palatino Linotype" w:hAnsi="Palatino Linotype" w:cs="Palatino Linotype"/>
        </w:rPr>
      </w:pPr>
      <w:r w:rsidRPr="005E77F1">
        <w:rPr>
          <w:rFonts w:ascii="Palatino Linotype" w:eastAsia="Palatino Linotype" w:hAnsi="Palatino Linotype" w:cs="Palatino Linotype"/>
        </w:rPr>
        <w:t xml:space="preserve">Con lo cual, queda de manifiesto que el Sujeto Obligado </w:t>
      </w:r>
      <w:r w:rsidR="001E68FA">
        <w:rPr>
          <w:rFonts w:ascii="Palatino Linotype" w:eastAsia="Palatino Linotype" w:hAnsi="Palatino Linotype" w:cs="Palatino Linotype"/>
        </w:rPr>
        <w:t xml:space="preserve">que tiene atribuciones, funciones y competencias para administrar y poseer la información relacionada con las declaraciones patrimoniales y de intereses de los Servidores </w:t>
      </w:r>
      <w:r w:rsidR="0024641B">
        <w:rPr>
          <w:rFonts w:ascii="Palatino Linotype" w:eastAsia="Palatino Linotype" w:hAnsi="Palatino Linotype" w:cs="Palatino Linotype"/>
        </w:rPr>
        <w:t xml:space="preserve">Públicos del Estado de México </w:t>
      </w:r>
      <w:r w:rsidR="001E68FA">
        <w:rPr>
          <w:rFonts w:ascii="Palatino Linotype" w:eastAsia="Palatino Linotype" w:hAnsi="Palatino Linotype" w:cs="Palatino Linotype"/>
        </w:rPr>
        <w:t>es la Secretaría de la Contraloría, en consecuencia, el Presente asunto en particular debió versar sobre la declaración de incompetencia que manifestó el Sujeto Obligado desde la respuesta a la solicitud de acceso a la información pública.</w:t>
      </w:r>
    </w:p>
    <w:p w14:paraId="35DCEEB1" w14:textId="77777777" w:rsidR="001E68FA" w:rsidRDefault="001E68FA" w:rsidP="001E68FA">
      <w:pPr>
        <w:spacing w:line="360" w:lineRule="auto"/>
        <w:jc w:val="both"/>
        <w:rPr>
          <w:rFonts w:ascii="Palatino Linotype" w:hAnsi="Palatino Linotype"/>
        </w:rPr>
      </w:pPr>
    </w:p>
    <w:p w14:paraId="55459058" w14:textId="0CE80F92" w:rsidR="00C373ED" w:rsidRPr="009B6CFB" w:rsidRDefault="009B6CFB" w:rsidP="009B6CFB">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Pr>
          <w:rFonts w:eastAsia="Times New Roman" w:cs="Times New Roman"/>
          <w:lang w:eastAsia="es-ES"/>
        </w:rPr>
        <w:t xml:space="preserve"> </w:t>
      </w:r>
      <w:r w:rsidRPr="00CB2F05">
        <w:rPr>
          <w:rFonts w:eastAsia="Times New Roman" w:cs="Times New Roman"/>
          <w:lang w:eastAsia="es-ES"/>
        </w:rPr>
        <w:t>----------------------------------------------------------------------------------------------------------------------------------------------------------------------------------------------------</w:t>
      </w:r>
    </w:p>
    <w:p w14:paraId="457CC60C" w14:textId="68BF6652" w:rsidR="008936B4" w:rsidRDefault="008936B4" w:rsidP="00C373ED">
      <w:pPr>
        <w:pStyle w:val="Textoindependiente"/>
        <w:spacing w:line="360" w:lineRule="auto"/>
        <w:rPr>
          <w:rFonts w:eastAsia="Calibri" w:cs="Tahoma"/>
          <w:bCs/>
          <w:sz w:val="22"/>
          <w:szCs w:val="22"/>
          <w:lang w:val="es-MX"/>
        </w:rPr>
      </w:pPr>
      <w:r>
        <w:rPr>
          <w:rFonts w:eastAsia="Calibri" w:cs="Tahoma"/>
          <w:bCs/>
          <w:sz w:val="22"/>
          <w:szCs w:val="22"/>
          <w:lang w:val="es-MX"/>
        </w:rPr>
        <w:lastRenderedPageBreak/>
        <w:tab/>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088CA43" w14:textId="77777777" w:rsidR="009A5ED0" w:rsidRDefault="009A5ED0" w:rsidP="005C4513">
      <w:pPr>
        <w:spacing w:before="240" w:after="240" w:line="360" w:lineRule="auto"/>
        <w:jc w:val="both"/>
        <w:rPr>
          <w:rFonts w:ascii="Palatino Linotype" w:hAnsi="Palatino Linotype" w:cs="Arial"/>
        </w:rPr>
      </w:pPr>
    </w:p>
    <w:p w14:paraId="5AC44EDF" w14:textId="77777777" w:rsidR="009A5ED0" w:rsidRDefault="009A5ED0" w:rsidP="005C4513">
      <w:pPr>
        <w:spacing w:before="240" w:after="240" w:line="360" w:lineRule="auto"/>
        <w:jc w:val="both"/>
        <w:rPr>
          <w:rFonts w:ascii="Palatino Linotype" w:hAnsi="Palatino Linotype" w:cs="Arial"/>
        </w:rPr>
      </w:pPr>
    </w:p>
    <w:p w14:paraId="38129562" w14:textId="77777777" w:rsidR="009A5ED0" w:rsidRDefault="009A5ED0" w:rsidP="005C4513">
      <w:pPr>
        <w:spacing w:before="240" w:after="240" w:line="360" w:lineRule="auto"/>
        <w:jc w:val="both"/>
        <w:rPr>
          <w:rFonts w:ascii="Palatino Linotype" w:hAnsi="Palatino Linotype" w:cs="Arial"/>
        </w:rPr>
      </w:pPr>
    </w:p>
    <w:p w14:paraId="3BF9984F" w14:textId="77777777" w:rsidR="009A5ED0" w:rsidRDefault="009A5ED0" w:rsidP="005C4513">
      <w:pPr>
        <w:spacing w:before="240" w:after="240" w:line="360" w:lineRule="auto"/>
        <w:jc w:val="both"/>
        <w:rPr>
          <w:rFonts w:ascii="Palatino Linotype" w:hAnsi="Palatino Linotype" w:cs="Arial"/>
        </w:rPr>
      </w:pPr>
    </w:p>
    <w:p w14:paraId="7154E204" w14:textId="77777777" w:rsidR="009A5ED0" w:rsidRDefault="009A5ED0" w:rsidP="005C4513">
      <w:pPr>
        <w:spacing w:before="240" w:after="240" w:line="360" w:lineRule="auto"/>
        <w:jc w:val="both"/>
        <w:rPr>
          <w:rFonts w:ascii="Palatino Linotype" w:hAnsi="Palatino Linotype" w:cs="Arial"/>
        </w:rPr>
      </w:pPr>
    </w:p>
    <w:p w14:paraId="384C93BA" w14:textId="77777777" w:rsidR="002027E5" w:rsidRDefault="002027E5" w:rsidP="005C4513">
      <w:pPr>
        <w:spacing w:before="240" w:after="240" w:line="360" w:lineRule="auto"/>
        <w:jc w:val="both"/>
        <w:rPr>
          <w:rFonts w:ascii="Palatino Linotype" w:hAnsi="Palatino Linotype" w:cs="Arial"/>
        </w:rPr>
      </w:pPr>
    </w:p>
    <w:p w14:paraId="6CCC1E9C" w14:textId="77777777" w:rsidR="002027E5" w:rsidRDefault="002027E5" w:rsidP="005C4513">
      <w:pPr>
        <w:spacing w:before="240" w:after="240" w:line="360" w:lineRule="auto"/>
        <w:jc w:val="both"/>
        <w:rPr>
          <w:rFonts w:ascii="Palatino Linotype" w:hAnsi="Palatino Linotype" w:cs="Arial"/>
        </w:rPr>
      </w:pPr>
    </w:p>
    <w:p w14:paraId="6DBF30EB" w14:textId="77777777" w:rsidR="002027E5" w:rsidRDefault="002027E5" w:rsidP="005C4513">
      <w:pPr>
        <w:spacing w:before="240" w:after="240" w:line="360" w:lineRule="auto"/>
        <w:jc w:val="both"/>
        <w:rPr>
          <w:rFonts w:ascii="Palatino Linotype" w:hAnsi="Palatino Linotype" w:cs="Arial"/>
        </w:rPr>
      </w:pPr>
    </w:p>
    <w:p w14:paraId="5AC49716" w14:textId="77777777" w:rsidR="002027E5" w:rsidRDefault="002027E5" w:rsidP="005C4513">
      <w:pPr>
        <w:spacing w:before="240" w:after="240" w:line="360" w:lineRule="auto"/>
        <w:jc w:val="both"/>
        <w:rPr>
          <w:rFonts w:ascii="Palatino Linotype" w:hAnsi="Palatino Linotype" w:cs="Arial"/>
        </w:rPr>
      </w:pPr>
    </w:p>
    <w:p w14:paraId="42E5209A" w14:textId="77777777" w:rsidR="002027E5" w:rsidRDefault="002027E5" w:rsidP="005C4513">
      <w:pPr>
        <w:spacing w:before="240" w:after="240" w:line="360" w:lineRule="auto"/>
        <w:jc w:val="both"/>
        <w:rPr>
          <w:rFonts w:ascii="Palatino Linotype" w:hAnsi="Palatino Linotype" w:cs="Arial"/>
        </w:rPr>
      </w:pPr>
    </w:p>
    <w:p w14:paraId="6B208637" w14:textId="77777777" w:rsidR="002027E5" w:rsidRDefault="002027E5" w:rsidP="005C4513">
      <w:pPr>
        <w:spacing w:before="240" w:after="240" w:line="360" w:lineRule="auto"/>
        <w:jc w:val="both"/>
        <w:rPr>
          <w:rFonts w:ascii="Palatino Linotype" w:hAnsi="Palatino Linotype" w:cs="Arial"/>
        </w:rPr>
      </w:pPr>
    </w:p>
    <w:p w14:paraId="4D30BEBD" w14:textId="77777777" w:rsidR="002027E5" w:rsidRDefault="002027E5" w:rsidP="005C4513">
      <w:pPr>
        <w:spacing w:before="240" w:after="240" w:line="360" w:lineRule="auto"/>
        <w:jc w:val="both"/>
        <w:rPr>
          <w:rFonts w:ascii="Palatino Linotype" w:hAnsi="Palatino Linotype" w:cs="Arial"/>
        </w:rPr>
      </w:pPr>
    </w:p>
    <w:sectPr w:rsidR="002027E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8C0AE" w14:textId="77777777" w:rsidR="00B32619" w:rsidRDefault="00B32619" w:rsidP="00C80F8C">
      <w:r>
        <w:separator/>
      </w:r>
    </w:p>
  </w:endnote>
  <w:endnote w:type="continuationSeparator" w:id="0">
    <w:p w14:paraId="7A1D2345" w14:textId="77777777" w:rsidR="00B32619" w:rsidRDefault="00B326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5BE50" w14:textId="77777777" w:rsidR="00B32619" w:rsidRDefault="00B32619" w:rsidP="00C80F8C">
      <w:r>
        <w:separator/>
      </w:r>
    </w:p>
  </w:footnote>
  <w:footnote w:type="continuationSeparator" w:id="0">
    <w:p w14:paraId="56AFB4CA" w14:textId="77777777" w:rsidR="00B32619" w:rsidRDefault="00B32619" w:rsidP="00C80F8C">
      <w:r>
        <w:continuationSeparator/>
      </w:r>
    </w:p>
  </w:footnote>
  <w:footnote w:id="1">
    <w:p w14:paraId="7B26CB01" w14:textId="77777777" w:rsidR="003D1D24" w:rsidRPr="00597C88" w:rsidRDefault="003D1D24" w:rsidP="003D1D24">
      <w:pPr>
        <w:pStyle w:val="Textonotapie"/>
        <w:rPr>
          <w:rFonts w:ascii="Palatino Linotype" w:hAnsi="Palatino Linotype"/>
          <w:sz w:val="16"/>
          <w:szCs w:val="16"/>
        </w:rPr>
      </w:pPr>
      <w:r>
        <w:rPr>
          <w:rStyle w:val="Refdenotaalpie"/>
        </w:rPr>
        <w:footnoteRef/>
      </w:r>
      <w:r>
        <w:t xml:space="preserve"> </w:t>
      </w:r>
      <w:r w:rsidRPr="00597C88">
        <w:rPr>
          <w:rFonts w:ascii="Palatino Linotype" w:hAnsi="Palatino Linotype"/>
          <w:i/>
          <w:sz w:val="16"/>
          <w:szCs w:val="16"/>
        </w:rPr>
        <w:t xml:space="preserve">Cfr. </w:t>
      </w:r>
      <w:r w:rsidRPr="00597C88">
        <w:rPr>
          <w:rFonts w:ascii="Palatino Linotype" w:hAnsi="Palatino Linotype"/>
          <w:sz w:val="16"/>
          <w:szCs w:val="16"/>
        </w:rPr>
        <w:t>Artículo 28 de la Ley de Responsabilidades Administrativas del Estado de México y Municipios.</w:t>
      </w:r>
    </w:p>
  </w:footnote>
  <w:footnote w:id="2">
    <w:p w14:paraId="1A46E737" w14:textId="77777777" w:rsidR="003D1D24" w:rsidRPr="00872D44" w:rsidRDefault="003D1D24" w:rsidP="003D1D24">
      <w:pPr>
        <w:pStyle w:val="Textonotapie"/>
      </w:pPr>
      <w:r>
        <w:rPr>
          <w:rStyle w:val="Refdenotaalpie"/>
        </w:rPr>
        <w:footnoteRef/>
      </w:r>
      <w:r>
        <w:t xml:space="preserve"> </w:t>
      </w:r>
      <w:r w:rsidRPr="00872D44">
        <w:rPr>
          <w:rFonts w:ascii="Palatino Linotype" w:hAnsi="Palatino Linotype"/>
          <w:sz w:val="16"/>
          <w:szCs w:val="16"/>
        </w:rPr>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B32619">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B32619"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791D7709" w14:textId="378321B7" w:rsidR="00897099" w:rsidRDefault="00F47FB5" w:rsidP="00C373ED">
    <w:pPr>
      <w:pStyle w:val="Encabezado"/>
      <w:ind w:left="2835" w:right="-250"/>
      <w:rPr>
        <w:rFonts w:ascii="Palatino Linotype" w:hAnsi="Palatino Linotype" w:cs="Tahoma"/>
        <w:b/>
      </w:rPr>
    </w:pPr>
    <w:r>
      <w:rPr>
        <w:rFonts w:ascii="Palatino Linotype" w:hAnsi="Palatino Linotype" w:cs="Tahoma"/>
        <w:b/>
      </w:rPr>
      <w:t xml:space="preserve">Recurso de Revisión: </w:t>
    </w:r>
    <w:r w:rsidR="009C6E75" w:rsidRPr="009C6E75">
      <w:rPr>
        <w:rFonts w:ascii="Palatino Linotype" w:hAnsi="Palatino Linotype" w:cs="Tahoma"/>
        <w:b/>
        <w:sz w:val="22"/>
        <w:szCs w:val="22"/>
      </w:rPr>
      <w:t>16481</w:t>
    </w:r>
    <w:r w:rsidR="00164BC1" w:rsidRPr="009C6E75">
      <w:rPr>
        <w:rFonts w:ascii="Palatino Linotype" w:hAnsi="Palatino Linotype"/>
        <w:b/>
        <w:sz w:val="22"/>
        <w:szCs w:val="22"/>
      </w:rPr>
      <w:t>/INFOEM/IP/RR/202</w:t>
    </w:r>
    <w:r w:rsidR="00521614">
      <w:rPr>
        <w:rFonts w:ascii="Palatino Linotype" w:hAnsi="Palatino Linotype"/>
        <w:b/>
        <w:sz w:val="22"/>
        <w:szCs w:val="22"/>
      </w:rPr>
      <w:t>2</w:t>
    </w:r>
  </w:p>
  <w:p w14:paraId="71104997" w14:textId="0F7AF51E" w:rsidR="00634485" w:rsidRDefault="00F47FB5" w:rsidP="00C373ED">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9C6E75">
      <w:rPr>
        <w:rFonts w:ascii="Palatino Linotype" w:hAnsi="Palatino Linotype" w:cs="Arial"/>
        <w:b/>
        <w:color w:val="000000" w:themeColor="text1"/>
      </w:rPr>
      <w:t>Secretaría de Salud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B32619">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6C3163"/>
    <w:multiLevelType w:val="hybridMultilevel"/>
    <w:tmpl w:val="CF8E00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FCA7396"/>
    <w:multiLevelType w:val="hybridMultilevel"/>
    <w:tmpl w:val="580080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950F3E"/>
    <w:multiLevelType w:val="hybridMultilevel"/>
    <w:tmpl w:val="BD261216"/>
    <w:lvl w:ilvl="0" w:tplc="6C60157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EE4AEB"/>
    <w:multiLevelType w:val="hybridMultilevel"/>
    <w:tmpl w:val="D0B449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54A67D9"/>
    <w:multiLevelType w:val="hybridMultilevel"/>
    <w:tmpl w:val="61682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9D7D13"/>
    <w:multiLevelType w:val="multilevel"/>
    <w:tmpl w:val="3500BFC0"/>
    <w:lvl w:ilvl="0">
      <w:start w:val="1"/>
      <w:numFmt w:val="decimal"/>
      <w:lvlText w:val="%1."/>
      <w:lvlJc w:val="left"/>
      <w:pPr>
        <w:ind w:left="720" w:hanging="360"/>
      </w:pPr>
      <w:rPr>
        <w:rFonts w:ascii="Arial" w:eastAsia="Arial" w:hAnsi="Arial" w:cs="Arial"/>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1E7282B"/>
    <w:multiLevelType w:val="multilevel"/>
    <w:tmpl w:val="8DA45FF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5"/>
  </w:num>
  <w:num w:numId="5">
    <w:abstractNumId w:val="4"/>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2"/>
  </w:num>
  <w:num w:numId="9">
    <w:abstractNumId w:val="9"/>
  </w:num>
  <w:num w:numId="10">
    <w:abstractNumId w:val="7"/>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0D34"/>
    <w:rsid w:val="00043D11"/>
    <w:rsid w:val="00055D60"/>
    <w:rsid w:val="00061126"/>
    <w:rsid w:val="0008542A"/>
    <w:rsid w:val="00087792"/>
    <w:rsid w:val="00091FA6"/>
    <w:rsid w:val="000B37D9"/>
    <w:rsid w:val="000B3FFD"/>
    <w:rsid w:val="000C43E5"/>
    <w:rsid w:val="000C4453"/>
    <w:rsid w:val="000D656A"/>
    <w:rsid w:val="000E27BB"/>
    <w:rsid w:val="00105578"/>
    <w:rsid w:val="001112E6"/>
    <w:rsid w:val="00115E7A"/>
    <w:rsid w:val="00122A5C"/>
    <w:rsid w:val="00135555"/>
    <w:rsid w:val="00147BB8"/>
    <w:rsid w:val="00157C12"/>
    <w:rsid w:val="00164BC1"/>
    <w:rsid w:val="0017446D"/>
    <w:rsid w:val="0018216B"/>
    <w:rsid w:val="00191C47"/>
    <w:rsid w:val="001960A5"/>
    <w:rsid w:val="001B3D11"/>
    <w:rsid w:val="001C7B07"/>
    <w:rsid w:val="001D767C"/>
    <w:rsid w:val="001E68FA"/>
    <w:rsid w:val="002027E5"/>
    <w:rsid w:val="0020666A"/>
    <w:rsid w:val="00206E75"/>
    <w:rsid w:val="00216C06"/>
    <w:rsid w:val="002362D7"/>
    <w:rsid w:val="002378AC"/>
    <w:rsid w:val="0024641B"/>
    <w:rsid w:val="00266831"/>
    <w:rsid w:val="00284217"/>
    <w:rsid w:val="00294490"/>
    <w:rsid w:val="002C06B4"/>
    <w:rsid w:val="002D31A8"/>
    <w:rsid w:val="002D5B21"/>
    <w:rsid w:val="002E22F6"/>
    <w:rsid w:val="002E7D97"/>
    <w:rsid w:val="003026CE"/>
    <w:rsid w:val="00312863"/>
    <w:rsid w:val="00326EEA"/>
    <w:rsid w:val="003448FB"/>
    <w:rsid w:val="00353113"/>
    <w:rsid w:val="00362F5F"/>
    <w:rsid w:val="003A1CE1"/>
    <w:rsid w:val="003B75EE"/>
    <w:rsid w:val="003C6B53"/>
    <w:rsid w:val="003C6DAB"/>
    <w:rsid w:val="003D1D24"/>
    <w:rsid w:val="003D1F47"/>
    <w:rsid w:val="003F0929"/>
    <w:rsid w:val="003F13BD"/>
    <w:rsid w:val="003F528B"/>
    <w:rsid w:val="00411692"/>
    <w:rsid w:val="00430304"/>
    <w:rsid w:val="0043105B"/>
    <w:rsid w:val="00435FF9"/>
    <w:rsid w:val="00445879"/>
    <w:rsid w:val="0047213D"/>
    <w:rsid w:val="004807CC"/>
    <w:rsid w:val="004813E0"/>
    <w:rsid w:val="00484A47"/>
    <w:rsid w:val="00484F6F"/>
    <w:rsid w:val="004B2706"/>
    <w:rsid w:val="004B5B1D"/>
    <w:rsid w:val="004C6733"/>
    <w:rsid w:val="004D0A26"/>
    <w:rsid w:val="004E305D"/>
    <w:rsid w:val="004E7984"/>
    <w:rsid w:val="004F2B9E"/>
    <w:rsid w:val="004F5E4D"/>
    <w:rsid w:val="00502EE6"/>
    <w:rsid w:val="0050559A"/>
    <w:rsid w:val="00513782"/>
    <w:rsid w:val="00521614"/>
    <w:rsid w:val="00524594"/>
    <w:rsid w:val="00524DDD"/>
    <w:rsid w:val="00530898"/>
    <w:rsid w:val="005635E4"/>
    <w:rsid w:val="00575235"/>
    <w:rsid w:val="005766FA"/>
    <w:rsid w:val="00592BEE"/>
    <w:rsid w:val="005A7606"/>
    <w:rsid w:val="005A761C"/>
    <w:rsid w:val="005B05D8"/>
    <w:rsid w:val="005C0271"/>
    <w:rsid w:val="005C4513"/>
    <w:rsid w:val="005C481C"/>
    <w:rsid w:val="005C4ADA"/>
    <w:rsid w:val="005D062F"/>
    <w:rsid w:val="005D1946"/>
    <w:rsid w:val="005E77C6"/>
    <w:rsid w:val="005F3A48"/>
    <w:rsid w:val="00615B7E"/>
    <w:rsid w:val="00621357"/>
    <w:rsid w:val="00634485"/>
    <w:rsid w:val="006517BA"/>
    <w:rsid w:val="006647CB"/>
    <w:rsid w:val="00665800"/>
    <w:rsid w:val="0067340C"/>
    <w:rsid w:val="0067381F"/>
    <w:rsid w:val="0068101D"/>
    <w:rsid w:val="006822ED"/>
    <w:rsid w:val="00685B0E"/>
    <w:rsid w:val="006A1040"/>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942F0"/>
    <w:rsid w:val="00897099"/>
    <w:rsid w:val="008B0A68"/>
    <w:rsid w:val="008C19BE"/>
    <w:rsid w:val="008C3C4B"/>
    <w:rsid w:val="008D1526"/>
    <w:rsid w:val="008D5216"/>
    <w:rsid w:val="008F67BC"/>
    <w:rsid w:val="00925E0C"/>
    <w:rsid w:val="00935C69"/>
    <w:rsid w:val="00956B18"/>
    <w:rsid w:val="00961995"/>
    <w:rsid w:val="00975EB9"/>
    <w:rsid w:val="00975ECE"/>
    <w:rsid w:val="00981C38"/>
    <w:rsid w:val="00987D8E"/>
    <w:rsid w:val="00997CD5"/>
    <w:rsid w:val="009A5ED0"/>
    <w:rsid w:val="009B3D3A"/>
    <w:rsid w:val="009B6CFB"/>
    <w:rsid w:val="009C666B"/>
    <w:rsid w:val="009C6E75"/>
    <w:rsid w:val="009D10D2"/>
    <w:rsid w:val="009D3BB4"/>
    <w:rsid w:val="009E155A"/>
    <w:rsid w:val="009E7BB4"/>
    <w:rsid w:val="009F0D8D"/>
    <w:rsid w:val="009F6B2E"/>
    <w:rsid w:val="00A16950"/>
    <w:rsid w:val="00A303B0"/>
    <w:rsid w:val="00A3172A"/>
    <w:rsid w:val="00A53363"/>
    <w:rsid w:val="00A5360A"/>
    <w:rsid w:val="00A561C5"/>
    <w:rsid w:val="00A610D3"/>
    <w:rsid w:val="00A64683"/>
    <w:rsid w:val="00A649A1"/>
    <w:rsid w:val="00A74BB7"/>
    <w:rsid w:val="00A7532A"/>
    <w:rsid w:val="00A81140"/>
    <w:rsid w:val="00A96B14"/>
    <w:rsid w:val="00AB78CF"/>
    <w:rsid w:val="00AC0680"/>
    <w:rsid w:val="00AC080E"/>
    <w:rsid w:val="00AE7763"/>
    <w:rsid w:val="00AF7A1C"/>
    <w:rsid w:val="00B014D8"/>
    <w:rsid w:val="00B05E5A"/>
    <w:rsid w:val="00B15B9D"/>
    <w:rsid w:val="00B22225"/>
    <w:rsid w:val="00B32619"/>
    <w:rsid w:val="00B343D6"/>
    <w:rsid w:val="00B34E17"/>
    <w:rsid w:val="00B53290"/>
    <w:rsid w:val="00B64C7A"/>
    <w:rsid w:val="00B64CFB"/>
    <w:rsid w:val="00B703D7"/>
    <w:rsid w:val="00B7360E"/>
    <w:rsid w:val="00B7434C"/>
    <w:rsid w:val="00B7570E"/>
    <w:rsid w:val="00B868A5"/>
    <w:rsid w:val="00B92067"/>
    <w:rsid w:val="00B95017"/>
    <w:rsid w:val="00BB071F"/>
    <w:rsid w:val="00BB11DB"/>
    <w:rsid w:val="00BB244A"/>
    <w:rsid w:val="00BB2AD1"/>
    <w:rsid w:val="00BB2CEA"/>
    <w:rsid w:val="00BB4E44"/>
    <w:rsid w:val="00BC1756"/>
    <w:rsid w:val="00BD07E6"/>
    <w:rsid w:val="00BD7483"/>
    <w:rsid w:val="00BE05AB"/>
    <w:rsid w:val="00BF358F"/>
    <w:rsid w:val="00BF68F0"/>
    <w:rsid w:val="00BF6974"/>
    <w:rsid w:val="00BF6E14"/>
    <w:rsid w:val="00C026F2"/>
    <w:rsid w:val="00C156E5"/>
    <w:rsid w:val="00C233F5"/>
    <w:rsid w:val="00C25D04"/>
    <w:rsid w:val="00C27236"/>
    <w:rsid w:val="00C373ED"/>
    <w:rsid w:val="00C65950"/>
    <w:rsid w:val="00C75CBC"/>
    <w:rsid w:val="00C80F8C"/>
    <w:rsid w:val="00C85F1D"/>
    <w:rsid w:val="00C8760D"/>
    <w:rsid w:val="00CE0FA6"/>
    <w:rsid w:val="00CE217B"/>
    <w:rsid w:val="00CF3F65"/>
    <w:rsid w:val="00D03369"/>
    <w:rsid w:val="00D20156"/>
    <w:rsid w:val="00D36ABC"/>
    <w:rsid w:val="00D96441"/>
    <w:rsid w:val="00DC2CB7"/>
    <w:rsid w:val="00DC3082"/>
    <w:rsid w:val="00DD1946"/>
    <w:rsid w:val="00DD45AC"/>
    <w:rsid w:val="00DD5CD5"/>
    <w:rsid w:val="00DE1629"/>
    <w:rsid w:val="00DE5C27"/>
    <w:rsid w:val="00E37AE3"/>
    <w:rsid w:val="00E429BA"/>
    <w:rsid w:val="00E50C04"/>
    <w:rsid w:val="00E50DC8"/>
    <w:rsid w:val="00EF3513"/>
    <w:rsid w:val="00F05A30"/>
    <w:rsid w:val="00F1205F"/>
    <w:rsid w:val="00F1233A"/>
    <w:rsid w:val="00F43F32"/>
    <w:rsid w:val="00F47FB5"/>
    <w:rsid w:val="00F614DA"/>
    <w:rsid w:val="00F662BC"/>
    <w:rsid w:val="00F717F4"/>
    <w:rsid w:val="00F75892"/>
    <w:rsid w:val="00F9546D"/>
    <w:rsid w:val="00FA1233"/>
    <w:rsid w:val="00FB2139"/>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qFormat/>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qFormat/>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paragraph" w:styleId="Listaconvietas3">
    <w:name w:val="List Bullet 3"/>
    <w:basedOn w:val="Normal"/>
    <w:uiPriority w:val="99"/>
    <w:unhideWhenUsed/>
    <w:rsid w:val="00975ECE"/>
    <w:pPr>
      <w:numPr>
        <w:numId w:val="9"/>
      </w:numPr>
      <w:contextualSpacing/>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490">
      <w:bodyDiv w:val="1"/>
      <w:marLeft w:val="0"/>
      <w:marRight w:val="0"/>
      <w:marTop w:val="0"/>
      <w:marBottom w:val="0"/>
      <w:divBdr>
        <w:top w:val="none" w:sz="0" w:space="0" w:color="auto"/>
        <w:left w:val="none" w:sz="0" w:space="0" w:color="auto"/>
        <w:bottom w:val="none" w:sz="0" w:space="0" w:color="auto"/>
        <w:right w:val="none" w:sz="0" w:space="0" w:color="auto"/>
      </w:divBdr>
    </w:div>
    <w:div w:id="23992651">
      <w:bodyDiv w:val="1"/>
      <w:marLeft w:val="0"/>
      <w:marRight w:val="0"/>
      <w:marTop w:val="0"/>
      <w:marBottom w:val="0"/>
      <w:divBdr>
        <w:top w:val="none" w:sz="0" w:space="0" w:color="auto"/>
        <w:left w:val="none" w:sz="0" w:space="0" w:color="auto"/>
        <w:bottom w:val="none" w:sz="0" w:space="0" w:color="auto"/>
        <w:right w:val="none" w:sz="0" w:space="0" w:color="auto"/>
      </w:divBdr>
    </w:div>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357585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49638738">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2823415">
      <w:bodyDiv w:val="1"/>
      <w:marLeft w:val="0"/>
      <w:marRight w:val="0"/>
      <w:marTop w:val="0"/>
      <w:marBottom w:val="0"/>
      <w:divBdr>
        <w:top w:val="none" w:sz="0" w:space="0" w:color="auto"/>
        <w:left w:val="none" w:sz="0" w:space="0" w:color="auto"/>
        <w:bottom w:val="none" w:sz="0" w:space="0" w:color="auto"/>
        <w:right w:val="none" w:sz="0" w:space="0" w:color="auto"/>
      </w:divBdr>
    </w:div>
    <w:div w:id="166873027">
      <w:bodyDiv w:val="1"/>
      <w:marLeft w:val="0"/>
      <w:marRight w:val="0"/>
      <w:marTop w:val="0"/>
      <w:marBottom w:val="0"/>
      <w:divBdr>
        <w:top w:val="none" w:sz="0" w:space="0" w:color="auto"/>
        <w:left w:val="none" w:sz="0" w:space="0" w:color="auto"/>
        <w:bottom w:val="none" w:sz="0" w:space="0" w:color="auto"/>
        <w:right w:val="none" w:sz="0" w:space="0" w:color="auto"/>
      </w:divBdr>
    </w:div>
    <w:div w:id="19642893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12009664">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12835294">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0013540">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77636385">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24389097">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1208099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42265344">
      <w:bodyDiv w:val="1"/>
      <w:marLeft w:val="0"/>
      <w:marRight w:val="0"/>
      <w:marTop w:val="0"/>
      <w:marBottom w:val="0"/>
      <w:divBdr>
        <w:top w:val="none" w:sz="0" w:space="0" w:color="auto"/>
        <w:left w:val="none" w:sz="0" w:space="0" w:color="auto"/>
        <w:bottom w:val="none" w:sz="0" w:space="0" w:color="auto"/>
        <w:right w:val="none" w:sz="0" w:space="0" w:color="auto"/>
      </w:divBdr>
    </w:div>
    <w:div w:id="768550507">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4759979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68881356">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67736375">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751857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097673855">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86671436">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44680434">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68076488">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2130163">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17032925">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7145323">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65123755">
      <w:bodyDiv w:val="1"/>
      <w:marLeft w:val="0"/>
      <w:marRight w:val="0"/>
      <w:marTop w:val="0"/>
      <w:marBottom w:val="0"/>
      <w:divBdr>
        <w:top w:val="none" w:sz="0" w:space="0" w:color="auto"/>
        <w:left w:val="none" w:sz="0" w:space="0" w:color="auto"/>
        <w:bottom w:val="none" w:sz="0" w:space="0" w:color="auto"/>
        <w:right w:val="none" w:sz="0" w:space="0" w:color="auto"/>
      </w:divBdr>
    </w:div>
    <w:div w:id="1467626591">
      <w:bodyDiv w:val="1"/>
      <w:marLeft w:val="0"/>
      <w:marRight w:val="0"/>
      <w:marTop w:val="0"/>
      <w:marBottom w:val="0"/>
      <w:divBdr>
        <w:top w:val="none" w:sz="0" w:space="0" w:color="auto"/>
        <w:left w:val="none" w:sz="0" w:space="0" w:color="auto"/>
        <w:bottom w:val="none" w:sz="0" w:space="0" w:color="auto"/>
        <w:right w:val="none" w:sz="0" w:space="0" w:color="auto"/>
      </w:divBdr>
    </w:div>
    <w:div w:id="1476609220">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59704486">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3683415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0772210">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79383166">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67191491">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1991664447">
      <w:bodyDiv w:val="1"/>
      <w:marLeft w:val="0"/>
      <w:marRight w:val="0"/>
      <w:marTop w:val="0"/>
      <w:marBottom w:val="0"/>
      <w:divBdr>
        <w:top w:val="none" w:sz="0" w:space="0" w:color="auto"/>
        <w:left w:val="none" w:sz="0" w:space="0" w:color="auto"/>
        <w:bottom w:val="none" w:sz="0" w:space="0" w:color="auto"/>
        <w:right w:val="none" w:sz="0" w:space="0" w:color="auto"/>
      </w:divBdr>
    </w:div>
    <w:div w:id="2006084357">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18077162">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2629-1E44-4D62-B131-3BF4EEFE8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2634</Words>
  <Characters>14490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2023-10-30T23:52:00Z</cp:lastPrinted>
  <dcterms:created xsi:type="dcterms:W3CDTF">2024-03-21T20:51:00Z</dcterms:created>
  <dcterms:modified xsi:type="dcterms:W3CDTF">2024-03-21T20:51:00Z</dcterms:modified>
</cp:coreProperties>
</file>