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360" w:lineRule="auto"/>
        <w:jc w:val="both"/>
        <w:rPr/>
      </w:pPr>
      <w:bookmarkStart w:colFirst="0" w:colLast="0" w:name="_heading=h.2et92p0" w:id="0"/>
      <w:bookmarkEnd w:id="0"/>
      <w:r w:rsidDel="00000000" w:rsidR="00000000" w:rsidRPr="00000000">
        <w:rPr>
          <w:rFonts w:ascii="Palatino Linotype" w:cs="Palatino Linotype" w:eastAsia="Palatino Linotype" w:hAnsi="Palatino Linotype"/>
          <w:b w:val="1"/>
          <w:sz w:val="24"/>
          <w:szCs w:val="24"/>
          <w:rtl w:val="0"/>
        </w:rPr>
        <w:t xml:space="preserve">VOTO PARTICULAR QUE F</w:t>
      </w:r>
      <w:r w:rsidDel="00000000" w:rsidR="00000000" w:rsidRPr="00000000">
        <w:rPr>
          <w:rFonts w:ascii="Palatino Linotype" w:cs="Palatino Linotype" w:eastAsia="Palatino Linotype" w:hAnsi="Palatino Linotype"/>
          <w:b w:val="1"/>
          <w:color w:val="000000"/>
          <w:sz w:val="24"/>
          <w:szCs w:val="24"/>
          <w:rtl w:val="0"/>
        </w:rPr>
        <w:t xml:space="preserve">ORMULA</w:t>
      </w:r>
      <w:r w:rsidDel="00000000" w:rsidR="00000000" w:rsidRPr="00000000">
        <w:rPr>
          <w:rFonts w:ascii="Palatino Linotype" w:cs="Palatino Linotype" w:eastAsia="Palatino Linotype" w:hAnsi="Palatino Linotype"/>
          <w:b w:val="1"/>
          <w:sz w:val="24"/>
          <w:szCs w:val="24"/>
          <w:rtl w:val="0"/>
        </w:rPr>
        <w:t xml:space="preserve"> LA COMISIONADA GUADALUPE RAMÍREZ PEÑA, EN RELACIÓN CON LA RESOLUCIÓN DICTADA POR EL PLENO DEL INSTITUTO DE TRANSPARENCIA, ACCESO A LA INFORMACIÓN PÚBLICA Y PROTECCIÓN DE DATOS PERSONALES DEL ESTADO DE MÉXICO Y MUNICIPIOS, EN LA CUADRAGÉSIMA PRIMERA SESIÓN ORDINARIA DEL QUINCE DE NOVIEMBRE DE DOS MIL VEINTITRÉS, EN EL RECURSO DE REVISIÓN 06385/INFOEM/IP/RR/2023.</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5" name=""/>
                <a:graphic>
                  <a:graphicData uri="http://schemas.microsoft.com/office/word/2010/wordprocessingShape">
                    <wps:wsp>
                      <wps:cNvSpPr/>
                      <wps:cNvPr id="3" name="Shape 3"/>
                      <wps:spPr>
                        <a:xfrm>
                          <a:off x="5028500" y="3462500"/>
                          <a:ext cx="635000" cy="6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54050" cy="654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4" name=""/>
                <a:graphic>
                  <a:graphicData uri="http://schemas.microsoft.com/office/word/2010/wordprocessingShape">
                    <wps:wsp>
                      <wps:cNvSpPr/>
                      <wps:cNvPr id="2" name="Shape 2"/>
                      <wps:spPr>
                        <a:xfrm>
                          <a:off x="5028500" y="3462500"/>
                          <a:ext cx="635000" cy="6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4050" cy="654050"/>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252"/>
          <w:tab w:val="right" w:leader="none" w:pos="8504"/>
        </w:tabs>
        <w:spacing w:after="0" w:line="360" w:lineRule="auto"/>
        <w:ind w:right="49"/>
        <w:jc w:val="both"/>
        <w:rPr>
          <w:rFonts w:ascii="Palatino Linotype" w:cs="Palatino Linotype" w:eastAsia="Palatino Linotype" w:hAnsi="Palatino Linotype"/>
          <w:color w:val="ff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252"/>
          <w:tab w:val="right" w:leader="none" w:pos="8504"/>
        </w:tabs>
        <w:spacing w:after="0" w:line="360" w:lineRule="auto"/>
        <w:ind w:right="4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 que suscribe emite VOTO PARTICULAR respecto a la resolución dictada en el recurso de revisión 06385/INFOEM/IP/RR/2023, pronunciada por el Pleno de este Instituto ante el proyecto presentado por el Comisionado Presidente José Martínez Vilchis, el cual fue resuelto conforme al criterio mayoritario que es del tenor siguiente:</w:t>
      </w:r>
    </w:p>
    <w:p w:rsidR="00000000" w:rsidDel="00000000" w:rsidP="00000000" w:rsidRDefault="00000000" w:rsidRPr="00000000" w14:paraId="00000004">
      <w:pPr>
        <w:spacing w:after="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252"/>
          <w:tab w:val="right" w:leader="none" w:pos="8504"/>
        </w:tabs>
        <w:spacing w:after="0" w:line="360" w:lineRule="auto"/>
        <w:ind w:right="49"/>
        <w:jc w:val="both"/>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I. Antecedentes.</w:t>
      </w:r>
    </w:p>
    <w:p w:rsidR="00000000" w:rsidDel="00000000" w:rsidP="00000000" w:rsidRDefault="00000000" w:rsidRPr="00000000" w14:paraId="00000006">
      <w:pPr>
        <w:spacing w:after="0" w:line="360" w:lineRule="auto"/>
        <w:jc w:val="both"/>
        <w:rPr>
          <w:rFonts w:ascii="Palatino Linotype" w:cs="Palatino Linotype" w:eastAsia="Palatino Linotype" w:hAnsi="Palatino Linotype"/>
          <w:color w:val="ff0000"/>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fecha veinticuatro de agosto de dos mil veintitrés, como se desprende de la Resolución que nos ocupa, la persona solicitante requirió al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lo siguiente:</w:t>
      </w:r>
    </w:p>
    <w:p w:rsidR="00000000" w:rsidDel="00000000" w:rsidP="00000000" w:rsidRDefault="00000000" w:rsidRPr="00000000" w14:paraId="0000000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9">
      <w:pPr>
        <w:tabs>
          <w:tab w:val="left" w:leader="none" w:pos="5647"/>
        </w:tabs>
        <w:spacing w:after="0" w:line="240" w:lineRule="auto"/>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“Solicito el expediente laboral de ELEAZAR FRANCO GAONA, MARTHA ZARATE RODRIGUEZ, JUAN PABLO LOPEZ RUBELLO, LEOBANO MEJIA MONTORO, VERONICA GARDUÑO IZQUIERDO, VICTOR MANUEL AGUILAR PEREZ, ELIZABETH ANN VIZCARRA PERALTA, MARGARITO SOLORZANO SANCHEZ, AILYN SALAZAR PUENTES, JESSICA HERNANDEZ REZA, ABRIL FLORES CASTORENA, ANGELICA REYES OREGEL”</w:t>
      </w:r>
    </w:p>
    <w:p w:rsidR="00000000" w:rsidDel="00000000" w:rsidP="00000000" w:rsidRDefault="00000000" w:rsidRPr="00000000" w14:paraId="0000000A">
      <w:pPr>
        <w:spacing w:after="0" w:line="360" w:lineRule="auto"/>
        <w:ind w:right="-28" w:firstLine="72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B">
      <w:pPr>
        <w:spacing w:after="0" w:line="360" w:lineRule="auto"/>
        <w:ind w:right="-28"/>
        <w:jc w:val="both"/>
        <w:rPr>
          <w:rFonts w:ascii="Palatino Linotype" w:cs="Palatino Linotype" w:eastAsia="Palatino Linotype" w:hAnsi="Palatino Linotype"/>
          <w:color w:val="ff0000"/>
          <w:sz w:val="24"/>
          <w:szCs w:val="24"/>
        </w:rPr>
      </w:pPr>
      <w:r w:rsidDel="00000000" w:rsidR="00000000" w:rsidRPr="00000000">
        <w:rPr>
          <w:rFonts w:ascii="Palatino Linotype" w:cs="Palatino Linotype" w:eastAsia="Palatino Linotype" w:hAnsi="Palatino Linotype"/>
          <w:sz w:val="24"/>
          <w:szCs w:val="24"/>
          <w:rtl w:val="0"/>
        </w:rPr>
        <w:t xml:space="preserve">Mediante respuesta,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color w:val="000000"/>
          <w:sz w:val="24"/>
          <w:szCs w:val="24"/>
          <w:rtl w:val="0"/>
        </w:rPr>
        <w:t xml:space="preserve">, a través del Sistema de Acceso a la Información Mexiquense (SAIMEX), hace entrega de lo siguiente: </w:t>
      </w:r>
      <w:r w:rsidDel="00000000" w:rsidR="00000000" w:rsidRPr="00000000">
        <w:rPr>
          <w:rtl w:val="0"/>
        </w:rPr>
      </w:r>
    </w:p>
    <w:p w:rsidR="00000000" w:rsidDel="00000000" w:rsidP="00000000" w:rsidRDefault="00000000" w:rsidRPr="00000000" w14:paraId="0000000C">
      <w:pPr>
        <w:spacing w:after="24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240" w:line="360" w:lineRule="auto"/>
        <w:ind w:left="720" w:hanging="36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“703 Coordinación Administrativa.pdf”: </w:t>
      </w:r>
      <w:r w:rsidDel="00000000" w:rsidR="00000000" w:rsidRPr="00000000">
        <w:rPr>
          <w:rFonts w:ascii="Palatino Linotype" w:cs="Palatino Linotype" w:eastAsia="Palatino Linotype" w:hAnsi="Palatino Linotype"/>
          <w:color w:val="000000"/>
          <w:sz w:val="24"/>
          <w:szCs w:val="24"/>
          <w:rtl w:val="0"/>
        </w:rPr>
        <w:t xml:space="preserve">Oficio número </w:t>
      </w:r>
      <w:r w:rsidDel="00000000" w:rsidR="00000000" w:rsidRPr="00000000">
        <w:rPr>
          <w:rFonts w:ascii="Palatino Linotype" w:cs="Palatino Linotype" w:eastAsia="Palatino Linotype" w:hAnsi="Palatino Linotype"/>
          <w:b w:val="1"/>
          <w:color w:val="000000"/>
          <w:sz w:val="24"/>
          <w:szCs w:val="24"/>
          <w:rtl w:val="0"/>
        </w:rPr>
        <w:t xml:space="preserve">20700002000100S/IP/0170/2023 </w:t>
      </w:r>
      <w:r w:rsidDel="00000000" w:rsidR="00000000" w:rsidRPr="00000000">
        <w:rPr>
          <w:rFonts w:ascii="Palatino Linotype" w:cs="Palatino Linotype" w:eastAsia="Palatino Linotype" w:hAnsi="Palatino Linotype"/>
          <w:color w:val="000000"/>
          <w:sz w:val="24"/>
          <w:szCs w:val="24"/>
          <w:rtl w:val="0"/>
        </w:rPr>
        <w:t xml:space="preserve">signado por el Servidor público habilitado suplente de la coordinación administrativa y dirigido al jefe de la unidad de información, planeación, programación y evaluación y titular de la unidad de transparencia, de fecha veintinueve de agosto de dos mil veintitrés, resulta de nuestro interés el siguiente extracto: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360" w:lineRule="auto"/>
        <w:ind w:left="720" w:firstLine="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i w:val="1"/>
          <w:color w:val="000000"/>
          <w:sz w:val="24"/>
          <w:szCs w:val="24"/>
          <w:rtl w:val="0"/>
        </w:rPr>
        <w:t xml:space="preserve">“(…) Por lo que me permito enviar adjunto la versión pública de los expedientes de Eleazar Franco Gaona y Martha Zarate Rodríguez, que son con los que cuenta la Oficina del C. Secretario y Áreas Staff.” </w:t>
      </w:r>
      <w:r w:rsidDel="00000000" w:rsidR="00000000" w:rsidRPr="00000000">
        <w:rPr>
          <w:rFonts w:ascii="Palatino Linotype" w:cs="Palatino Linotype" w:eastAsia="Palatino Linotype" w:hAnsi="Palatino Linotype"/>
          <w:b w:val="1"/>
          <w:i w:val="1"/>
          <w:color w:val="000000"/>
          <w:sz w:val="24"/>
          <w:szCs w:val="24"/>
          <w:rtl w:val="0"/>
        </w:rPr>
        <w:t xml:space="preserve">(Sic)</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240" w:line="360" w:lineRule="auto"/>
        <w:ind w:left="720" w:hanging="36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“703 Coordinación Administrativa anexo.pdf”: </w:t>
      </w:r>
      <w:r w:rsidDel="00000000" w:rsidR="00000000" w:rsidRPr="00000000">
        <w:rPr>
          <w:rFonts w:ascii="Palatino Linotype" w:cs="Palatino Linotype" w:eastAsia="Palatino Linotype" w:hAnsi="Palatino Linotype"/>
          <w:color w:val="000000"/>
          <w:sz w:val="24"/>
          <w:szCs w:val="24"/>
          <w:rtl w:val="0"/>
        </w:rPr>
        <w:t xml:space="preserve">Compila </w:t>
      </w:r>
      <w:r w:rsidDel="00000000" w:rsidR="00000000" w:rsidRPr="00000000">
        <w:rPr>
          <w:rFonts w:ascii="Palatino Linotype" w:cs="Palatino Linotype" w:eastAsia="Palatino Linotype" w:hAnsi="Palatino Linotype"/>
          <w:b w:val="1"/>
          <w:color w:val="000000"/>
          <w:sz w:val="24"/>
          <w:szCs w:val="24"/>
          <w:rtl w:val="0"/>
        </w:rPr>
        <w:t xml:space="preserve">2 -dos- </w:t>
      </w:r>
      <w:r w:rsidDel="00000000" w:rsidR="00000000" w:rsidRPr="00000000">
        <w:rPr>
          <w:rFonts w:ascii="Palatino Linotype" w:cs="Palatino Linotype" w:eastAsia="Palatino Linotype" w:hAnsi="Palatino Linotype"/>
          <w:color w:val="000000"/>
          <w:sz w:val="24"/>
          <w:szCs w:val="24"/>
          <w:rtl w:val="0"/>
        </w:rPr>
        <w:t xml:space="preserve">expedientes laborales: </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240" w:line="360" w:lineRule="auto"/>
        <w:ind w:left="1080" w:hanging="36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Foja </w:t>
      </w:r>
      <w:r w:rsidDel="00000000" w:rsidR="00000000" w:rsidRPr="00000000">
        <w:rPr>
          <w:rFonts w:ascii="Palatino Linotype" w:cs="Palatino Linotype" w:eastAsia="Palatino Linotype" w:hAnsi="Palatino Linotype"/>
          <w:b w:val="1"/>
          <w:color w:val="000000"/>
          <w:sz w:val="24"/>
          <w:szCs w:val="24"/>
          <w:rtl w:val="0"/>
        </w:rPr>
        <w:t xml:space="preserve">1 -una- </w:t>
      </w:r>
      <w:r w:rsidDel="00000000" w:rsidR="00000000" w:rsidRPr="00000000">
        <w:rPr>
          <w:rFonts w:ascii="Palatino Linotype" w:cs="Palatino Linotype" w:eastAsia="Palatino Linotype" w:hAnsi="Palatino Linotype"/>
          <w:color w:val="000000"/>
          <w:sz w:val="24"/>
          <w:szCs w:val="24"/>
          <w:rtl w:val="0"/>
        </w:rPr>
        <w:t xml:space="preserve">a la </w:t>
      </w:r>
      <w:r w:rsidDel="00000000" w:rsidR="00000000" w:rsidRPr="00000000">
        <w:rPr>
          <w:rFonts w:ascii="Palatino Linotype" w:cs="Palatino Linotype" w:eastAsia="Palatino Linotype" w:hAnsi="Palatino Linotype"/>
          <w:b w:val="1"/>
          <w:color w:val="000000"/>
          <w:sz w:val="24"/>
          <w:szCs w:val="24"/>
          <w:rtl w:val="0"/>
        </w:rPr>
        <w:t xml:space="preserve">14 -catorce- </w:t>
      </w:r>
      <w:r w:rsidDel="00000000" w:rsidR="00000000" w:rsidRPr="00000000">
        <w:rPr>
          <w:rFonts w:ascii="Palatino Linotype" w:cs="Palatino Linotype" w:eastAsia="Palatino Linotype" w:hAnsi="Palatino Linotype"/>
          <w:color w:val="000000"/>
          <w:sz w:val="24"/>
          <w:szCs w:val="24"/>
          <w:rtl w:val="0"/>
        </w:rPr>
        <w:t xml:space="preserve">recopila el expediente laboral del </w:t>
      </w:r>
      <w:r w:rsidDel="00000000" w:rsidR="00000000" w:rsidRPr="00000000">
        <w:rPr>
          <w:rFonts w:ascii="Palatino Linotype" w:cs="Palatino Linotype" w:eastAsia="Palatino Linotype" w:hAnsi="Palatino Linotype"/>
          <w:b w:val="1"/>
          <w:color w:val="000000"/>
          <w:sz w:val="24"/>
          <w:szCs w:val="24"/>
          <w:rtl w:val="0"/>
        </w:rPr>
        <w:t xml:space="preserve">C. Eleazar Franco Gaona,</w:t>
      </w:r>
      <w:r w:rsidDel="00000000" w:rsidR="00000000" w:rsidRPr="00000000">
        <w:rPr>
          <w:rFonts w:ascii="Palatino Linotype" w:cs="Palatino Linotype" w:eastAsia="Palatino Linotype" w:hAnsi="Palatino Linotype"/>
          <w:color w:val="000000"/>
          <w:sz w:val="24"/>
          <w:szCs w:val="24"/>
          <w:rtl w:val="0"/>
        </w:rPr>
        <w:t xml:space="preserve"> recopilando solicitud de empleo, acta de nacimiento, constancia de clave única de registro de población, recibo de pago de derechos por el suministro de agua, cédula profesional de licenciatura en ciencias de la comunicación, constancia de no inhabilitación, Curriculum vitae, constancia de situación fiscal, carta de excepción al servicio militar, licencia de conducir, formato único de movimientos de personal. </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240" w:line="360" w:lineRule="auto"/>
        <w:ind w:left="1080" w:hanging="36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Foja </w:t>
      </w:r>
      <w:r w:rsidDel="00000000" w:rsidR="00000000" w:rsidRPr="00000000">
        <w:rPr>
          <w:rFonts w:ascii="Palatino Linotype" w:cs="Palatino Linotype" w:eastAsia="Palatino Linotype" w:hAnsi="Palatino Linotype"/>
          <w:b w:val="1"/>
          <w:color w:val="000000"/>
          <w:sz w:val="24"/>
          <w:szCs w:val="24"/>
          <w:rtl w:val="0"/>
        </w:rPr>
        <w:t xml:space="preserve">15 -quince- </w:t>
      </w:r>
      <w:r w:rsidDel="00000000" w:rsidR="00000000" w:rsidRPr="00000000">
        <w:rPr>
          <w:rFonts w:ascii="Palatino Linotype" w:cs="Palatino Linotype" w:eastAsia="Palatino Linotype" w:hAnsi="Palatino Linotype"/>
          <w:color w:val="000000"/>
          <w:sz w:val="24"/>
          <w:szCs w:val="24"/>
          <w:rtl w:val="0"/>
        </w:rPr>
        <w:t xml:space="preserve">a la </w:t>
      </w:r>
      <w:r w:rsidDel="00000000" w:rsidR="00000000" w:rsidRPr="00000000">
        <w:rPr>
          <w:rFonts w:ascii="Palatino Linotype" w:cs="Palatino Linotype" w:eastAsia="Palatino Linotype" w:hAnsi="Palatino Linotype"/>
          <w:b w:val="1"/>
          <w:color w:val="000000"/>
          <w:sz w:val="24"/>
          <w:szCs w:val="24"/>
          <w:rtl w:val="0"/>
        </w:rPr>
        <w:t xml:space="preserve">29 -veintinueve- </w:t>
      </w:r>
      <w:r w:rsidDel="00000000" w:rsidR="00000000" w:rsidRPr="00000000">
        <w:rPr>
          <w:rFonts w:ascii="Palatino Linotype" w:cs="Palatino Linotype" w:eastAsia="Palatino Linotype" w:hAnsi="Palatino Linotype"/>
          <w:color w:val="000000"/>
          <w:sz w:val="24"/>
          <w:szCs w:val="24"/>
          <w:rtl w:val="0"/>
        </w:rPr>
        <w:t xml:space="preserve">y </w:t>
      </w:r>
      <w:r w:rsidDel="00000000" w:rsidR="00000000" w:rsidRPr="00000000">
        <w:rPr>
          <w:rFonts w:ascii="Palatino Linotype" w:cs="Palatino Linotype" w:eastAsia="Palatino Linotype" w:hAnsi="Palatino Linotype"/>
          <w:b w:val="1"/>
          <w:color w:val="000000"/>
          <w:sz w:val="24"/>
          <w:szCs w:val="24"/>
          <w:rtl w:val="0"/>
        </w:rPr>
        <w:t xml:space="preserve">31 -treinta y uno- </w:t>
      </w:r>
      <w:r w:rsidDel="00000000" w:rsidR="00000000" w:rsidRPr="00000000">
        <w:rPr>
          <w:rFonts w:ascii="Palatino Linotype" w:cs="Palatino Linotype" w:eastAsia="Palatino Linotype" w:hAnsi="Palatino Linotype"/>
          <w:color w:val="000000"/>
          <w:sz w:val="24"/>
          <w:szCs w:val="24"/>
          <w:rtl w:val="0"/>
        </w:rPr>
        <w:t xml:space="preserve">a la </w:t>
      </w:r>
      <w:r w:rsidDel="00000000" w:rsidR="00000000" w:rsidRPr="00000000">
        <w:rPr>
          <w:rFonts w:ascii="Palatino Linotype" w:cs="Palatino Linotype" w:eastAsia="Palatino Linotype" w:hAnsi="Palatino Linotype"/>
          <w:b w:val="1"/>
          <w:color w:val="000000"/>
          <w:sz w:val="24"/>
          <w:szCs w:val="24"/>
          <w:rtl w:val="0"/>
        </w:rPr>
        <w:t xml:space="preserve">34 -treinta y cuatro- </w:t>
      </w:r>
      <w:r w:rsidDel="00000000" w:rsidR="00000000" w:rsidRPr="00000000">
        <w:rPr>
          <w:rFonts w:ascii="Palatino Linotype" w:cs="Palatino Linotype" w:eastAsia="Palatino Linotype" w:hAnsi="Palatino Linotype"/>
          <w:color w:val="000000"/>
          <w:sz w:val="24"/>
          <w:szCs w:val="24"/>
          <w:rtl w:val="0"/>
        </w:rPr>
        <w:t xml:space="preserve">recopila el expediente laboral de la </w:t>
      </w:r>
      <w:r w:rsidDel="00000000" w:rsidR="00000000" w:rsidRPr="00000000">
        <w:rPr>
          <w:rFonts w:ascii="Palatino Linotype" w:cs="Palatino Linotype" w:eastAsia="Palatino Linotype" w:hAnsi="Palatino Linotype"/>
          <w:b w:val="1"/>
          <w:color w:val="000000"/>
          <w:sz w:val="24"/>
          <w:szCs w:val="24"/>
          <w:rtl w:val="0"/>
        </w:rPr>
        <w:t xml:space="preserve">C. Martha Zarate Rodríguez, </w:t>
      </w:r>
      <w:r w:rsidDel="00000000" w:rsidR="00000000" w:rsidRPr="00000000">
        <w:rPr>
          <w:rFonts w:ascii="Palatino Linotype" w:cs="Palatino Linotype" w:eastAsia="Palatino Linotype" w:hAnsi="Palatino Linotype"/>
          <w:color w:val="000000"/>
          <w:sz w:val="24"/>
          <w:szCs w:val="24"/>
          <w:rtl w:val="0"/>
        </w:rPr>
        <w:t xml:space="preserve">recopilando solicitud de empleo, certificado de clave única de registro de población, comprobante de pago de derechos por concepto de electricidad, credencial para votar expedida por el Instituto Nacional Electoral, Curriculum vitae, título profesional de licenciada en contaduría, cédula profesional de licenciada en contaduría, constancia de no inhabilitación, constancia de situación fiscal, formato único de movimientos de personal, carta de recomendación, certificado médico de salud, acta de nacimiento.</w:t>
      </w: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240" w:line="360" w:lineRule="auto"/>
        <w:ind w:left="1080" w:hanging="36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Foja 30 -treinta-, </w:t>
      </w:r>
      <w:r w:rsidDel="00000000" w:rsidR="00000000" w:rsidRPr="00000000">
        <w:rPr>
          <w:rFonts w:ascii="Palatino Linotype" w:cs="Palatino Linotype" w:eastAsia="Palatino Linotype" w:hAnsi="Palatino Linotype"/>
          <w:color w:val="000000"/>
          <w:sz w:val="24"/>
          <w:szCs w:val="24"/>
          <w:rtl w:val="0"/>
        </w:rPr>
        <w:t xml:space="preserve">relativa a la “Evidencia Criptográfica – Transacción SeguriSign” relativa a la emisión de firma electrónica. </w:t>
      </w:r>
      <w:r w:rsidDel="00000000" w:rsidR="00000000" w:rsidRPr="00000000">
        <w:rPr>
          <w:rtl w:val="0"/>
        </w:rPr>
      </w:r>
    </w:p>
    <w:p w:rsidR="00000000" w:rsidDel="00000000" w:rsidP="00000000" w:rsidRDefault="00000000" w:rsidRPr="00000000" w14:paraId="0000001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conocida la respuesta del Sujeto Obligado,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color w:val="ff0000"/>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interpuso el medio de impugnación citado al rubro, expresando lo siguiente:</w:t>
      </w:r>
    </w:p>
    <w:p w:rsidR="00000000" w:rsidDel="00000000" w:rsidP="00000000" w:rsidRDefault="00000000" w:rsidRPr="00000000" w14:paraId="0000001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Acto Impugnado: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240" w:line="360" w:lineRule="auto"/>
        <w:ind w:left="851" w:right="851" w:firstLine="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i w:val="1"/>
          <w:color w:val="000000"/>
          <w:rtl w:val="0"/>
        </w:rPr>
        <w:t xml:space="preserve">“La respuesta que se entrega es incompleta” </w:t>
      </w:r>
      <w:r w:rsidDel="00000000" w:rsidR="00000000" w:rsidRPr="00000000">
        <w:rPr>
          <w:rFonts w:ascii="Palatino Linotype" w:cs="Palatino Linotype" w:eastAsia="Palatino Linotype" w:hAnsi="Palatino Linotype"/>
          <w:b w:val="1"/>
          <w:i w:val="1"/>
          <w:color w:val="000000"/>
          <w:rtl w:val="0"/>
        </w:rPr>
        <w:t xml:space="preserve">(Sic)</w:t>
      </w:r>
      <w:r w:rsidDel="00000000" w:rsidR="00000000" w:rsidRPr="00000000">
        <w:rPr>
          <w:rtl w:val="0"/>
        </w:rPr>
      </w:r>
    </w:p>
    <w:p w:rsidR="00000000" w:rsidDel="00000000" w:rsidP="00000000" w:rsidRDefault="00000000" w:rsidRPr="00000000" w14:paraId="00000017">
      <w:pPr>
        <w:spacing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Razones o Motivos de Inconformidad</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40" w:line="360" w:lineRule="auto"/>
        <w:ind w:left="851" w:right="851" w:firstLine="0"/>
        <w:jc w:val="both"/>
        <w:rPr>
          <w:rFonts w:ascii="Palatino Linotype" w:cs="Palatino Linotype" w:eastAsia="Palatino Linotype" w:hAnsi="Palatino Linotype"/>
          <w:b w:val="1"/>
          <w:i w:val="1"/>
          <w:color w:val="000000"/>
        </w:rPr>
      </w:pPr>
      <w:r w:rsidDel="00000000" w:rsidR="00000000" w:rsidRPr="00000000">
        <w:rPr>
          <w:rFonts w:ascii="Palatino Linotype" w:cs="Palatino Linotype" w:eastAsia="Palatino Linotype" w:hAnsi="Palatino Linotype"/>
          <w:i w:val="1"/>
          <w:color w:val="000000"/>
          <w:rtl w:val="0"/>
        </w:rPr>
        <w:t xml:space="preserve">“La delegacion administrativa entrego la documentación de únicamente dos personas, por lo que la secretaria de finanzas no entrega completa la información solicitada, motivo por el cual se impugna la respuesta recibida. En caso de no contar con información de los servidores públicos solicitado, debe haber un pronunciamiento expreso en ese sentido, pues de lo contrario caemos en el supuesto de que solo se entrega la informacion que la autoridad responsable quiere compartir” </w:t>
      </w:r>
      <w:r w:rsidDel="00000000" w:rsidR="00000000" w:rsidRPr="00000000">
        <w:rPr>
          <w:rFonts w:ascii="Palatino Linotype" w:cs="Palatino Linotype" w:eastAsia="Palatino Linotype" w:hAnsi="Palatino Linotype"/>
          <w:b w:val="1"/>
          <w:i w:val="1"/>
          <w:color w:val="000000"/>
          <w:rtl w:val="0"/>
        </w:rPr>
        <w:t xml:space="preserve">(Sic)</w:t>
      </w:r>
    </w:p>
    <w:p w:rsidR="00000000" w:rsidDel="00000000" w:rsidP="00000000" w:rsidRDefault="00000000" w:rsidRPr="00000000" w14:paraId="00000019">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Ahora bien, </w:t>
      </w:r>
      <w:r w:rsidDel="00000000" w:rsidR="00000000" w:rsidRPr="00000000">
        <w:rPr>
          <w:rFonts w:ascii="Palatino Linotype" w:cs="Palatino Linotype" w:eastAsia="Palatino Linotype" w:hAnsi="Palatino Linotype"/>
          <w:b w:val="1"/>
          <w:color w:val="000000"/>
          <w:sz w:val="24"/>
          <w:szCs w:val="24"/>
          <w:rtl w:val="0"/>
        </w:rPr>
        <w:t xml:space="preserve">LA PARTE RECURRENTE</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resultó</w:t>
      </w:r>
      <w:r w:rsidDel="00000000" w:rsidR="00000000" w:rsidRPr="00000000">
        <w:rPr>
          <w:rFonts w:ascii="Palatino Linotype" w:cs="Palatino Linotype" w:eastAsia="Palatino Linotype" w:hAnsi="Palatino Linotype"/>
          <w:color w:val="000000"/>
          <w:sz w:val="24"/>
          <w:szCs w:val="24"/>
          <w:rtl w:val="0"/>
        </w:rPr>
        <w:t xml:space="preserve"> omisa de emitir sus manifestaciones, por lo que respecta al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rinde su informe justificado de la siguiente forma:</w:t>
      </w:r>
    </w:p>
    <w:p w:rsidR="00000000" w:rsidDel="00000000" w:rsidP="00000000" w:rsidRDefault="00000000" w:rsidRPr="00000000" w14:paraId="0000001A">
      <w:pPr>
        <w:spacing w:after="24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80"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 “RR 06385-2023  DGP ABRIL FLORES.pdf”: </w:t>
      </w:r>
      <w:r w:rsidDel="00000000" w:rsidR="00000000" w:rsidRPr="00000000">
        <w:rPr>
          <w:rFonts w:ascii="Palatino Linotype" w:cs="Palatino Linotype" w:eastAsia="Palatino Linotype" w:hAnsi="Palatino Linotype"/>
          <w:color w:val="000000"/>
          <w:sz w:val="24"/>
          <w:szCs w:val="24"/>
          <w:rtl w:val="0"/>
        </w:rPr>
        <w:t xml:space="preserve">Expediente laboral de la C. Abril Flores Castoreña, consistente en </w:t>
      </w:r>
      <w:r w:rsidDel="00000000" w:rsidR="00000000" w:rsidRPr="00000000">
        <w:rPr>
          <w:rFonts w:ascii="Palatino Linotype" w:cs="Palatino Linotype" w:eastAsia="Palatino Linotype" w:hAnsi="Palatino Linotype"/>
          <w:b w:val="1"/>
          <w:color w:val="000000"/>
          <w:sz w:val="24"/>
          <w:szCs w:val="24"/>
          <w:rtl w:val="0"/>
        </w:rPr>
        <w:t xml:space="preserve">7 -siete- </w:t>
      </w:r>
      <w:r w:rsidDel="00000000" w:rsidR="00000000" w:rsidRPr="00000000">
        <w:rPr>
          <w:rFonts w:ascii="Palatino Linotype" w:cs="Palatino Linotype" w:eastAsia="Palatino Linotype" w:hAnsi="Palatino Linotype"/>
          <w:color w:val="000000"/>
          <w:sz w:val="24"/>
          <w:szCs w:val="24"/>
          <w:rtl w:val="0"/>
        </w:rPr>
        <w:t xml:space="preserve">fojas, compila constancia de no inhabilitación, formato único de movimientos de personal, Curriculum vitae y solicitud de empleo. </w:t>
      </w:r>
      <w:r w:rsidDel="00000000" w:rsidR="00000000" w:rsidRPr="00000000">
        <w:rPr>
          <w:rtl w:val="0"/>
        </w:rPr>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before="8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DGP.pdf”: </w:t>
      </w:r>
      <w:r w:rsidDel="00000000" w:rsidR="00000000" w:rsidRPr="00000000">
        <w:rPr>
          <w:rFonts w:ascii="Palatino Linotype" w:cs="Palatino Linotype" w:eastAsia="Palatino Linotype" w:hAnsi="Palatino Linotype"/>
          <w:color w:val="000000"/>
          <w:sz w:val="24"/>
          <w:szCs w:val="24"/>
          <w:rtl w:val="0"/>
        </w:rPr>
        <w:t xml:space="preserve">Oficio número </w:t>
      </w:r>
      <w:r w:rsidDel="00000000" w:rsidR="00000000" w:rsidRPr="00000000">
        <w:rPr>
          <w:rFonts w:ascii="Palatino Linotype" w:cs="Palatino Linotype" w:eastAsia="Palatino Linotype" w:hAnsi="Palatino Linotype"/>
          <w:b w:val="1"/>
          <w:color w:val="000000"/>
          <w:sz w:val="24"/>
          <w:szCs w:val="24"/>
          <w:rtl w:val="0"/>
        </w:rPr>
        <w:t xml:space="preserve">20706004000100S-885/2023 </w:t>
      </w:r>
      <w:r w:rsidDel="00000000" w:rsidR="00000000" w:rsidRPr="00000000">
        <w:rPr>
          <w:rFonts w:ascii="Palatino Linotype" w:cs="Palatino Linotype" w:eastAsia="Palatino Linotype" w:hAnsi="Palatino Linotype"/>
          <w:color w:val="000000"/>
          <w:sz w:val="24"/>
          <w:szCs w:val="24"/>
          <w:rtl w:val="0"/>
        </w:rPr>
        <w:t xml:space="preserve">signado por el Jefe de la Unidad y servidor público habilitado de la dirección general de personal y dirigido al Jefe de la UIPPE y responsable de la unidad de transparencia, de fecha veintinueve de septiembre de dos mil veintitrés, refiere adjuntar expediente laboral de los C. Juan Pablo López Rubello y Abril Flores Castorena. Precisa que no encontró registro a nombre de los C. Leobano Mejía Montoro y Angélica Reyes Oregel. </w:t>
      </w:r>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DGRM VIZCARRA PERALTA ELIZABETH.pdf”: </w:t>
      </w:r>
      <w:r w:rsidDel="00000000" w:rsidR="00000000" w:rsidRPr="00000000">
        <w:rPr>
          <w:rFonts w:ascii="Palatino Linotype" w:cs="Palatino Linotype" w:eastAsia="Palatino Linotype" w:hAnsi="Palatino Linotype"/>
          <w:color w:val="000000"/>
          <w:sz w:val="24"/>
          <w:szCs w:val="24"/>
          <w:rtl w:val="0"/>
        </w:rPr>
        <w:t xml:space="preserve">Expediente laboral integrado a favor de la C. Elizabeth Ann Vizcarra Peralta, compila ficha curricular, constancia de no inhabilitación, formato único de movimientos de personal, “evidencia criptográfica – transacción segurisign”.</w:t>
      </w: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DGRM SOLORZANO SÁNCHEZ MARGARITA.pdf”: </w:t>
      </w:r>
      <w:r w:rsidDel="00000000" w:rsidR="00000000" w:rsidRPr="00000000">
        <w:rPr>
          <w:rFonts w:ascii="Palatino Linotype" w:cs="Palatino Linotype" w:eastAsia="Palatino Linotype" w:hAnsi="Palatino Linotype"/>
          <w:color w:val="000000"/>
          <w:sz w:val="24"/>
          <w:szCs w:val="24"/>
          <w:rtl w:val="0"/>
        </w:rPr>
        <w:t xml:space="preserve">Expediente laboral integrado a favor del C. Margarito Solorzano Sánchez, compila ficha curricular, formato único de movimientos de personal, “evidencia criptográfica – transacción segurisign”.</w:t>
      </w:r>
      <w:r w:rsidDel="00000000" w:rsidR="00000000" w:rsidRPr="00000000">
        <w:rPr>
          <w:rtl w:val="0"/>
        </w:rPr>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Informe Justificado.pdf”: </w:t>
      </w:r>
      <w:r w:rsidDel="00000000" w:rsidR="00000000" w:rsidRPr="00000000">
        <w:rPr>
          <w:rFonts w:ascii="Palatino Linotype" w:cs="Palatino Linotype" w:eastAsia="Palatino Linotype" w:hAnsi="Palatino Linotype"/>
          <w:color w:val="000000"/>
          <w:sz w:val="24"/>
          <w:szCs w:val="24"/>
          <w:rtl w:val="0"/>
        </w:rPr>
        <w:t xml:space="preserve">Oficio sin número signado por el Jefe de la UIPPE y titular de la unidad de transparencia y dirigido al comisionado ponente, expone lo siguiente: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240" w:line="360" w:lineRule="auto"/>
        <w:ind w:left="1080" w:firstLine="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i w:val="1"/>
          <w:color w:val="000000"/>
          <w:sz w:val="24"/>
          <w:szCs w:val="24"/>
          <w:rtl w:val="0"/>
        </w:rPr>
        <w:t xml:space="preserve">“El servidor público habilitado de la dirección general de recursos materiales remitió los expedientes de los C. Víctor Manuel Aguilar Pérez, Elizabeth Ann Vizcarra Peralta, Margarita Solorzano Sánchez, Ailyn Salazar Puentes y Jessica Hernández Reza, servidores públicos adscritos a la unidad administrativa de referencia.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240" w:line="360" w:lineRule="auto"/>
        <w:ind w:left="1080" w:firstLine="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i w:val="1"/>
          <w:color w:val="000000"/>
          <w:sz w:val="24"/>
          <w:szCs w:val="24"/>
          <w:rtl w:val="0"/>
        </w:rPr>
        <w:t xml:space="preserve">En los mismos términos, el servidor público habilitado de la Dirección General de Personal (…) remitió la versión pública de los expedientes personales de Juan Pablo López Rubello y Abril Flores Castorena, servidores públicos adscritos a la unidad administrativa de referencia, asimismo, refirió que Leobano Mejía Montoro y Angélica Reyes Oregel no se encuentran adscritos al Sector Central del Poder Ejecutivo del Estado de México” </w:t>
      </w:r>
      <w:r w:rsidDel="00000000" w:rsidR="00000000" w:rsidRPr="00000000">
        <w:rPr>
          <w:rFonts w:ascii="Palatino Linotype" w:cs="Palatino Linotype" w:eastAsia="Palatino Linotype" w:hAnsi="Palatino Linotype"/>
          <w:b w:val="1"/>
          <w:i w:val="1"/>
          <w:color w:val="000000"/>
          <w:sz w:val="24"/>
          <w:szCs w:val="24"/>
          <w:rtl w:val="0"/>
        </w:rPr>
        <w:t xml:space="preserve">(Sic)</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DGP JUAN PABLO LÓPEZ.pdf”: </w:t>
      </w:r>
      <w:r w:rsidDel="00000000" w:rsidR="00000000" w:rsidRPr="00000000">
        <w:rPr>
          <w:rFonts w:ascii="Palatino Linotype" w:cs="Palatino Linotype" w:eastAsia="Palatino Linotype" w:hAnsi="Palatino Linotype"/>
          <w:color w:val="000000"/>
          <w:sz w:val="24"/>
          <w:szCs w:val="24"/>
          <w:rtl w:val="0"/>
        </w:rPr>
        <w:t xml:space="preserve">Expediente laboral integrado a favor del C. Juan Pablo López Rubello, compila formato único de movimientos de personal, reporte de evaluación de la dirección de capital humano y escalafón, constancia de no inhabilitación, Curriculum vitae, solicitud de empleo.</w:t>
      </w:r>
      <w:r w:rsidDel="00000000" w:rsidR="00000000" w:rsidRPr="00000000">
        <w:rPr>
          <w:rtl w:val="0"/>
        </w:rPr>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DGRM SALAZAR PUENTES AYLIN.pdf”: </w:t>
      </w:r>
      <w:r w:rsidDel="00000000" w:rsidR="00000000" w:rsidRPr="00000000">
        <w:rPr>
          <w:rFonts w:ascii="Palatino Linotype" w:cs="Palatino Linotype" w:eastAsia="Palatino Linotype" w:hAnsi="Palatino Linotype"/>
          <w:color w:val="000000"/>
          <w:sz w:val="24"/>
          <w:szCs w:val="24"/>
          <w:rtl w:val="0"/>
        </w:rPr>
        <w:t xml:space="preserve">Expediente laboral integrado a favor de la C. Aylin Salazar Puentes, compila ficha curricular, constancia de no inhabilitación, formato único de movimientos de personal, “evidencia criptográfica – transacción segurisign”</w:t>
      </w:r>
      <w:r w:rsidDel="00000000" w:rsidR="00000000" w:rsidRPr="00000000">
        <w:rPr>
          <w:rtl w:val="0"/>
        </w:rPr>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DGRM JESSICA HERNÁNDEZ REZA.pdf”: </w:t>
      </w:r>
      <w:r w:rsidDel="00000000" w:rsidR="00000000" w:rsidRPr="00000000">
        <w:rPr>
          <w:rFonts w:ascii="Palatino Linotype" w:cs="Palatino Linotype" w:eastAsia="Palatino Linotype" w:hAnsi="Palatino Linotype"/>
          <w:color w:val="000000"/>
          <w:sz w:val="24"/>
          <w:szCs w:val="24"/>
          <w:rtl w:val="0"/>
        </w:rPr>
        <w:t xml:space="preserve">Expediente laboral integrado a favor de la C. Jessica Hernández Reza, compila ficha curricular, constancia de no inhabilitación, formato único de movimientos de personal, “evidencia criptográfica – transacción segurisign”.</w:t>
      </w:r>
      <w:r w:rsidDel="00000000" w:rsidR="00000000" w:rsidRPr="00000000">
        <w:rPr>
          <w:rtl w:val="0"/>
        </w:rPr>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DGRM VICTOR MANUEL AGUILAR.pdf”: </w:t>
      </w:r>
      <w:r w:rsidDel="00000000" w:rsidR="00000000" w:rsidRPr="00000000">
        <w:rPr>
          <w:rFonts w:ascii="Palatino Linotype" w:cs="Palatino Linotype" w:eastAsia="Palatino Linotype" w:hAnsi="Palatino Linotype"/>
          <w:color w:val="000000"/>
          <w:sz w:val="24"/>
          <w:szCs w:val="24"/>
          <w:rtl w:val="0"/>
        </w:rPr>
        <w:t xml:space="preserve">Expediente laboral integrado a favor del C. Víctor Manuel Aguilar Pérez, compila ficha curricular, constancia de no inhabilitación, formato único de movimientos de personal. </w:t>
      </w:r>
      <w:r w:rsidDel="00000000" w:rsidR="00000000" w:rsidRPr="00000000">
        <w:rPr>
          <w:rtl w:val="0"/>
        </w:rPr>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DGRM.pdf”: </w:t>
      </w:r>
      <w:r w:rsidDel="00000000" w:rsidR="00000000" w:rsidRPr="00000000">
        <w:rPr>
          <w:rFonts w:ascii="Palatino Linotype" w:cs="Palatino Linotype" w:eastAsia="Palatino Linotype" w:hAnsi="Palatino Linotype"/>
          <w:color w:val="000000"/>
          <w:sz w:val="24"/>
          <w:szCs w:val="24"/>
          <w:rtl w:val="0"/>
        </w:rPr>
        <w:t xml:space="preserve">Oficio número </w:t>
      </w:r>
      <w:r w:rsidDel="00000000" w:rsidR="00000000" w:rsidRPr="00000000">
        <w:rPr>
          <w:rFonts w:ascii="Palatino Linotype" w:cs="Palatino Linotype" w:eastAsia="Palatino Linotype" w:hAnsi="Palatino Linotype"/>
          <w:b w:val="1"/>
          <w:color w:val="000000"/>
          <w:sz w:val="24"/>
          <w:szCs w:val="24"/>
          <w:rtl w:val="0"/>
        </w:rPr>
        <w:t xml:space="preserve">20706005000200S-0525/2023 </w:t>
      </w:r>
      <w:r w:rsidDel="00000000" w:rsidR="00000000" w:rsidRPr="00000000">
        <w:rPr>
          <w:rFonts w:ascii="Palatino Linotype" w:cs="Palatino Linotype" w:eastAsia="Palatino Linotype" w:hAnsi="Palatino Linotype"/>
          <w:color w:val="000000"/>
          <w:sz w:val="24"/>
          <w:szCs w:val="24"/>
          <w:rtl w:val="0"/>
        </w:rPr>
        <w:t xml:space="preserve">signado por el servidor público habilitado de la dirección general de recursos materiales y dirigido al Jefe de la UIPPE y titular de la unidad de transparencia, de fecha dos de octubre de dos mil veintitrés, refiere adjuntar versión pública de expedientes laborales de los C. Víctor Manual Aguilar Pérez, Elizabeth Ann Vizcarra Peralta, Margarito Solorzano Sánchez, Ailyn Salazar Puentes y Jessica Hernández Reza. </w:t>
      </w: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“CT-2023-0141.pdf”: </w:t>
      </w:r>
      <w:r w:rsidDel="00000000" w:rsidR="00000000" w:rsidRPr="00000000">
        <w:rPr>
          <w:rFonts w:ascii="Palatino Linotype" w:cs="Palatino Linotype" w:eastAsia="Palatino Linotype" w:hAnsi="Palatino Linotype"/>
          <w:color w:val="000000"/>
          <w:sz w:val="24"/>
          <w:szCs w:val="24"/>
          <w:rtl w:val="0"/>
        </w:rPr>
        <w:t xml:space="preserve">Acta del Comité de Transparencia </w:t>
      </w:r>
      <w:r w:rsidDel="00000000" w:rsidR="00000000" w:rsidRPr="00000000">
        <w:rPr>
          <w:rFonts w:ascii="Palatino Linotype" w:cs="Palatino Linotype" w:eastAsia="Palatino Linotype" w:hAnsi="Palatino Linotype"/>
          <w:b w:val="1"/>
          <w:color w:val="000000"/>
          <w:sz w:val="24"/>
          <w:szCs w:val="24"/>
          <w:rtl w:val="0"/>
        </w:rPr>
        <w:t xml:space="preserve">CT-2023-0141 </w:t>
      </w:r>
      <w:r w:rsidDel="00000000" w:rsidR="00000000" w:rsidRPr="00000000">
        <w:rPr>
          <w:rFonts w:ascii="Palatino Linotype" w:cs="Palatino Linotype" w:eastAsia="Palatino Linotype" w:hAnsi="Palatino Linotype"/>
          <w:color w:val="000000"/>
          <w:sz w:val="24"/>
          <w:szCs w:val="24"/>
          <w:rtl w:val="0"/>
        </w:rPr>
        <w:t xml:space="preserve">emitida por los integrantes del Comité de Transparencia de la Secretaría de Finanzas, a efecto de atender la solicitud de información </w:t>
      </w:r>
      <w:r w:rsidDel="00000000" w:rsidR="00000000" w:rsidRPr="00000000">
        <w:rPr>
          <w:rFonts w:ascii="Palatino Linotype" w:cs="Palatino Linotype" w:eastAsia="Palatino Linotype" w:hAnsi="Palatino Linotype"/>
          <w:b w:val="1"/>
          <w:color w:val="000000"/>
          <w:sz w:val="24"/>
          <w:szCs w:val="24"/>
          <w:rtl w:val="0"/>
        </w:rPr>
        <w:t xml:space="preserve">00703/SF/IP/2023, </w:t>
      </w:r>
      <w:r w:rsidDel="00000000" w:rsidR="00000000" w:rsidRPr="00000000">
        <w:rPr>
          <w:rFonts w:ascii="Palatino Linotype" w:cs="Palatino Linotype" w:eastAsia="Palatino Linotype" w:hAnsi="Palatino Linotype"/>
          <w:color w:val="000000"/>
          <w:sz w:val="24"/>
          <w:szCs w:val="24"/>
          <w:rtl w:val="0"/>
        </w:rPr>
        <w:t xml:space="preserve">de fecha cinco de octubre de dos mil veintitrés. </w:t>
      </w:r>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“CT-2023-0193.pdf”: </w:t>
      </w:r>
      <w:r w:rsidDel="00000000" w:rsidR="00000000" w:rsidRPr="00000000">
        <w:rPr>
          <w:rFonts w:ascii="Palatino Linotype" w:cs="Palatino Linotype" w:eastAsia="Palatino Linotype" w:hAnsi="Palatino Linotype"/>
          <w:color w:val="000000"/>
          <w:sz w:val="24"/>
          <w:szCs w:val="24"/>
          <w:rtl w:val="0"/>
        </w:rPr>
        <w:t xml:space="preserve">Acta del Comité de Transparencia </w:t>
      </w:r>
      <w:r w:rsidDel="00000000" w:rsidR="00000000" w:rsidRPr="00000000">
        <w:rPr>
          <w:rFonts w:ascii="Palatino Linotype" w:cs="Palatino Linotype" w:eastAsia="Palatino Linotype" w:hAnsi="Palatino Linotype"/>
          <w:b w:val="1"/>
          <w:color w:val="000000"/>
          <w:sz w:val="24"/>
          <w:szCs w:val="24"/>
          <w:rtl w:val="0"/>
        </w:rPr>
        <w:t xml:space="preserve">CT-2023-0193 </w:t>
      </w:r>
      <w:r w:rsidDel="00000000" w:rsidR="00000000" w:rsidRPr="00000000">
        <w:rPr>
          <w:rFonts w:ascii="Palatino Linotype" w:cs="Palatino Linotype" w:eastAsia="Palatino Linotype" w:hAnsi="Palatino Linotype"/>
          <w:color w:val="000000"/>
          <w:sz w:val="24"/>
          <w:szCs w:val="24"/>
          <w:rtl w:val="0"/>
        </w:rPr>
        <w:t xml:space="preserve">emitida por los integrante del Comité de Transparencia de la Secretaría de Finanzas, a efecto de atender la solicitud de información </w:t>
      </w:r>
      <w:r w:rsidDel="00000000" w:rsidR="00000000" w:rsidRPr="00000000">
        <w:rPr>
          <w:rFonts w:ascii="Palatino Linotype" w:cs="Palatino Linotype" w:eastAsia="Palatino Linotype" w:hAnsi="Palatino Linotype"/>
          <w:b w:val="1"/>
          <w:color w:val="000000"/>
          <w:sz w:val="24"/>
          <w:szCs w:val="24"/>
          <w:rtl w:val="0"/>
        </w:rPr>
        <w:t xml:space="preserve">00703/SF/IP/2023, </w:t>
      </w:r>
      <w:r w:rsidDel="00000000" w:rsidR="00000000" w:rsidRPr="00000000">
        <w:rPr>
          <w:rFonts w:ascii="Palatino Linotype" w:cs="Palatino Linotype" w:eastAsia="Palatino Linotype" w:hAnsi="Palatino Linotype"/>
          <w:color w:val="000000"/>
          <w:sz w:val="24"/>
          <w:szCs w:val="24"/>
          <w:rtl w:val="0"/>
        </w:rPr>
        <w:t xml:space="preserve">de fecha cinco de octubre de dos mil veintitrés. </w:t>
      </w:r>
      <w:r w:rsidDel="00000000" w:rsidR="00000000" w:rsidRPr="00000000">
        <w:rPr>
          <w:rtl w:val="0"/>
        </w:rPr>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“RR 06385-2023 DGR.pdf”: </w:t>
      </w:r>
      <w:r w:rsidDel="00000000" w:rsidR="00000000" w:rsidRPr="00000000">
        <w:rPr>
          <w:rFonts w:ascii="Palatino Linotype" w:cs="Palatino Linotype" w:eastAsia="Palatino Linotype" w:hAnsi="Palatino Linotype"/>
          <w:color w:val="000000"/>
          <w:sz w:val="24"/>
          <w:szCs w:val="24"/>
          <w:rtl w:val="0"/>
        </w:rPr>
        <w:t xml:space="preserve">Compila lo siguiente: </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before="240" w:line="360" w:lineRule="auto"/>
        <w:ind w:left="108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Oficio número </w:t>
      </w:r>
      <w:r w:rsidDel="00000000" w:rsidR="00000000" w:rsidRPr="00000000">
        <w:rPr>
          <w:rFonts w:ascii="Palatino Linotype" w:cs="Palatino Linotype" w:eastAsia="Palatino Linotype" w:hAnsi="Palatino Linotype"/>
          <w:b w:val="1"/>
          <w:color w:val="000000"/>
          <w:sz w:val="24"/>
          <w:szCs w:val="24"/>
          <w:rtl w:val="0"/>
        </w:rPr>
        <w:t xml:space="preserve">20703001030200L/550/2023 </w:t>
      </w:r>
      <w:r w:rsidDel="00000000" w:rsidR="00000000" w:rsidRPr="00000000">
        <w:rPr>
          <w:rFonts w:ascii="Palatino Linotype" w:cs="Palatino Linotype" w:eastAsia="Palatino Linotype" w:hAnsi="Palatino Linotype"/>
          <w:color w:val="000000"/>
          <w:sz w:val="24"/>
          <w:szCs w:val="24"/>
          <w:rtl w:val="0"/>
        </w:rPr>
        <w:t xml:space="preserve">signado por la Subdirectora de normas y procedimientos y servidora pública habilitada suplente de la dirección general de recaudación y dirigido al Jefe de la UIPPE y Titular de la Unidad de Transparencia, de fecha diez de octubre de dos mil veintitrés, refiere adjuntar expediente de la C. Verónica Garduño Izquierdo. </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before="160" w:line="360" w:lineRule="auto"/>
        <w:ind w:left="108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Expediente laboral integrado a favor de la C. Verónica Garduño Izquierdo, compila formato único de movimiento de personal, Curriculum vitae, “evidencia criptográfica – transacción segurisign”</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left="1080" w:firstLine="0"/>
        <w:jc w:val="both"/>
        <w:rPr>
          <w:rFonts w:ascii="Palatino Linotype" w:cs="Palatino Linotype" w:eastAsia="Palatino Linotype" w:hAnsi="Palatino Linotype"/>
          <w:b w:val="1"/>
          <w:color w:val="000000"/>
          <w:sz w:val="24"/>
          <w:szCs w:val="24"/>
        </w:rPr>
      </w:pPr>
      <w:r w:rsidDel="00000000" w:rsidR="00000000" w:rsidRPr="00000000">
        <w:rPr>
          <w:rtl w:val="0"/>
        </w:rPr>
      </w:r>
    </w:p>
    <w:p w:rsidR="00000000" w:rsidDel="00000000" w:rsidP="00000000" w:rsidRDefault="00000000" w:rsidRPr="00000000" w14:paraId="0000002D">
      <w:pPr>
        <w:spacing w:after="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las cosas</w:t>
      </w:r>
      <w:r w:rsidDel="00000000" w:rsidR="00000000" w:rsidRPr="00000000">
        <w:rPr>
          <w:rFonts w:ascii="Palatino Linotype" w:cs="Palatino Linotype" w:eastAsia="Palatino Linotype" w:hAnsi="Palatino Linotype"/>
          <w:color w:val="000000"/>
          <w:sz w:val="24"/>
          <w:szCs w:val="24"/>
          <w:rtl w:val="0"/>
        </w:rPr>
        <w:t xml:space="preserve">, el Comisionado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Ponente consideró </w:t>
      </w:r>
      <w:r w:rsidDel="00000000" w:rsidR="00000000" w:rsidRPr="00000000">
        <w:rPr>
          <w:rFonts w:ascii="Palatino Linotype" w:cs="Palatino Linotype" w:eastAsia="Palatino Linotype" w:hAnsi="Palatino Linotype"/>
          <w:sz w:val="24"/>
          <w:szCs w:val="24"/>
          <w:rtl w:val="0"/>
        </w:rPr>
        <w:t xml:space="preserve">que los motivos de inconformidad aducidos por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eran fundados, y determinó MODIFICAR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ordenando lo siguiente:</w:t>
      </w:r>
    </w:p>
    <w:p w:rsidR="00000000" w:rsidDel="00000000" w:rsidP="00000000" w:rsidRDefault="00000000" w:rsidRPr="00000000" w14:paraId="0000002E">
      <w:pPr>
        <w:spacing w:line="276" w:lineRule="auto"/>
        <w:ind w:right="90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F">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“SEGUNDO. Se ORDENA al SUJETO OBLIGADO haga entrega al RECURRENTE en términos del Considerando CUARTO de esta resolución, a través del Sistema de Acceso a la Información Mexiquense (SAIMEX), en versión pública de lo siguiente: </w:t>
      </w:r>
    </w:p>
    <w:p w:rsidR="00000000" w:rsidDel="00000000" w:rsidP="00000000" w:rsidRDefault="00000000" w:rsidRPr="00000000" w14:paraId="00000030">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1.</w:t>
        <w:tab/>
        <w:t xml:space="preserve">Expedientes laborales remitidos mediante informe justificado, en su correcta versión pública.  </w:t>
      </w:r>
    </w:p>
    <w:p w:rsidR="00000000" w:rsidDel="00000000" w:rsidP="00000000" w:rsidRDefault="00000000" w:rsidRPr="00000000" w14:paraId="00000031">
      <w:pPr>
        <w:tabs>
          <w:tab w:val="left" w:leader="none" w:pos="4962"/>
        </w:tabs>
        <w:spacing w:after="0" w:line="276" w:lineRule="auto"/>
        <w:ind w:left="851"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del recurrente.”</w:t>
      </w:r>
    </w:p>
    <w:p w:rsidR="00000000" w:rsidDel="00000000" w:rsidP="00000000" w:rsidRDefault="00000000" w:rsidRPr="00000000" w14:paraId="00000032">
      <w:pPr>
        <w:spacing w:after="24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3">
      <w:pPr>
        <w:spacing w:after="0" w:line="360" w:lineRule="auto"/>
        <w:jc w:val="both"/>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II. Razones del Voto Particular.</w:t>
      </w:r>
    </w:p>
    <w:p w:rsidR="00000000" w:rsidDel="00000000" w:rsidP="00000000" w:rsidRDefault="00000000" w:rsidRPr="00000000" w14:paraId="0000003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5">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Derivado de lo anterior, la emisión del voto se centrará en que si bien se comparte el sentido de la resolución no se coincide con los argumentos señalados en la misma particularmente respecto al considerar lo siguiente:</w:t>
      </w:r>
    </w:p>
    <w:p w:rsidR="00000000" w:rsidDel="00000000" w:rsidP="00000000" w:rsidRDefault="00000000" w:rsidRPr="00000000" w14:paraId="00000036">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Certificado de no deudor alimentario.</w:t>
      </w:r>
    </w:p>
    <w:p w:rsidR="00000000" w:rsidDel="00000000" w:rsidP="00000000" w:rsidRDefault="00000000" w:rsidRPr="00000000" w14:paraId="00000038">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hace los certificados de no deudor alimentario moroso la suscrita considera que deben ser protegidos mediante su clasificación como confidencial en su totalidad, ello derivado a que el estar inscrito en dicho registro tiene un impacto en la imagen de un servidor público y se trata de un tema estrictamente de carácter personal e incluso de tipo familiar.</w:t>
      </w:r>
    </w:p>
    <w:p w:rsidR="00000000" w:rsidDel="00000000" w:rsidP="00000000" w:rsidRDefault="00000000" w:rsidRPr="00000000" w14:paraId="0000003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A">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 considera que la información que se ordena, en efecto, da certeza que determinado servidor público cumplió con los requisitos señalados en el artículo 32 de la Ley Orgánica Municipal del Estado de México, pero también lo es que dar a conocer esta información podría vulnerar la vida privada de los servidores públicos. </w:t>
      </w:r>
    </w:p>
    <w:p w:rsidR="00000000" w:rsidDel="00000000" w:rsidP="00000000" w:rsidRDefault="00000000" w:rsidRPr="00000000" w14:paraId="0000003B">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Más aún cuando en el  Proyecto de Decreto por el que se Reforman y Adicionan Diversas Disposiciones para crear el Registro de Deudores Alimentarios del Estado de México, disponible en la dirección electrónica </w:t>
      </w:r>
      <w:hyperlink r:id="rId9">
        <w:r w:rsidDel="00000000" w:rsidR="00000000" w:rsidRPr="00000000">
          <w:rPr>
            <w:rFonts w:ascii="Palatino Linotype" w:cs="Palatino Linotype" w:eastAsia="Palatino Linotype" w:hAnsi="Palatino Linotype"/>
            <w:color w:val="0000ff"/>
            <w:sz w:val="24"/>
            <w:szCs w:val="24"/>
            <w:u w:val="single"/>
            <w:rtl w:val="0"/>
          </w:rPr>
          <w:t xml:space="preserve">https://www.ipomex.org.mx/recursos/ipo/files_ipo/2014/8/11/630bc7787b59af912a96a9e1bca1c770.pdf#:~:text=La%20inscripci%C3%B3n%20con%20el%20car%C3%A1cter,del%20Estado%20de%20M%C3%A9xico%20e</w:t>
        </w:r>
      </w:hyperlink>
      <w:r w:rsidDel="00000000" w:rsidR="00000000" w:rsidRPr="00000000">
        <w:rPr>
          <w:rFonts w:ascii="Palatino Linotype" w:cs="Palatino Linotype" w:eastAsia="Palatino Linotype" w:hAnsi="Palatino Linotype"/>
          <w:sz w:val="24"/>
          <w:szCs w:val="24"/>
          <w:rtl w:val="0"/>
        </w:rPr>
        <w:t xml:space="preserve">, pueden advertirse los objetivos de crear dicho registro: </w:t>
      </w:r>
    </w:p>
    <w:p w:rsidR="00000000" w:rsidDel="00000000" w:rsidP="00000000" w:rsidRDefault="00000000" w:rsidRPr="00000000" w14:paraId="0000003C">
      <w:pPr>
        <w:spacing w:after="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D">
      <w:pPr>
        <w:spacing w:after="0" w:line="240" w:lineRule="auto"/>
        <w:ind w:left="567" w:right="53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interés superior del menor debe prevalecer en cualquier controversia de derecho familiar, situación que obliga a las autoridades a establecer las medidas necesarias para asegurar el cumplimiento del pago de la pensión alimenticia decretada a su favor.</w:t>
      </w:r>
    </w:p>
    <w:p w:rsidR="00000000" w:rsidDel="00000000" w:rsidP="00000000" w:rsidRDefault="00000000" w:rsidRPr="00000000" w14:paraId="0000003E">
      <w:pPr>
        <w:spacing w:after="0" w:line="240" w:lineRule="auto"/>
        <w:ind w:left="567"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F">
      <w:pPr>
        <w:spacing w:after="0" w:line="240" w:lineRule="auto"/>
        <w:ind w:left="567" w:right="53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rsidR="00000000" w:rsidDel="00000000" w:rsidP="00000000" w:rsidRDefault="00000000" w:rsidRPr="00000000" w14:paraId="00000040">
      <w:pPr>
        <w:spacing w:after="0" w:line="240" w:lineRule="auto"/>
        <w:ind w:left="567" w:right="53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1">
      <w:pPr>
        <w:spacing w:after="0" w:line="240" w:lineRule="auto"/>
        <w:ind w:left="567" w:right="53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rsidR="00000000" w:rsidDel="00000000" w:rsidP="00000000" w:rsidRDefault="00000000" w:rsidRPr="00000000" w14:paraId="00000042">
      <w:pPr>
        <w:spacing w:after="0" w:line="240" w:lineRule="auto"/>
        <w:ind w:left="567" w:right="53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3">
      <w:pPr>
        <w:spacing w:after="0" w:line="240" w:lineRule="auto"/>
        <w:ind w:left="567" w:right="53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alimentos tienen carácter preferente a favor de los hijos, sin que pueda eximirse el deudor alimentario de su cumplimiento cuando esté en posibilidades de hacerlo. En el Estado de México,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rtl w:val="0"/>
        </w:rPr>
        <w:t xml:space="preserve">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rsidR="00000000" w:rsidDel="00000000" w:rsidP="00000000" w:rsidRDefault="00000000" w:rsidRPr="00000000" w14:paraId="00000044">
      <w:pPr>
        <w:spacing w:after="0" w:line="240" w:lineRule="auto"/>
        <w:ind w:left="567" w:right="53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5">
      <w:pPr>
        <w:spacing w:after="0" w:line="240" w:lineRule="auto"/>
        <w:ind w:left="567" w:right="53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Del="00000000" w:rsidR="00000000" w:rsidRPr="00000000">
        <w:rPr>
          <w:rFonts w:ascii="Palatino Linotype" w:cs="Palatino Linotype" w:eastAsia="Palatino Linotype" w:hAnsi="Palatino Linotype"/>
          <w:b w:val="1"/>
          <w:i w:val="1"/>
          <w:u w:val="single"/>
          <w:rtl w:val="0"/>
        </w:rPr>
        <w:t xml:space="preserve">con la finalidad de asegurar el cumplimiento de las obligaciones alimentarias que tienen los padres para con sus menores hijos.” (Sic)</w:t>
      </w:r>
      <w:r w:rsidDel="00000000" w:rsidR="00000000" w:rsidRPr="00000000">
        <w:rPr>
          <w:rtl w:val="0"/>
        </w:rPr>
      </w:r>
    </w:p>
    <w:p w:rsidR="00000000" w:rsidDel="00000000" w:rsidP="00000000" w:rsidRDefault="00000000" w:rsidRPr="00000000" w14:paraId="00000046">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de manera general como </w:t>
      </w:r>
      <w:r w:rsidDel="00000000" w:rsidR="00000000" w:rsidRPr="00000000">
        <w:rPr>
          <w:rFonts w:ascii="Palatino Linotype" w:cs="Palatino Linotype" w:eastAsia="Palatino Linotype" w:hAnsi="Palatino Linotype"/>
          <w:b w:val="1"/>
          <w:sz w:val="24"/>
          <w:szCs w:val="24"/>
          <w:rtl w:val="0"/>
        </w:rPr>
        <w:t xml:space="preserve">información confidencial en su totalidad</w:t>
      </w:r>
      <w:r w:rsidDel="00000000" w:rsidR="00000000" w:rsidRPr="00000000">
        <w:rPr>
          <w:rFonts w:ascii="Palatino Linotype" w:cs="Palatino Linotype" w:eastAsia="Palatino Linotype" w:hAnsi="Palatino Linotype"/>
          <w:sz w:val="24"/>
          <w:szCs w:val="24"/>
          <w:rtl w:val="0"/>
        </w:rPr>
        <w:t xml:space="preserve"> en términos del artículo 143, fracción I, de la Ley de Transparencia y Acceso a la Información Pública del Estado de México y Municipios. </w:t>
      </w:r>
    </w:p>
    <w:p w:rsidR="00000000" w:rsidDel="00000000" w:rsidP="00000000" w:rsidRDefault="00000000" w:rsidRPr="00000000" w14:paraId="0000004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9">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otro lado, clasificar en su totalidad esa información de igual forma, da certeza del cumplimiento del requisito, toda vez que la clasificación y la inexistencia no pueden coexistir. A efecto de robustecer lo anterior, sirve de sustento el criterio orientador 29/10 emitido por el Instituto Nacional de Transparencia, Acceso a la Información y Protección de Datos Personales, INAI, el cual refiere lo siguiente: </w:t>
      </w:r>
    </w:p>
    <w:p w:rsidR="00000000" w:rsidDel="00000000" w:rsidP="00000000" w:rsidRDefault="00000000" w:rsidRPr="00000000" w14:paraId="0000004A">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B">
      <w:pPr>
        <w:tabs>
          <w:tab w:val="left" w:leader="none" w:pos="851"/>
        </w:tabs>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i w:val="1"/>
          <w:rtl w:val="0"/>
        </w:rPr>
        <w:t xml:space="preserve">“La clasificación y la inexistencia de información son conceptos que no pueden coexistir.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(Énfasis añadido) </w:t>
      </w:r>
    </w:p>
    <w:p w:rsidR="00000000" w:rsidDel="00000000" w:rsidP="00000000" w:rsidRDefault="00000000" w:rsidRPr="00000000" w14:paraId="0000004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D">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todo lo vertido en líneas argumentativas anteriores que la suscrita no comparte que se ordene el certificado de no deudor alimentario.</w:t>
      </w:r>
    </w:p>
    <w:p w:rsidR="00000000" w:rsidDel="00000000" w:rsidP="00000000" w:rsidRDefault="00000000" w:rsidRPr="00000000" w14:paraId="0000004E">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before="240" w:line="360" w:lineRule="auto"/>
        <w:ind w:left="720" w:hanging="36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De la publicidad de la fotografía de servidores públicos.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line="360" w:lineRule="auto"/>
        <w:ind w:left="720" w:firstLine="0"/>
        <w:jc w:val="both"/>
        <w:rPr>
          <w:rFonts w:ascii="Palatino Linotype" w:cs="Palatino Linotype" w:eastAsia="Palatino Linotype" w:hAnsi="Palatino Linotype"/>
          <w:b w:val="1"/>
          <w:color w:val="000000"/>
          <w:sz w:val="24"/>
          <w:szCs w:val="24"/>
        </w:rPr>
      </w:pPr>
      <w:r w:rsidDel="00000000" w:rsidR="00000000" w:rsidRPr="00000000">
        <w:rPr>
          <w:rtl w:val="0"/>
        </w:rPr>
      </w:r>
    </w:p>
    <w:p w:rsidR="00000000" w:rsidDel="00000000" w:rsidP="00000000" w:rsidRDefault="00000000" w:rsidRPr="00000000" w14:paraId="00000051">
      <w:pPr>
        <w:spacing w:after="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000000"/>
          <w:sz w:val="24"/>
          <w:szCs w:val="24"/>
          <w:rtl w:val="0"/>
        </w:rPr>
        <w:t xml:space="preserve">Es preciso mencionar que, el presente voto se formula en relación con la fotografía que se puede advertir en el documento que acredite el último grado de estudios y curriculum vitae,  con los que </w:t>
      </w:r>
      <w:r w:rsidDel="00000000" w:rsidR="00000000" w:rsidRPr="00000000">
        <w:rPr>
          <w:rFonts w:ascii="Palatino Linotype" w:cs="Palatino Linotype" w:eastAsia="Palatino Linotype" w:hAnsi="Palatino Linotype"/>
          <w:color w:val="000000"/>
          <w:sz w:val="24"/>
          <w:szCs w:val="24"/>
          <w:rtl w:val="0"/>
        </w:rPr>
        <w:t xml:space="preserve">cuenten</w:t>
      </w:r>
      <w:r w:rsidDel="00000000" w:rsidR="00000000" w:rsidRPr="00000000">
        <w:rPr>
          <w:rFonts w:ascii="Palatino Linotype" w:cs="Palatino Linotype" w:eastAsia="Palatino Linotype" w:hAnsi="Palatino Linotype"/>
          <w:color w:val="000000"/>
          <w:sz w:val="24"/>
          <w:szCs w:val="24"/>
          <w:rtl w:val="0"/>
        </w:rPr>
        <w:t xml:space="preserve"> los servidores públicos que no son mandos medios ni superiores, </w:t>
      </w:r>
      <w:r w:rsidDel="00000000" w:rsidR="00000000" w:rsidRPr="00000000">
        <w:rPr>
          <w:rFonts w:ascii="Palatino Linotype" w:cs="Palatino Linotype" w:eastAsia="Palatino Linotype" w:hAnsi="Palatino Linotype"/>
          <w:sz w:val="24"/>
          <w:szCs w:val="24"/>
          <w:rtl w:val="0"/>
        </w:rPr>
        <w:t xml:space="preserve">toda vez que en la resolución se considera que la fotografía de todos servidores públicos debe ser pública, sin embargo se debió considerar que no todos los servidores públicos tienen cargos de </w:t>
      </w:r>
      <w:r w:rsidDel="00000000" w:rsidR="00000000" w:rsidRPr="00000000">
        <w:rPr>
          <w:rFonts w:ascii="Palatino Linotype" w:cs="Palatino Linotype" w:eastAsia="Palatino Linotype" w:hAnsi="Palatino Linotype"/>
          <w:b w:val="1"/>
          <w:sz w:val="24"/>
          <w:szCs w:val="24"/>
          <w:u w:val="single"/>
          <w:rtl w:val="0"/>
        </w:rPr>
        <w:t xml:space="preserve">mandos medios ni superiores</w:t>
      </w:r>
      <w:r w:rsidDel="00000000" w:rsidR="00000000" w:rsidRPr="00000000">
        <w:rPr>
          <w:rFonts w:ascii="Palatino Linotype" w:cs="Palatino Linotype" w:eastAsia="Palatino Linotype" w:hAnsi="Palatino Linotype"/>
          <w:sz w:val="24"/>
          <w:szCs w:val="24"/>
          <w:rtl w:val="0"/>
        </w:rPr>
        <w:t xml:space="preserve"> y que posiblemente tampoco tienen interacción con atención al público, por lo que, la suscrita  considera que su imagen debe ser clasificada como información confidencial por las consideraciones que a continuación se expresan.</w:t>
      </w:r>
    </w:p>
    <w:p w:rsidR="00000000" w:rsidDel="00000000" w:rsidP="00000000" w:rsidRDefault="00000000" w:rsidRPr="00000000" w14:paraId="00000052">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3">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la Ponencia Resolutora, consideró lo siguiente:</w:t>
      </w:r>
    </w:p>
    <w:p w:rsidR="00000000" w:rsidDel="00000000" w:rsidP="00000000" w:rsidRDefault="00000000" w:rsidRPr="00000000" w14:paraId="00000054">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770"/>
        </w:tabs>
        <w:spacing w:after="0" w:before="240" w:line="360" w:lineRule="auto"/>
        <w:ind w:left="72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“Tratándose de servidores públicos se cuenta con un espectro menor de protección a sus datos personales en comparación con cualquier otra persona física, en razón del interés público que revisten sus funciones, por lo que, </w:t>
      </w:r>
      <w:r w:rsidDel="00000000" w:rsidR="00000000" w:rsidRPr="00000000">
        <w:rPr>
          <w:rFonts w:ascii="Palatino Linotype" w:cs="Palatino Linotype" w:eastAsia="Palatino Linotype" w:hAnsi="Palatino Linotype"/>
          <w:b w:val="0"/>
          <w:i w:val="1"/>
          <w:smallCaps w:val="0"/>
          <w:strike w:val="0"/>
          <w:color w:val="444444"/>
          <w:sz w:val="24"/>
          <w:szCs w:val="24"/>
          <w:u w:val="none"/>
          <w:shd w:fill="auto" w:val="clear"/>
          <w:vertAlign w:val="baseline"/>
          <w:rtl w:val="0"/>
        </w:rPr>
        <w:t xml:space="preserve">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09" w:right="0" w:firstLine="10.999999999999943"/>
        <w:jc w:val="both"/>
        <w:rPr>
          <w:rFonts w:ascii="Palatino Linotype" w:cs="Palatino Linotype" w:eastAsia="Palatino Linotype" w:hAnsi="Palatino Linotype"/>
          <w:b w:val="0"/>
          <w:i w:val="1"/>
          <w:smallCaps w:val="0"/>
          <w:strike w:val="0"/>
          <w:color w:val="333333"/>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Conforme a lo anterior, resulta necesario señalar que el Pleno del Órgano Garante local sustentó el criterio </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03/2019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cuyo rubro dispone a la literalidad lo siguiente: </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“SERVIDORES PÚBLICOS CON CATEGORÍA DE MANDO MEDIO Y SUPERIOR. LA FOTOGRAFÍA DE AQUELLOS ES DE CARÁCTER PÚBLICO.”,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mismo que fue interrumpido en términos del artículo </w:t>
      </w:r>
      <w:r w:rsidDel="00000000" w:rsidR="00000000" w:rsidRPr="00000000">
        <w:rPr>
          <w:rFonts w:ascii="Palatino Linotype" w:cs="Palatino Linotype" w:eastAsia="Palatino Linotype" w:hAnsi="Palatino Linotype"/>
          <w:b w:val="0"/>
          <w:i w:val="1"/>
          <w:smallCaps w:val="0"/>
          <w:strike w:val="0"/>
          <w:color w:val="333333"/>
          <w:sz w:val="24"/>
          <w:szCs w:val="24"/>
          <w:u w:val="none"/>
          <w:shd w:fill="auto" w:val="clear"/>
          <w:vertAlign w:val="baseline"/>
          <w:rtl w:val="0"/>
        </w:rPr>
        <w:t xml:space="preserve">9, fracción XXVII del Reglamento Interior del Instituto de Transparencia, Acceso a la Información Pública y Protección de Datos Personales del Estado de México y Municipios.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09" w:right="0" w:firstLine="10.999999999999943"/>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333333"/>
          <w:sz w:val="24"/>
          <w:szCs w:val="24"/>
          <w:u w:val="none"/>
          <w:shd w:fill="auto" w:val="clear"/>
          <w:vertAlign w:val="baseline"/>
          <w:rtl w:val="0"/>
        </w:rPr>
        <w:t xml:space="preserve">Debido a lo anterior,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r w:rsidDel="00000000" w:rsidR="00000000" w:rsidRPr="00000000">
        <w:rPr>
          <w:rtl w:val="0"/>
        </w:rPr>
      </w:r>
    </w:p>
    <w:p w:rsidR="00000000" w:rsidDel="00000000" w:rsidP="00000000" w:rsidRDefault="00000000" w:rsidRPr="00000000" w14:paraId="00000058">
      <w:pPr>
        <w:spacing w:after="0" w:line="276"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9">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no escapa de la óptica de la suscrita que por cuanto hace a la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5A">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B">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rsidR="00000000" w:rsidDel="00000000" w:rsidP="00000000" w:rsidRDefault="00000000" w:rsidRPr="00000000" w14:paraId="0000005C">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D">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dado el interés público que reviste a las funciones de las y los funcionarios que dan atención al público, así como aquellos que cuenten con la calidad de mando medio y/o superior, considero que se debe dejar visible su fotografía pues, hacer pública la imagen de éstos, puede contribuir a la transparencia y la rendición de cuentas, ya que permite a la ciudadanía identificar a los funcionarios que toman decisiones importantes en su nombre.</w:t>
      </w:r>
    </w:p>
    <w:p w:rsidR="00000000" w:rsidDel="00000000" w:rsidP="00000000" w:rsidRDefault="00000000" w:rsidRPr="00000000" w14:paraId="0000005E">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F">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 embargo, para el caso que nos ocupa se ordenó la entrega de información que, dada su propia y especial naturaleza, podría contener la fotografía de servidoras y servidores públicos que laboran para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que no son mandos medios ni superiores y que tampoco tienen funciones de atención al público, por lo que los documentos que contengan dicho dato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60">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1">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las razones antes expuestas no comparto este punto del estudio de la resolución dictada, y, por ende se emite el presente </w:t>
      </w:r>
      <w:r w:rsidDel="00000000" w:rsidR="00000000" w:rsidRPr="00000000">
        <w:rPr>
          <w:rFonts w:ascii="Palatino Linotype" w:cs="Palatino Linotype" w:eastAsia="Palatino Linotype" w:hAnsi="Palatino Linotype"/>
          <w:b w:val="1"/>
          <w:sz w:val="24"/>
          <w:szCs w:val="24"/>
          <w:rtl w:val="0"/>
        </w:rPr>
        <w:t xml:space="preserve">Voto Particular </w:t>
      </w:r>
      <w:r w:rsidDel="00000000" w:rsidR="00000000" w:rsidRPr="00000000">
        <w:rPr>
          <w:rFonts w:ascii="Palatino Linotype" w:cs="Palatino Linotype" w:eastAsia="Palatino Linotype" w:hAnsi="Palatino Linotype"/>
          <w:sz w:val="24"/>
          <w:szCs w:val="24"/>
          <w:rtl w:val="0"/>
        </w:rPr>
        <w:t xml:space="preserve">pues considero que no se debe dejar visible la fotografía de las y los servidores públicos que </w:t>
      </w:r>
      <w:r w:rsidDel="00000000" w:rsidR="00000000" w:rsidRPr="00000000">
        <w:rPr>
          <w:rFonts w:ascii="Palatino Linotype" w:cs="Palatino Linotype" w:eastAsia="Palatino Linotype" w:hAnsi="Palatino Linotype"/>
          <w:b w:val="1"/>
          <w:sz w:val="24"/>
          <w:szCs w:val="24"/>
          <w:u w:val="single"/>
          <w:rtl w:val="0"/>
        </w:rPr>
        <w:t xml:space="preserve">NO cuenten con la calidad de mando medio y/o superior</w:t>
      </w:r>
      <w:r w:rsidDel="00000000" w:rsidR="00000000" w:rsidRPr="00000000">
        <w:rPr>
          <w:rFonts w:ascii="Palatino Linotype" w:cs="Palatino Linotype" w:eastAsia="Palatino Linotype" w:hAnsi="Palatino Linotype"/>
          <w:sz w:val="24"/>
          <w:szCs w:val="24"/>
          <w:rtl w:val="0"/>
        </w:rPr>
        <w:t xml:space="preserve">, o </w:t>
      </w:r>
      <w:r w:rsidDel="00000000" w:rsidR="00000000" w:rsidRPr="00000000">
        <w:rPr>
          <w:rFonts w:ascii="Palatino Linotype" w:cs="Palatino Linotype" w:eastAsia="Palatino Linotype" w:hAnsi="Palatino Linotype"/>
          <w:b w:val="1"/>
          <w:sz w:val="24"/>
          <w:szCs w:val="24"/>
          <w:u w:val="single"/>
          <w:rtl w:val="0"/>
        </w:rPr>
        <w:t xml:space="preserve">no tengan atención al público </w:t>
      </w:r>
      <w:r w:rsidDel="00000000" w:rsidR="00000000" w:rsidRPr="00000000">
        <w:rPr>
          <w:rFonts w:ascii="Palatino Linotype" w:cs="Palatino Linotype" w:eastAsia="Palatino Linotype" w:hAnsi="Palatino Linotype"/>
          <w:sz w:val="24"/>
          <w:szCs w:val="24"/>
          <w:rtl w:val="0"/>
        </w:rPr>
        <w:t xml:space="preserve">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62">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3">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4">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5">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6">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7">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8">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9">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A">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B">
      <w:pPr>
        <w:spacing w:after="240" w:line="360" w:lineRule="auto"/>
        <w:jc w:val="both"/>
        <w:rPr>
          <w:rFonts w:ascii="Palatino Linotype" w:cs="Palatino Linotype" w:eastAsia="Palatino Linotype" w:hAnsi="Palatino Linotype"/>
          <w:sz w:val="24"/>
          <w:szCs w:val="24"/>
        </w:rPr>
      </w:pPr>
      <w:bookmarkStart w:colFirst="0" w:colLast="0" w:name="_heading=h.gjdgxs" w:id="1"/>
      <w:bookmarkEnd w:id="1"/>
      <w:r w:rsidDel="00000000" w:rsidR="00000000" w:rsidRPr="00000000">
        <w:rPr>
          <w:rtl w:val="0"/>
        </w:rPr>
      </w:r>
    </w:p>
    <w:sectPr>
      <w:headerReference r:id="rId10" w:type="default"/>
      <w:footerReference r:id="rId11"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76" w:lineRule="auto"/>
      <w:rPr>
        <w:rFonts w:ascii="Palatino Linotype" w:cs="Palatino Linotype" w:eastAsia="Palatino Linotype" w:hAnsi="Palatino Linotype"/>
        <w:sz w:val="24"/>
        <w:szCs w:val="24"/>
      </w:rPr>
    </w:pPr>
    <w:r w:rsidDel="00000000" w:rsidR="00000000" w:rsidRPr="00000000">
      <w:rPr>
        <w:rtl w:val="0"/>
      </w:rPr>
    </w:r>
  </w:p>
  <w:tbl>
    <w:tblPr>
      <w:tblStyle w:val="Table1"/>
      <w:tblW w:w="921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6"/>
      <w:gridCol w:w="5528"/>
      <w:tblGridChange w:id="0">
        <w:tblGrid>
          <w:gridCol w:w="3686"/>
          <w:gridCol w:w="5528"/>
        </w:tblGrid>
      </w:tblGridChange>
    </w:tblGrid>
    <w:tr>
      <w:trPr>
        <w:cantSplit w:val="0"/>
        <w:trHeight w:val="1843" w:hRule="atLeast"/>
        <w:tblHeader w:val="0"/>
      </w:trPr>
      <w:tc>
        <w:tcPr>
          <w:vAlign w:val="bottom"/>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252"/>
              <w:tab w:val="right" w:leader="none" w:pos="8504"/>
              <w:tab w:val="center" w:leader="none" w:pos="2614"/>
            </w:tabs>
            <w:ind w:left="-255" w:firstLine="0"/>
            <w:rPr>
              <w:color w:val="000000"/>
            </w:rPr>
          </w:pPr>
          <w:r w:rsidDel="00000000" w:rsidR="00000000" w:rsidRPr="00000000">
            <w:rPr>
              <w:color w:val="000000"/>
              <w:sz w:val="10"/>
              <w:szCs w:val="10"/>
            </w:rPr>
            <w:drawing>
              <wp:inline distB="0" distT="0" distL="0" distR="0">
                <wp:extent cx="1873633" cy="112654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3633" cy="112654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252"/>
              <w:tab w:val="right" w:leader="none" w:pos="8504"/>
            </w:tabs>
            <w:ind w:right="-25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252"/>
              <w:tab w:val="right" w:leader="none" w:pos="8504"/>
            </w:tabs>
            <w:ind w:left="-108" w:right="-250" w:firstLine="0"/>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Voto Particular.</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252"/>
              <w:tab w:val="right" w:leader="none" w:pos="8504"/>
            </w:tabs>
            <w:ind w:left="-108" w:right="-25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Recurso de Revisión: </w:t>
          </w:r>
          <w:r w:rsidDel="00000000" w:rsidR="00000000" w:rsidRPr="00000000">
            <w:rPr>
              <w:rFonts w:ascii="Palatino Linotype" w:cs="Palatino Linotype" w:eastAsia="Palatino Linotype" w:hAnsi="Palatino Linotype"/>
              <w:color w:val="000000"/>
              <w:rtl w:val="0"/>
            </w:rPr>
            <w:t xml:space="preserve">06385/INFOEM/IP/RR/2023.</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252"/>
              <w:tab w:val="right" w:leader="none" w:pos="8504"/>
            </w:tabs>
            <w:ind w:left="-108" w:right="-250" w:firstLine="0"/>
            <w:jc w:val="both"/>
            <w:rPr>
              <w:rFonts w:ascii="Palatino Linotype" w:cs="Palatino Linotype" w:eastAsia="Palatino Linotype" w:hAnsi="Palatino Linotype"/>
              <w:color w:val="000000"/>
            </w:rPr>
          </w:pPr>
          <w:r w:rsidDel="00000000" w:rsidR="00000000" w:rsidRPr="00000000">
            <w:rPr>
              <w:rtl w:val="0"/>
            </w:rPr>
          </w:r>
        </w:p>
      </w:tc>
    </w:tr>
  </w:tb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1080" w:hanging="360"/>
      </w:pPr>
      <w:rPr>
        <w:rFonts w:ascii="Palatino Linotype" w:cs="Palatino Linotype" w:eastAsia="Palatino Linotype" w:hAnsi="Palatino Linotype"/>
        <w:i w:val="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Encabezado">
    <w:name w:val="header"/>
    <w:basedOn w:val="Normal"/>
    <w:link w:val="EncabezadoCar"/>
    <w:uiPriority w:val="99"/>
    <w:unhideWhenUsed w:val="1"/>
    <w:rsid w:val="00C75668"/>
    <w:pPr>
      <w:tabs>
        <w:tab w:val="center" w:pos="4419"/>
        <w:tab w:val="right" w:pos="8838"/>
      </w:tabs>
      <w:spacing w:after="0" w:line="240" w:lineRule="auto"/>
    </w:pPr>
    <w:rPr>
      <w:rFonts w:ascii="Times New Roman" w:cs="Times New Roman" w:hAnsi="Times New Roman"/>
      <w:sz w:val="24"/>
      <w:szCs w:val="24"/>
      <w:lang w:eastAsia="es-ES"/>
    </w:rPr>
  </w:style>
  <w:style w:type="character" w:styleId="EncabezadoCar" w:customStyle="1">
    <w:name w:val="Encabezado Car"/>
    <w:basedOn w:val="Fuentedeprrafopredeter"/>
    <w:link w:val="Encabezado"/>
    <w:uiPriority w:val="99"/>
    <w:rsid w:val="00C75668"/>
    <w:rPr>
      <w:rFonts w:ascii="Times New Roman" w:cs="Times New Roman" w:hAnsi="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C75668"/>
    <w:pPr>
      <w:spacing w:after="0" w:line="240" w:lineRule="auto"/>
      <w:ind w:left="708"/>
    </w:pPr>
    <w:rPr>
      <w:rFonts w:ascii="Times New Roman" w:cs="Times New Roman" w:eastAsia="Times New Roman" w:hAnsi="Times New Roman"/>
      <w:sz w:val="24"/>
      <w:szCs w:val="24"/>
      <w:lang w:eastAsia="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C75668"/>
    <w:rPr>
      <w:rFonts w:ascii="Times New Roman" w:cs="Times New Roman" w:eastAsia="Times New Roman" w:hAnsi="Times New Roman"/>
      <w:sz w:val="24"/>
      <w:szCs w:val="24"/>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ipomex.org.mx/recursos/ipo/files_ipo/2014/8/11/630bc7787b59af912a96a9e1bca1c770.pdf#:~:text=La%20inscripci%C3%B3n%20con%20el%20car%C3%A1cter,del%20Estado%20de%20M%C3%A9xico%20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n3+apTRx9IkK61XBVieoMBV1Og==">CgMxLjAyCWguMmV0OTJwMDIIaC5namRneHM4AHIhMUFBeWlmOGQyNkNnaTgwWnlKaHBSMmd2VEJCNVBzNU9m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2023-11-21T15:29:00Z</dcterms:created>
  <dc:creator>USUARIO</dc:creator>
</cp:coreProperties>
</file>