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096330DD" w:rsidR="00223416" w:rsidRDefault="00223416" w:rsidP="00B506A0">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 xml:space="preserve">LA RESOLUCIÓN DICTADA POR EL PLENO DEL INSTITUTO DE TRANSPARENCIA, ACCESO A LA INFORMACIÓN PÚBLICA Y PROTECCIÓN DE DATOS PERSONALES DEL ESTADO DE MÉXICO Y MUNICIPIOS, </w:t>
      </w:r>
      <w:r w:rsidR="009610D0" w:rsidRPr="009610D0">
        <w:rPr>
          <w:rFonts w:ascii="Palatino Linotype" w:hAnsi="Palatino Linotype"/>
          <w:b/>
          <w:sz w:val="24"/>
          <w:szCs w:val="24"/>
        </w:rPr>
        <w:t xml:space="preserve">EN LA DÉCIMA </w:t>
      </w:r>
      <w:r w:rsidR="006D3161">
        <w:rPr>
          <w:rFonts w:ascii="Palatino Linotype" w:hAnsi="Palatino Linotype"/>
          <w:b/>
          <w:sz w:val="24"/>
          <w:szCs w:val="24"/>
        </w:rPr>
        <w:t>OCTAVA</w:t>
      </w:r>
      <w:r w:rsidR="009610D0" w:rsidRPr="009610D0">
        <w:rPr>
          <w:rFonts w:ascii="Palatino Linotype" w:hAnsi="Palatino Linotype"/>
          <w:b/>
          <w:sz w:val="24"/>
          <w:szCs w:val="24"/>
        </w:rPr>
        <w:t xml:space="preserve"> SESIÓN ORDINARIA DEL PLENO DE FECHA </w:t>
      </w:r>
      <w:r w:rsidR="006D3161">
        <w:rPr>
          <w:rFonts w:ascii="Palatino Linotype" w:hAnsi="Palatino Linotype"/>
          <w:b/>
          <w:sz w:val="24"/>
          <w:szCs w:val="24"/>
        </w:rPr>
        <w:t>DIECISIETE DE MAYO</w:t>
      </w:r>
      <w:r w:rsidR="009610D0" w:rsidRPr="009610D0">
        <w:rPr>
          <w:rFonts w:ascii="Palatino Linotype" w:hAnsi="Palatino Linotype"/>
          <w:b/>
          <w:sz w:val="24"/>
          <w:szCs w:val="24"/>
        </w:rPr>
        <w:t xml:space="preserve"> DE DOS MIL VEINTITRÉS</w:t>
      </w:r>
      <w:r w:rsidR="00E03C00" w:rsidRPr="00E03C00">
        <w:rPr>
          <w:rFonts w:ascii="Palatino Linotype" w:hAnsi="Palatino Linotype"/>
          <w:b/>
          <w:sz w:val="24"/>
          <w:szCs w:val="24"/>
        </w:rPr>
        <w:t>,</w:t>
      </w:r>
      <w:r w:rsidR="00FE5B05">
        <w:rPr>
          <w:rFonts w:ascii="Palatino Linotype" w:hAnsi="Palatino Linotype"/>
          <w:b/>
          <w:sz w:val="24"/>
          <w:szCs w:val="24"/>
        </w:rPr>
        <w:t xml:space="preserve"> EN EL RECURSO DE REVISIÓN </w:t>
      </w:r>
      <w:r w:rsidR="006D3161">
        <w:rPr>
          <w:rFonts w:ascii="Palatino Linotype" w:hAnsi="Palatino Linotype"/>
          <w:b/>
          <w:sz w:val="24"/>
          <w:szCs w:val="24"/>
        </w:rPr>
        <w:t>1</w:t>
      </w:r>
      <w:r w:rsidR="00D53D66">
        <w:rPr>
          <w:rFonts w:ascii="Palatino Linotype" w:hAnsi="Palatino Linotype"/>
          <w:b/>
          <w:sz w:val="24"/>
          <w:szCs w:val="24"/>
        </w:rPr>
        <w:t>6962</w:t>
      </w:r>
      <w:r w:rsidR="00FE5B05">
        <w:rPr>
          <w:rFonts w:ascii="Palatino Linotype" w:hAnsi="Palatino Linotype"/>
          <w:b/>
          <w:sz w:val="24"/>
          <w:szCs w:val="24"/>
        </w:rPr>
        <w:t>/INFOEM/IP/RR/202</w:t>
      </w:r>
      <w:r w:rsidR="009610D0">
        <w:rPr>
          <w:rFonts w:ascii="Palatino Linotype" w:hAnsi="Palatino Linotype"/>
          <w:b/>
          <w:sz w:val="24"/>
          <w:szCs w:val="24"/>
        </w:rPr>
        <w:t>2</w:t>
      </w:r>
      <w:r w:rsidR="00E03C00" w:rsidRPr="00E03C00">
        <w:rPr>
          <w:rFonts w:ascii="Palatino Linotype" w:hAnsi="Palatino Linotype"/>
          <w:b/>
          <w:sz w:val="24"/>
          <w:szCs w:val="24"/>
        </w:rPr>
        <w:t>.</w:t>
      </w:r>
    </w:p>
    <w:p w14:paraId="151CFB1D" w14:textId="77777777" w:rsidR="005534B4" w:rsidRDefault="005534B4" w:rsidP="00B506A0">
      <w:pPr>
        <w:spacing w:after="0" w:line="360" w:lineRule="auto"/>
        <w:jc w:val="both"/>
        <w:rPr>
          <w:rFonts w:ascii="Palatino Linotype" w:hAnsi="Palatino Linotype"/>
          <w:b/>
          <w:sz w:val="24"/>
          <w:szCs w:val="24"/>
        </w:rPr>
      </w:pPr>
    </w:p>
    <w:p w14:paraId="0AE005D6" w14:textId="77777777" w:rsidR="00B506A0" w:rsidRDefault="00B506A0" w:rsidP="00B506A0">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 el suscrito, encuentra fundamento en lo dispuesto por el artículo 14, fracción XI, del Reglamento Interior del Instituto de Transparencia, Acceso 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4F4C9757" w14:textId="77777777" w:rsidR="00B506A0" w:rsidRDefault="00B506A0" w:rsidP="00B506A0">
      <w:pPr>
        <w:spacing w:after="0" w:line="360" w:lineRule="auto"/>
        <w:jc w:val="both"/>
        <w:rPr>
          <w:rFonts w:ascii="Palatino Linotype" w:hAnsi="Palatino Linotype"/>
          <w:sz w:val="24"/>
          <w:szCs w:val="24"/>
          <w:lang w:val="es-ES"/>
        </w:rPr>
      </w:pPr>
    </w:p>
    <w:p w14:paraId="4856D213" w14:textId="77777777" w:rsidR="00B506A0" w:rsidRDefault="00B506A0" w:rsidP="00B506A0">
      <w:pPr>
        <w:spacing w:after="0" w:line="360" w:lineRule="auto"/>
        <w:contextualSpacing/>
        <w:jc w:val="both"/>
        <w:rPr>
          <w:rFonts w:ascii="Palatino Linotype" w:hAnsi="Palatino Linotype"/>
          <w:sz w:val="24"/>
          <w:szCs w:val="24"/>
          <w:lang w:val="es-ES"/>
        </w:rPr>
      </w:pPr>
      <w:r w:rsidRPr="0014604A">
        <w:rPr>
          <w:rFonts w:ascii="Palatino Linotype" w:hAnsi="Palatino Linotype"/>
          <w:sz w:val="24"/>
          <w:szCs w:val="24"/>
        </w:rPr>
        <w:t xml:space="preserve">Derivado del engrose aprobado por mayoría de votos de los integrantes del pleno de este Instituto de Transparencia, Acceso a la Información Pública y Protección de Datos Personales del Estado de México y Municipios, en la sesión ordinaria anteriormente referida y sobre el proyecto de resolución del recurso de revisión citado al rubro, es necesario precisar que si bien se comparte el sentido general de la resolución, se difiere en que se </w:t>
      </w:r>
      <w:r>
        <w:rPr>
          <w:rFonts w:ascii="Palatino Linotype" w:hAnsi="Palatino Linotype"/>
          <w:sz w:val="24"/>
          <w:szCs w:val="24"/>
        </w:rPr>
        <w:t xml:space="preserve">no </w:t>
      </w:r>
      <w:r w:rsidRPr="0014604A">
        <w:rPr>
          <w:rFonts w:ascii="Palatino Linotype" w:hAnsi="Palatino Linotype"/>
          <w:sz w:val="24"/>
          <w:szCs w:val="24"/>
        </w:rPr>
        <w:t xml:space="preserve">haya ordenado </w:t>
      </w:r>
      <w:r>
        <w:rPr>
          <w:rFonts w:ascii="Palatino Linotype" w:hAnsi="Palatino Linotype"/>
          <w:sz w:val="24"/>
          <w:szCs w:val="24"/>
        </w:rPr>
        <w:t xml:space="preserve">clasificar como reservado </w:t>
      </w:r>
      <w:r w:rsidRPr="00B34F8E">
        <w:rPr>
          <w:rFonts w:ascii="Palatino Linotype" w:hAnsi="Palatino Linotype"/>
          <w:sz w:val="24"/>
          <w:szCs w:val="24"/>
          <w:lang w:val="es-ES"/>
        </w:rPr>
        <w:t>el cargo de elementos de seguridad</w:t>
      </w:r>
      <w:r>
        <w:rPr>
          <w:rFonts w:ascii="Palatino Linotype" w:hAnsi="Palatino Linotype"/>
          <w:sz w:val="24"/>
          <w:szCs w:val="24"/>
          <w:lang w:val="es-ES"/>
        </w:rPr>
        <w:t xml:space="preserve"> pública</w:t>
      </w:r>
      <w:r w:rsidRPr="00B34F8E">
        <w:rPr>
          <w:rFonts w:ascii="Palatino Linotype" w:hAnsi="Palatino Linotype"/>
          <w:sz w:val="24"/>
          <w:szCs w:val="24"/>
          <w:lang w:val="es-ES"/>
        </w:rPr>
        <w:t>,</w:t>
      </w:r>
      <w:r w:rsidRPr="00E94A9D">
        <w:rPr>
          <w:rFonts w:ascii="Palatino Linotype" w:hAnsi="Palatino Linotype"/>
          <w:color w:val="FF0000"/>
          <w:sz w:val="24"/>
          <w:szCs w:val="24"/>
          <w:lang w:val="es-ES"/>
        </w:rPr>
        <w:t xml:space="preserve"> </w:t>
      </w:r>
      <w:r w:rsidRPr="0014604A">
        <w:rPr>
          <w:rFonts w:ascii="Palatino Linotype" w:hAnsi="Palatino Linotype"/>
          <w:sz w:val="24"/>
          <w:szCs w:val="24"/>
          <w:lang w:val="es-ES"/>
        </w:rPr>
        <w:t xml:space="preserve">por las siguientes </w:t>
      </w:r>
      <w:r>
        <w:rPr>
          <w:rFonts w:ascii="Palatino Linotype" w:hAnsi="Palatino Linotype"/>
          <w:sz w:val="24"/>
          <w:szCs w:val="24"/>
          <w:lang w:val="es-ES"/>
        </w:rPr>
        <w:t>consideraciones:</w:t>
      </w:r>
    </w:p>
    <w:p w14:paraId="45C60B34" w14:textId="77777777" w:rsidR="00B506A0" w:rsidRPr="004054DB" w:rsidRDefault="00B506A0" w:rsidP="00B506A0">
      <w:pPr>
        <w:spacing w:after="0" w:line="360" w:lineRule="auto"/>
        <w:contextualSpacing/>
        <w:jc w:val="both"/>
        <w:rPr>
          <w:rFonts w:ascii="Palatino Linotype" w:hAnsi="Palatino Linotype"/>
          <w:sz w:val="24"/>
          <w:szCs w:val="24"/>
          <w:lang w:val="es-ES"/>
        </w:rPr>
      </w:pPr>
    </w:p>
    <w:p w14:paraId="59A89DBC"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lastRenderedPageBreak/>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trascendencia de los derechos fundamentales como uno de los ejes rectores de la vida en sociedad.  </w:t>
      </w:r>
    </w:p>
    <w:p w14:paraId="1FBC56F6" w14:textId="77777777" w:rsidR="00B506A0" w:rsidRPr="00DB1E20" w:rsidRDefault="00B506A0" w:rsidP="00B506A0">
      <w:pPr>
        <w:spacing w:after="0" w:line="360" w:lineRule="auto"/>
        <w:jc w:val="both"/>
        <w:rPr>
          <w:rFonts w:ascii="Palatino Linotype" w:hAnsi="Palatino Linotype"/>
          <w:sz w:val="24"/>
          <w:szCs w:val="24"/>
        </w:rPr>
      </w:pPr>
    </w:p>
    <w:p w14:paraId="34B818F4"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 </w:t>
      </w:r>
    </w:p>
    <w:p w14:paraId="1760CE8C" w14:textId="77777777" w:rsidR="00B506A0" w:rsidRPr="00DB1E20" w:rsidRDefault="00B506A0" w:rsidP="00B506A0">
      <w:pPr>
        <w:spacing w:after="0" w:line="360" w:lineRule="auto"/>
        <w:jc w:val="both"/>
        <w:rPr>
          <w:rFonts w:ascii="Palatino Linotype" w:hAnsi="Palatino Linotype"/>
          <w:sz w:val="24"/>
          <w:szCs w:val="24"/>
        </w:rPr>
      </w:pPr>
    </w:p>
    <w:p w14:paraId="15A21273"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 </w:t>
      </w:r>
    </w:p>
    <w:p w14:paraId="77E086A8" w14:textId="77777777" w:rsidR="00B506A0" w:rsidRPr="00DB1E20" w:rsidRDefault="00B506A0" w:rsidP="00B506A0">
      <w:pPr>
        <w:spacing w:after="0" w:line="360" w:lineRule="auto"/>
        <w:jc w:val="both"/>
        <w:rPr>
          <w:rFonts w:ascii="Palatino Linotype" w:hAnsi="Palatino Linotype"/>
          <w:sz w:val="24"/>
          <w:szCs w:val="24"/>
        </w:rPr>
      </w:pPr>
    </w:p>
    <w:p w14:paraId="05AA7609" w14:textId="77777777" w:rsidR="00B506A0" w:rsidRDefault="00B506A0" w:rsidP="00B506A0">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 xml:space="preserve">es el derecho de toda persona solicitar gratuitamente la información generada, administrada o poseída por las autoridades públicas, quienes tienen la obligación de entregarla sin que la persona necesite acreditar </w:t>
      </w:r>
      <w:r w:rsidRPr="00DB1E20">
        <w:rPr>
          <w:rFonts w:ascii="Palatino Linotype" w:hAnsi="Palatino Linotype"/>
          <w:sz w:val="24"/>
          <w:szCs w:val="24"/>
        </w:rPr>
        <w:lastRenderedPageBreak/>
        <w:t xml:space="preserve">interés alguno ni justificar su uso, observando de manera estricta las restricciones previstas en la normatividad aplicable. </w:t>
      </w:r>
    </w:p>
    <w:p w14:paraId="7B9AC4E7" w14:textId="77777777" w:rsidR="00B506A0" w:rsidRPr="00DB1E20" w:rsidRDefault="00B506A0" w:rsidP="00B506A0">
      <w:pPr>
        <w:spacing w:after="0" w:line="360" w:lineRule="auto"/>
        <w:jc w:val="both"/>
        <w:rPr>
          <w:rFonts w:ascii="Palatino Linotype" w:hAnsi="Palatino Linotype"/>
          <w:sz w:val="24"/>
          <w:szCs w:val="24"/>
        </w:rPr>
      </w:pPr>
    </w:p>
    <w:p w14:paraId="777EE9D8"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nombre se destaca que por regla general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7B80C514" w14:textId="77777777" w:rsidR="00B506A0" w:rsidRDefault="00B506A0" w:rsidP="00B506A0">
      <w:pPr>
        <w:autoSpaceDE w:val="0"/>
        <w:autoSpaceDN w:val="0"/>
        <w:adjustRightInd w:val="0"/>
        <w:spacing w:after="0" w:line="360" w:lineRule="auto"/>
        <w:ind w:right="72"/>
        <w:jc w:val="both"/>
        <w:rPr>
          <w:rFonts w:ascii="Palatino Linotype" w:hAnsi="Palatino Linotype"/>
          <w:bCs/>
          <w:sz w:val="24"/>
          <w:szCs w:val="24"/>
        </w:rPr>
      </w:pPr>
    </w:p>
    <w:p w14:paraId="5ADDF49C" w14:textId="67E093BF" w:rsidR="00B506A0" w:rsidRDefault="00B506A0" w:rsidP="00B506A0">
      <w:pPr>
        <w:pStyle w:val="Citas"/>
        <w:spacing w:before="0" w:after="0" w:line="240" w:lineRule="auto"/>
      </w:pPr>
      <w:r w:rsidRPr="00B506A0">
        <w:rPr>
          <w:b/>
        </w:rPr>
        <w:t>Artículo 2.13.-</w:t>
      </w:r>
      <w:r>
        <w:t xml:space="preserve"> El nombre designa e individualiza a una persona.</w:t>
      </w:r>
    </w:p>
    <w:p w14:paraId="0FFDE94E" w14:textId="77777777" w:rsidR="00B506A0" w:rsidRDefault="00B506A0" w:rsidP="00B506A0">
      <w:pPr>
        <w:pStyle w:val="Citas"/>
        <w:spacing w:before="0" w:after="0" w:line="240" w:lineRule="auto"/>
      </w:pPr>
      <w:r w:rsidRPr="00B506A0">
        <w:rPr>
          <w:b/>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AEC06A4" w14:textId="77777777" w:rsidR="00B506A0" w:rsidRDefault="00B506A0" w:rsidP="00B506A0">
      <w:pPr>
        <w:pStyle w:val="Citas"/>
        <w:spacing w:before="0" w:after="0" w:line="240" w:lineRule="auto"/>
      </w:pPr>
      <w:r>
        <w:t xml:space="preserve">El orden de los apellidos acordado entre padre y madre se considerará preferentemente para los demás hijos e hijas del mismo vínculo. </w:t>
      </w:r>
    </w:p>
    <w:p w14:paraId="6BC788FC" w14:textId="24BF7CB3" w:rsidR="00B506A0" w:rsidRPr="00A3098D" w:rsidRDefault="00B506A0" w:rsidP="00B506A0">
      <w:pPr>
        <w:pStyle w:val="Citas"/>
        <w:spacing w:before="0" w:after="0" w:line="240" w:lineRule="auto"/>
        <w:rPr>
          <w:b/>
          <w:bCs/>
          <w:sz w:val="24"/>
          <w:szCs w:val="24"/>
        </w:rPr>
      </w:pPr>
      <w:r>
        <w:t>Cuando solo lo reconozca uno de ellos se formará con los apellidos de este, en el mismo orden, con las salvedades que establece el Libro Tercero de este Código.</w:t>
      </w:r>
    </w:p>
    <w:p w14:paraId="37D154B0" w14:textId="77777777" w:rsidR="00B506A0" w:rsidRDefault="00B506A0" w:rsidP="00B506A0">
      <w:pPr>
        <w:pStyle w:val="Sinespaciado"/>
        <w:spacing w:line="360" w:lineRule="auto"/>
        <w:jc w:val="both"/>
        <w:rPr>
          <w:rFonts w:ascii="Palatino Linotype" w:hAnsi="Palatino Linotype"/>
          <w:bCs/>
        </w:rPr>
      </w:pPr>
    </w:p>
    <w:p w14:paraId="60DF095B" w14:textId="5562512F" w:rsidR="00B506A0" w:rsidRDefault="00B506A0" w:rsidP="00B506A0">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6159784" w14:textId="77777777" w:rsidR="00B506A0" w:rsidRPr="00DB1E20" w:rsidRDefault="00B506A0" w:rsidP="00B506A0">
      <w:pPr>
        <w:pStyle w:val="Sinespaciado"/>
        <w:spacing w:line="360" w:lineRule="auto"/>
        <w:jc w:val="both"/>
        <w:rPr>
          <w:rFonts w:ascii="Palatino Linotype" w:hAnsi="Palatino Linotype"/>
          <w:bCs/>
        </w:rPr>
      </w:pPr>
    </w:p>
    <w:p w14:paraId="6776D1C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45ACACF" w14:textId="77777777" w:rsidR="00B506A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lastRenderedPageBreak/>
        <w:t xml:space="preserve">Practiquen actos de autoridad </w:t>
      </w:r>
    </w:p>
    <w:p w14:paraId="3A234948"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76BF2013" w14:textId="77777777" w:rsidR="00B506A0" w:rsidRPr="00DB1E20" w:rsidRDefault="00B506A0" w:rsidP="00B506A0">
      <w:pPr>
        <w:pStyle w:val="Sinespaciado"/>
        <w:numPr>
          <w:ilvl w:val="0"/>
          <w:numId w:val="14"/>
        </w:numPr>
        <w:spacing w:line="360" w:lineRule="auto"/>
        <w:ind w:left="720" w:hanging="360"/>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1D3E7FB3" w14:textId="77777777" w:rsidR="00B506A0" w:rsidRPr="00DB1E20" w:rsidRDefault="00B506A0" w:rsidP="00B506A0">
      <w:pPr>
        <w:spacing w:after="0" w:line="360" w:lineRule="auto"/>
        <w:contextualSpacing/>
        <w:jc w:val="both"/>
        <w:rPr>
          <w:rFonts w:ascii="Palatino Linotype" w:hAnsi="Palatino Linotype"/>
          <w:sz w:val="24"/>
          <w:szCs w:val="24"/>
          <w:lang w:val="es-ES"/>
        </w:rPr>
      </w:pPr>
    </w:p>
    <w:p w14:paraId="01B5C72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efecto, tratándose de servidores públicos el nombre de las personas físicas recibe un tratamiento menos riguroso, </w:t>
      </w:r>
      <w:proofErr w:type="gramStart"/>
      <w:r>
        <w:rPr>
          <w:rFonts w:ascii="Palatino Linotype" w:hAnsi="Palatino Linotype"/>
          <w:sz w:val="24"/>
          <w:szCs w:val="24"/>
          <w:lang w:val="es-ES"/>
        </w:rPr>
        <w:t>pues</w:t>
      </w:r>
      <w:proofErr w:type="gramEnd"/>
      <w:r>
        <w:rPr>
          <w:rFonts w:ascii="Palatino Linotype" w:hAnsi="Palatino Linotype"/>
          <w:sz w:val="24"/>
          <w:szCs w:val="24"/>
          <w:lang w:val="es-ES"/>
        </w:rPr>
        <w:t xml:space="preserve"> aunque identifica y hace identificable a una persona física, existe un claro interés público por conocer quién es el responsable de ejercer actos de autoridad, recibir recursos públicos o incluso generar actos de molestia dirigidos a la ciudadanía. </w:t>
      </w:r>
    </w:p>
    <w:p w14:paraId="35A6D853" w14:textId="77777777" w:rsidR="00B506A0" w:rsidRDefault="00B506A0" w:rsidP="00B506A0">
      <w:pPr>
        <w:spacing w:after="0" w:line="360" w:lineRule="auto"/>
        <w:contextualSpacing/>
        <w:jc w:val="both"/>
        <w:rPr>
          <w:rFonts w:ascii="Palatino Linotype" w:hAnsi="Palatino Linotype"/>
          <w:sz w:val="24"/>
          <w:szCs w:val="24"/>
          <w:lang w:val="es-ES"/>
        </w:rPr>
      </w:pPr>
    </w:p>
    <w:p w14:paraId="5CC5ACDD"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Ciertamente, tan claro e indiscutible es el interés público de conocer el nombre de los servidores públicos federales, estatales o municipales, que la corriente legal, doctrinal y jurisprudencial imperante en nuestro país ha catalogado dicha información como una obligación de transparencia común, es decir, información que se pondrá oficiosamente a disposición de los particulares y que se deberá de mantener actualizada periódicamente en medios electrónicos. </w:t>
      </w:r>
    </w:p>
    <w:p w14:paraId="26857A6C" w14:textId="77777777" w:rsidR="00B506A0" w:rsidRDefault="00B506A0" w:rsidP="00B506A0">
      <w:pPr>
        <w:spacing w:after="0" w:line="360" w:lineRule="auto"/>
        <w:contextualSpacing/>
        <w:jc w:val="both"/>
        <w:rPr>
          <w:rFonts w:ascii="Palatino Linotype" w:hAnsi="Palatino Linotype"/>
          <w:sz w:val="24"/>
          <w:szCs w:val="24"/>
          <w:lang w:val="es-ES"/>
        </w:rPr>
      </w:pPr>
    </w:p>
    <w:p w14:paraId="69B6366E"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nuestro particular interés traer a colación el numeral 92, fracción VII de la Ley de Transparencia y Acceso a la Información Pública del Estado de México y Municipios, porción normativa que dispone a la literalidad lo siguiente: </w:t>
      </w:r>
    </w:p>
    <w:p w14:paraId="0E5318D1" w14:textId="30270585" w:rsidR="00B506A0" w:rsidRDefault="00B506A0" w:rsidP="00B506A0">
      <w:pPr>
        <w:pStyle w:val="Citas"/>
        <w:spacing w:before="0" w:after="0" w:line="240" w:lineRule="auto"/>
      </w:pPr>
      <w:r w:rsidRPr="00B506A0">
        <w:rPr>
          <w:b/>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4EBD142" w14:textId="77777777" w:rsidR="00B506A0" w:rsidRDefault="00B506A0" w:rsidP="00B506A0">
      <w:pPr>
        <w:pStyle w:val="Citas"/>
        <w:spacing w:before="0" w:after="0" w:line="240" w:lineRule="auto"/>
      </w:pPr>
      <w:r>
        <w:t>(…)</w:t>
      </w:r>
    </w:p>
    <w:p w14:paraId="05C7A7D3" w14:textId="6B283CD2" w:rsidR="00B506A0" w:rsidRDefault="00B506A0" w:rsidP="00B506A0">
      <w:pPr>
        <w:pStyle w:val="Citas"/>
        <w:spacing w:before="0" w:after="0" w:line="240" w:lineRule="auto"/>
      </w:pPr>
      <w: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526AED8E" w14:textId="77777777" w:rsidR="00B506A0" w:rsidRDefault="00B506A0" w:rsidP="00B506A0">
      <w:pPr>
        <w:pStyle w:val="Citas"/>
        <w:spacing w:before="0" w:after="0" w:line="240" w:lineRule="auto"/>
      </w:pPr>
    </w:p>
    <w:p w14:paraId="577DEAC5" w14:textId="3875B347" w:rsidR="00B506A0" w:rsidRDefault="00B506A0" w:rsidP="00B506A0">
      <w:pPr>
        <w:pStyle w:val="Citas"/>
        <w:spacing w:before="0" w:after="0" w:line="240" w:lineRule="auto"/>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9024DF7" w14:textId="611DB93C" w:rsidR="00B506A0" w:rsidRPr="00B506A0" w:rsidRDefault="00B506A0" w:rsidP="00B506A0">
      <w:pPr>
        <w:pStyle w:val="Citas"/>
        <w:spacing w:before="0" w:after="0" w:line="240" w:lineRule="auto"/>
        <w:rPr>
          <w:sz w:val="24"/>
          <w:szCs w:val="24"/>
          <w:lang w:val="es-ES"/>
        </w:rPr>
      </w:pPr>
      <w:r w:rsidRPr="00B506A0">
        <w:t>(…)</w:t>
      </w:r>
    </w:p>
    <w:p w14:paraId="14A46C59" w14:textId="77777777" w:rsidR="00B506A0" w:rsidRDefault="00B506A0" w:rsidP="00B506A0">
      <w:pPr>
        <w:spacing w:after="0" w:line="360" w:lineRule="auto"/>
        <w:contextualSpacing/>
        <w:jc w:val="both"/>
        <w:rPr>
          <w:rFonts w:ascii="Palatino Linotype" w:hAnsi="Palatino Linotype"/>
          <w:sz w:val="24"/>
          <w:szCs w:val="24"/>
          <w:lang w:val="es-ES"/>
        </w:rPr>
      </w:pPr>
    </w:p>
    <w:p w14:paraId="02DD5193" w14:textId="611E10DE"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anterior, es que se llega al punto toral de la discusión, ya que de una interpretación sistemática y armónica del contenido de los soportes documentales requeridos mediante la solicitud de </w:t>
      </w:r>
      <w:r w:rsidRPr="00B506A0">
        <w:rPr>
          <w:rFonts w:ascii="Palatino Linotype" w:hAnsi="Palatino Linotype"/>
          <w:sz w:val="24"/>
          <w:szCs w:val="24"/>
          <w:lang w:val="es-ES"/>
        </w:rPr>
        <w:t>información</w:t>
      </w:r>
      <w:r w:rsidR="0083315C" w:rsidRPr="0083315C">
        <w:rPr>
          <w:rFonts w:ascii="Palatino Linotype" w:hAnsi="Palatino Linotype"/>
          <w:b/>
          <w:sz w:val="24"/>
          <w:szCs w:val="24"/>
          <w:lang w:val="es-ES"/>
        </w:rPr>
        <w:t xml:space="preserve"> </w:t>
      </w:r>
      <w:r w:rsidR="00D53D66" w:rsidRPr="00D53D66">
        <w:rPr>
          <w:rFonts w:ascii="Palatino Linotype" w:hAnsi="Palatino Linotype"/>
          <w:b/>
          <w:sz w:val="24"/>
          <w:szCs w:val="24"/>
          <w:lang w:val="es-ES"/>
        </w:rPr>
        <w:t>02264/TOLUCA/IP/2022</w:t>
      </w:r>
      <w:r w:rsidR="0052783E" w:rsidRPr="0052783E">
        <w:rPr>
          <w:rFonts w:ascii="Palatino Linotype" w:hAnsi="Palatino Linotype"/>
          <w:bCs/>
          <w:sz w:val="24"/>
          <w:szCs w:val="24"/>
          <w:lang w:val="es-ES"/>
        </w:rPr>
        <w:t>,</w:t>
      </w:r>
      <w:r w:rsidRPr="0052783E">
        <w:rPr>
          <w:rFonts w:ascii="Palatino Linotype" w:hAnsi="Palatino Linotype"/>
          <w:bCs/>
          <w:sz w:val="24"/>
          <w:szCs w:val="24"/>
          <w:lang w:val="es-ES"/>
        </w:rPr>
        <w:t xml:space="preserve"> </w:t>
      </w:r>
      <w:r w:rsidRPr="00123647">
        <w:rPr>
          <w:rFonts w:ascii="Palatino Linotype" w:hAnsi="Palatino Linotype"/>
          <w:bCs/>
          <w:sz w:val="24"/>
          <w:szCs w:val="24"/>
          <w:lang w:val="es-ES"/>
        </w:rPr>
        <w:t>es</w:t>
      </w:r>
      <w:r w:rsidRPr="00B506A0">
        <w:rPr>
          <w:rFonts w:ascii="Palatino Linotype" w:hAnsi="Palatino Linotype"/>
          <w:sz w:val="24"/>
          <w:szCs w:val="24"/>
          <w:lang w:val="es-ES"/>
        </w:rPr>
        <w:t xml:space="preserve"> </w:t>
      </w:r>
      <w:r>
        <w:rPr>
          <w:rFonts w:ascii="Palatino Linotype" w:hAnsi="Palatino Linotype"/>
          <w:sz w:val="24"/>
          <w:szCs w:val="24"/>
          <w:lang w:val="es-ES"/>
        </w:rPr>
        <w:t>posible advertir que reflejan el nombre y cargo de servidores públicos adscritos a unidades administrativas que realizan funciones de seguridad, los cuales se considera que deben clasificarse como reservados por las siguientes consideraciones.</w:t>
      </w:r>
    </w:p>
    <w:p w14:paraId="7F8F3390" w14:textId="77777777" w:rsidR="00B506A0" w:rsidRDefault="00B506A0" w:rsidP="00B506A0">
      <w:pPr>
        <w:spacing w:after="0" w:line="360" w:lineRule="auto"/>
        <w:contextualSpacing/>
        <w:jc w:val="both"/>
        <w:rPr>
          <w:rFonts w:ascii="Palatino Linotype" w:hAnsi="Palatino Linotype"/>
          <w:sz w:val="24"/>
          <w:szCs w:val="24"/>
          <w:lang w:val="es-ES"/>
        </w:rPr>
      </w:pPr>
    </w:p>
    <w:p w14:paraId="33BA203D" w14:textId="77777777" w:rsidR="00B506A0" w:rsidRDefault="00B506A0" w:rsidP="00B506A0">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sustentó en lo medular, que el nombre y cargo del personal operativo y administrativo adscritos a unidades administrativas relacionadas con funciones de seguridad, debe de ser clasificado como reservado, al tomar en consideración las </w:t>
      </w:r>
      <w:r w:rsidRPr="004D58D9">
        <w:rPr>
          <w:rFonts w:ascii="Palatino Linotype" w:hAnsi="Palatino Linotype"/>
          <w:sz w:val="24"/>
          <w:szCs w:val="24"/>
        </w:rPr>
        <w:lastRenderedPageBreak/>
        <w:t xml:space="preserve">funciones desempeñadas, así como el contexto generalizado de violencia que actualmente vivimos en nuestro país.  </w:t>
      </w:r>
    </w:p>
    <w:p w14:paraId="0673978F" w14:textId="77777777" w:rsidR="00B506A0" w:rsidRDefault="00B506A0" w:rsidP="00B506A0">
      <w:pPr>
        <w:spacing w:after="0" w:line="360" w:lineRule="auto"/>
        <w:contextualSpacing/>
        <w:jc w:val="both"/>
        <w:rPr>
          <w:rFonts w:ascii="Palatino Linotype" w:hAnsi="Palatino Linotype"/>
          <w:sz w:val="24"/>
          <w:szCs w:val="24"/>
        </w:rPr>
      </w:pPr>
    </w:p>
    <w:p w14:paraId="1B8A02CC"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w:t>
      </w:r>
      <w:proofErr w:type="gramStart"/>
      <w:r>
        <w:rPr>
          <w:rFonts w:ascii="Palatino Linotype" w:hAnsi="Palatino Linotype"/>
          <w:sz w:val="24"/>
          <w:szCs w:val="24"/>
          <w:lang w:val="es-ES"/>
        </w:rPr>
        <w:t>públicos,</w:t>
      </w:r>
      <w:proofErr w:type="gramEnd"/>
      <w:r>
        <w:rPr>
          <w:rFonts w:ascii="Palatino Linotype" w:hAnsi="Palatino Linotype"/>
          <w:sz w:val="24"/>
          <w:szCs w:val="24"/>
          <w:lang w:val="es-ES"/>
        </w:rPr>
        <w:t xml:space="preserve"> son agrupados en dos grandes categorías:</w:t>
      </w:r>
    </w:p>
    <w:p w14:paraId="189A0848" w14:textId="77777777" w:rsidR="00B506A0" w:rsidRDefault="00B506A0" w:rsidP="00B506A0">
      <w:pPr>
        <w:spacing w:after="0" w:line="360" w:lineRule="auto"/>
        <w:contextualSpacing/>
        <w:jc w:val="both"/>
        <w:rPr>
          <w:rFonts w:ascii="Palatino Linotype" w:hAnsi="Palatino Linotype"/>
          <w:sz w:val="24"/>
          <w:szCs w:val="24"/>
          <w:lang w:val="es-ES"/>
        </w:rPr>
      </w:pPr>
    </w:p>
    <w:p w14:paraId="683C6029" w14:textId="77777777" w:rsidR="00B506A0"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Pr>
          <w:rFonts w:ascii="Palatino Linotype" w:hAnsi="Palatino Linotype"/>
          <w:b/>
        </w:rPr>
        <w:t xml:space="preserve">–en sentido amplio-, </w:t>
      </w:r>
      <w:r>
        <w:rPr>
          <w:rFonts w:ascii="Palatino Linotype" w:hAnsi="Palatino Linotype"/>
        </w:rPr>
        <w:t xml:space="preserve">peritos, analistas, facilitadores.  </w:t>
      </w:r>
    </w:p>
    <w:p w14:paraId="6F41F2F6" w14:textId="77777777" w:rsidR="00B506A0" w:rsidRPr="00EA398E" w:rsidRDefault="00B506A0" w:rsidP="00B506A0">
      <w:pPr>
        <w:pStyle w:val="Prrafodelista"/>
        <w:numPr>
          <w:ilvl w:val="0"/>
          <w:numId w:val="15"/>
        </w:numPr>
        <w:spacing w:line="360" w:lineRule="auto"/>
        <w:ind w:left="720" w:hanging="360"/>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5012C10D" w14:textId="77777777" w:rsidR="00B506A0" w:rsidRDefault="00B506A0" w:rsidP="00B506A0">
      <w:pPr>
        <w:spacing w:after="0" w:line="360" w:lineRule="auto"/>
        <w:contextualSpacing/>
        <w:jc w:val="both"/>
        <w:rPr>
          <w:rFonts w:ascii="Palatino Linotype" w:hAnsi="Palatino Linotype"/>
          <w:sz w:val="24"/>
          <w:szCs w:val="24"/>
          <w:lang w:val="es-ES"/>
        </w:rPr>
      </w:pPr>
    </w:p>
    <w:p w14:paraId="7A84E8F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nuestro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precisamente anulando, impidiendo, obstaculizando la actuación de los servidores públicos que realizan funciones de carácter operativo. </w:t>
      </w:r>
      <w:r w:rsidRPr="0069076F">
        <w:rPr>
          <w:rFonts w:ascii="Palatino Linotype" w:hAnsi="Palatino Linotype"/>
          <w:sz w:val="24"/>
          <w:szCs w:val="24"/>
          <w:lang w:val="es-ES"/>
        </w:rPr>
        <w:t xml:space="preserve"> </w:t>
      </w:r>
    </w:p>
    <w:p w14:paraId="57EA0C05" w14:textId="77777777" w:rsidR="00B506A0" w:rsidRDefault="00B506A0" w:rsidP="00B506A0">
      <w:pPr>
        <w:spacing w:after="0" w:line="360" w:lineRule="auto"/>
        <w:contextualSpacing/>
        <w:jc w:val="both"/>
        <w:rPr>
          <w:rFonts w:ascii="Palatino Linotype" w:hAnsi="Palatino Linotype"/>
          <w:sz w:val="24"/>
          <w:szCs w:val="24"/>
          <w:lang w:val="es-ES"/>
        </w:rPr>
      </w:pPr>
    </w:p>
    <w:p w14:paraId="48DBEFF6" w14:textId="77777777" w:rsidR="00B506A0" w:rsidRDefault="00B506A0" w:rsidP="00B506A0">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revelar </w:t>
      </w:r>
      <w:r w:rsidRPr="0069076F">
        <w:rPr>
          <w:rFonts w:ascii="Palatino Linotype" w:hAnsi="Palatino Linotype"/>
          <w:color w:val="000000"/>
          <w:sz w:val="24"/>
          <w:szCs w:val="24"/>
        </w:rPr>
        <w:t>la información de personal policial plenamente identificado, atenta de forma directa contra sus funciones de independencia y autonomía, a su libertad de actuación libre de coacción o interferencia, incluso, los inhibe a actuar bajo el criterio de objetividad.</w:t>
      </w:r>
    </w:p>
    <w:p w14:paraId="38918988" w14:textId="77777777" w:rsidR="00B506A0" w:rsidRDefault="00B506A0" w:rsidP="00B506A0">
      <w:pPr>
        <w:spacing w:after="0" w:line="360" w:lineRule="auto"/>
        <w:contextualSpacing/>
        <w:jc w:val="both"/>
        <w:rPr>
          <w:rFonts w:ascii="Palatino Linotype" w:hAnsi="Palatino Linotype"/>
          <w:color w:val="000000"/>
          <w:sz w:val="24"/>
          <w:szCs w:val="24"/>
        </w:rPr>
      </w:pPr>
    </w:p>
    <w:p w14:paraId="42560617"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difundir la información requerida por el solicitante pudiera traducirse en hacerlo a miembros de la delincuencia organizada, quienes podrían atentar contra la vida, seguridad o salud, propias o de su familia, respecto del servidor público plenamente identificado. </w:t>
      </w:r>
    </w:p>
    <w:p w14:paraId="79347878" w14:textId="77777777" w:rsidR="00B506A0" w:rsidRDefault="00B506A0" w:rsidP="00B506A0">
      <w:pPr>
        <w:spacing w:after="0" w:line="360" w:lineRule="auto"/>
        <w:contextualSpacing/>
        <w:jc w:val="both"/>
        <w:rPr>
          <w:rFonts w:ascii="Palatino Linotype" w:hAnsi="Palatino Linotype"/>
          <w:sz w:val="24"/>
          <w:szCs w:val="24"/>
          <w:lang w:val="es-ES"/>
        </w:rPr>
      </w:pPr>
    </w:p>
    <w:p w14:paraId="6CFE84CF"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de nuestro Máximo Tribunal, consideraron que revelar  el nombre y cargo del personal administrativo pudiera afectar potencialmente su seguridad, integridad y vida, ya que en cierta medida colaboran con las funciones sustantivas de procuración de justicia e investigación, al tener  acceso a información sensible, por ello, no incluirlos dentro de un espectro de protección estricto pudiera incluirlos en un estado de discriminación, vulnerabilidad y riesgo frente a la delincuencia organizada, al tener conocimiento o acceso a información sustancial del trabajo de investigación, persecución y prevención de delitos. </w:t>
      </w:r>
    </w:p>
    <w:p w14:paraId="7B39E4B8" w14:textId="77777777" w:rsidR="00B506A0" w:rsidRDefault="00B506A0" w:rsidP="00B506A0">
      <w:pPr>
        <w:spacing w:after="0" w:line="360" w:lineRule="auto"/>
        <w:contextualSpacing/>
        <w:jc w:val="both"/>
        <w:rPr>
          <w:rFonts w:ascii="Palatino Linotype" w:hAnsi="Palatino Linotype"/>
          <w:sz w:val="24"/>
          <w:szCs w:val="24"/>
          <w:lang w:val="es-ES"/>
        </w:rPr>
      </w:pPr>
    </w:p>
    <w:p w14:paraId="770859DB"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166C1FDF" w14:textId="77777777" w:rsidR="00B506A0" w:rsidRDefault="00B506A0" w:rsidP="00B506A0">
      <w:pPr>
        <w:spacing w:after="0" w:line="360" w:lineRule="auto"/>
        <w:contextualSpacing/>
        <w:jc w:val="both"/>
        <w:rPr>
          <w:rFonts w:ascii="Palatino Linotype" w:hAnsi="Palatino Linotype"/>
          <w:sz w:val="24"/>
          <w:szCs w:val="24"/>
          <w:lang w:val="es-ES"/>
        </w:rPr>
      </w:pPr>
    </w:p>
    <w:p w14:paraId="4D0F647C" w14:textId="77777777" w:rsidR="00B506A0" w:rsidRPr="00C55A08"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El Máximo Tribunal de nuestro país destacó que </w:t>
      </w:r>
      <w:r w:rsidRPr="00C55A08">
        <w:rPr>
          <w:rFonts w:ascii="Palatino Linotype" w:hAnsi="Palatino Linotype"/>
          <w:sz w:val="24"/>
          <w:szCs w:val="24"/>
          <w:lang w:val="es-ES"/>
        </w:rPr>
        <w:t xml:space="preserve">en </w:t>
      </w:r>
      <w:r>
        <w:rPr>
          <w:rFonts w:ascii="Palatino Linotype" w:hAnsi="Palatino Linotype"/>
          <w:sz w:val="24"/>
          <w:szCs w:val="24"/>
          <w:lang w:val="es-ES"/>
        </w:rPr>
        <w:t xml:space="preserve">el </w:t>
      </w:r>
      <w:r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Pr="00C55A08">
        <w:rPr>
          <w:rFonts w:ascii="Palatino Linotype" w:hAnsi="Palatino Linotype"/>
          <w:sz w:val="24"/>
          <w:szCs w:val="24"/>
        </w:rPr>
        <w:t xml:space="preserve">asegurar que los funcionarios estatales cuenten con las </w:t>
      </w:r>
      <w:r w:rsidRPr="00C55A08">
        <w:rPr>
          <w:rFonts w:ascii="Palatino Linotype" w:hAnsi="Palatino Linotype"/>
          <w:sz w:val="24"/>
          <w:szCs w:val="24"/>
        </w:rPr>
        <w:lastRenderedPageBreak/>
        <w:t>debidas garantías de seguridad para llevar a cabo sus funciones en la investigación del delito.</w:t>
      </w:r>
    </w:p>
    <w:p w14:paraId="628EC4E8" w14:textId="77777777" w:rsidR="00B506A0" w:rsidRDefault="00B506A0" w:rsidP="00B506A0">
      <w:pPr>
        <w:spacing w:after="0" w:line="360" w:lineRule="auto"/>
        <w:contextualSpacing/>
        <w:jc w:val="both"/>
        <w:rPr>
          <w:rFonts w:ascii="Palatino Linotype" w:hAnsi="Palatino Linotype"/>
          <w:sz w:val="24"/>
          <w:szCs w:val="24"/>
          <w:lang w:val="es-ES"/>
        </w:rPr>
      </w:pPr>
    </w:p>
    <w:p w14:paraId="1A24ECA6" w14:textId="77777777" w:rsidR="00B506A0" w:rsidRDefault="00B506A0" w:rsidP="00B506A0">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15975328" w14:textId="77777777" w:rsidR="00B506A0" w:rsidRDefault="00B506A0" w:rsidP="00B506A0">
      <w:pPr>
        <w:spacing w:after="0" w:line="360" w:lineRule="auto"/>
        <w:contextualSpacing/>
        <w:jc w:val="both"/>
        <w:rPr>
          <w:rFonts w:ascii="Palatino Linotype" w:hAnsi="Palatino Linotype"/>
          <w:sz w:val="24"/>
          <w:szCs w:val="24"/>
          <w:lang w:val="es-ES"/>
        </w:rPr>
      </w:pPr>
    </w:p>
    <w:p w14:paraId="695DD782" w14:textId="77777777" w:rsidR="00B506A0" w:rsidRDefault="00B506A0" w:rsidP="00B506A0">
      <w:pPr>
        <w:spacing w:after="0" w:line="360" w:lineRule="auto"/>
        <w:contextualSpacing/>
        <w:jc w:val="both"/>
        <w:rPr>
          <w:rFonts w:ascii="Palatino Linotype" w:hAnsi="Palatino Linotype"/>
          <w:sz w:val="24"/>
          <w:szCs w:val="24"/>
        </w:rPr>
      </w:pPr>
      <w:r w:rsidRPr="004D58D9">
        <w:rPr>
          <w:rFonts w:ascii="Palatino Linotype" w:hAnsi="Palatino Linotype"/>
          <w:sz w:val="24"/>
          <w:szCs w:val="24"/>
        </w:rPr>
        <w:t>Entramado argumentativo con el cual se coincide plenamente</w:t>
      </w:r>
      <w:r>
        <w:rPr>
          <w:rFonts w:ascii="Palatino Linotype" w:hAnsi="Palatino Linotype"/>
          <w:sz w:val="24"/>
          <w:szCs w:val="24"/>
        </w:rPr>
        <w:t>, por lo que se estima procedente que</w:t>
      </w:r>
      <w:r>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Pr="000A07D4">
        <w:rPr>
          <w:rFonts w:ascii="Palatino Linotype" w:hAnsi="Palatino Linotype"/>
          <w:sz w:val="24"/>
          <w:szCs w:val="24"/>
        </w:rPr>
        <w:t>Sujetos</w:t>
      </w:r>
      <w:r w:rsidRPr="000A07D4">
        <w:rPr>
          <w:rFonts w:ascii="Palatino Linotype" w:hAnsi="Palatino Linotype"/>
          <w:b/>
          <w:sz w:val="24"/>
          <w:szCs w:val="24"/>
        </w:rPr>
        <w:t xml:space="preserve"> </w:t>
      </w:r>
      <w:r w:rsidRPr="00010C82">
        <w:rPr>
          <w:rFonts w:ascii="Palatino Linotype" w:hAnsi="Palatino Linotype"/>
          <w:bCs/>
          <w:sz w:val="24"/>
          <w:szCs w:val="24"/>
        </w:rPr>
        <w:t>Obligados</w:t>
      </w:r>
      <w:r w:rsidRPr="000A07D4">
        <w:rPr>
          <w:rFonts w:ascii="Palatino Linotype" w:hAnsi="Palatino Linotype"/>
          <w:b/>
          <w:sz w:val="24"/>
          <w:szCs w:val="24"/>
        </w:rPr>
        <w:t xml:space="preserve"> </w:t>
      </w:r>
      <w:r>
        <w:rPr>
          <w:rFonts w:ascii="Palatino Linotype" w:hAnsi="Palatino Linotype"/>
          <w:sz w:val="24"/>
          <w:szCs w:val="24"/>
        </w:rPr>
        <w:t xml:space="preserve">como información reservada, </w:t>
      </w:r>
      <w:r w:rsidRPr="000A07D4">
        <w:rPr>
          <w:rFonts w:ascii="Palatino Linotype" w:hAnsi="Palatino Linotype"/>
          <w:sz w:val="24"/>
          <w:szCs w:val="24"/>
        </w:rPr>
        <w:t xml:space="preserve">de acuerdo con las bases y los principios inmersos en la normatividad aplicable. </w:t>
      </w:r>
    </w:p>
    <w:p w14:paraId="502175FC" w14:textId="77777777" w:rsidR="00B506A0" w:rsidRDefault="00B506A0" w:rsidP="00B506A0">
      <w:pPr>
        <w:spacing w:after="0" w:line="360" w:lineRule="auto"/>
        <w:jc w:val="both"/>
        <w:rPr>
          <w:rFonts w:ascii="Palatino Linotype" w:hAnsi="Palatino Linotype"/>
          <w:sz w:val="24"/>
          <w:szCs w:val="24"/>
        </w:rPr>
      </w:pPr>
    </w:p>
    <w:p w14:paraId="2EB823A2" w14:textId="77777777" w:rsidR="00B506A0" w:rsidRDefault="00B506A0" w:rsidP="00B506A0">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0A07D4">
        <w:rPr>
          <w:rFonts w:ascii="Palatino Linotype" w:hAnsi="Palatino Linotype"/>
          <w:b/>
          <w:i/>
          <w:sz w:val="24"/>
          <w:szCs w:val="24"/>
        </w:rPr>
        <w:t xml:space="preserve">“prueba de daño”, </w:t>
      </w:r>
      <w:r w:rsidRPr="000A07D4">
        <w:rPr>
          <w:rFonts w:ascii="Palatino Linotype" w:hAnsi="Palatino Linotype"/>
          <w:sz w:val="24"/>
          <w:szCs w:val="24"/>
        </w:rPr>
        <w:t xml:space="preserve">que consiste en exponer los argumentos y razones, basados en elementos objetivos o verificables, a partir de los cuales se derive que la divulgación de información, en particular, puede afectar, poner en </w:t>
      </w:r>
      <w:r w:rsidRPr="000A07D4">
        <w:rPr>
          <w:rFonts w:ascii="Palatino Linotype" w:hAnsi="Palatino Linotype"/>
          <w:sz w:val="24"/>
          <w:szCs w:val="24"/>
        </w:rPr>
        <w:lastRenderedPageBreak/>
        <w:t>riesgo o dañar el interés protegido</w:t>
      </w:r>
      <w:r w:rsidRPr="000A07D4">
        <w:rPr>
          <w:sz w:val="24"/>
          <w:szCs w:val="24"/>
          <w:vertAlign w:val="superscript"/>
        </w:rPr>
        <w:footnoteReference w:id="1"/>
      </w:r>
      <w:r w:rsidRPr="000A07D4">
        <w:rPr>
          <w:rFonts w:ascii="Palatino Linotype" w:hAnsi="Palatino Linotype"/>
          <w:sz w:val="24"/>
          <w:szCs w:val="24"/>
        </w:rPr>
        <w:t>. Asimismo, ésta no debe basarse en meras 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693BC495" w14:textId="77777777" w:rsidR="00B506A0" w:rsidRPr="000A07D4" w:rsidRDefault="00B506A0" w:rsidP="00B506A0">
      <w:pPr>
        <w:autoSpaceDE w:val="0"/>
        <w:autoSpaceDN w:val="0"/>
        <w:adjustRightInd w:val="0"/>
        <w:spacing w:after="0" w:line="360" w:lineRule="auto"/>
        <w:jc w:val="both"/>
        <w:rPr>
          <w:rFonts w:ascii="Palatino Linotype" w:hAnsi="Palatino Linotype"/>
          <w:b/>
          <w:sz w:val="24"/>
          <w:szCs w:val="24"/>
        </w:rPr>
      </w:pPr>
    </w:p>
    <w:p w14:paraId="34F173F4"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0A07D4">
        <w:rPr>
          <w:rFonts w:ascii="Palatino Linotype" w:hAnsi="Palatino Linotype"/>
          <w:b/>
          <w:color w:val="000000" w:themeColor="text1"/>
          <w:sz w:val="24"/>
          <w:szCs w:val="24"/>
          <w:u w:val="single"/>
        </w:rPr>
        <w:t>sino de cada uno de los documentos que lo integran</w:t>
      </w:r>
      <w:r w:rsidRPr="000A07D4">
        <w:rPr>
          <w:rFonts w:ascii="Palatino Linotype" w:hAnsi="Palatino Linotype"/>
          <w:color w:val="000000" w:themeColor="text1"/>
          <w:sz w:val="24"/>
          <w:szCs w:val="24"/>
        </w:rPr>
        <w:t>.</w:t>
      </w:r>
    </w:p>
    <w:p w14:paraId="4C5813C1"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2DFA19BB" w14:textId="77777777" w:rsidR="00B506A0" w:rsidRPr="000A07D4"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Para aplicar la prueba de daño, se deberán de precisar las razones objetivas por las que la apertura genera una afectación, acreditando que:</w:t>
      </w:r>
    </w:p>
    <w:p w14:paraId="6EB9D659"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 </w:t>
      </w:r>
      <w:r w:rsidRPr="000A07D4">
        <w:rPr>
          <w:rFonts w:ascii="Palatino Linotype" w:hAnsi="Palatino Linotype" w:cs="Bookman Old Style"/>
          <w:color w:val="000000" w:themeColor="text1"/>
          <w:sz w:val="24"/>
          <w:szCs w:val="24"/>
          <w:lang w:val="es-ES_tradnl"/>
        </w:rPr>
        <w:t xml:space="preserve">La divulgación de la información representa un riesgo real, demostrable e identificable del perjuicio significativo al interés público o a la seguridad pública; </w:t>
      </w:r>
    </w:p>
    <w:p w14:paraId="6A61161B"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 </w:t>
      </w:r>
      <w:r w:rsidRPr="000A07D4">
        <w:rPr>
          <w:rFonts w:ascii="Palatino Linotype" w:hAnsi="Palatino Linotype" w:cs="Bookman Old Style"/>
          <w:color w:val="000000" w:themeColor="text1"/>
          <w:sz w:val="24"/>
          <w:szCs w:val="24"/>
          <w:lang w:val="es-ES_tradnl"/>
        </w:rPr>
        <w:t xml:space="preserve">El riesgo de perjuicio que supondría la divulgación supera el interés público general de que se difunda; y </w:t>
      </w:r>
    </w:p>
    <w:p w14:paraId="2999FABA" w14:textId="77777777" w:rsidR="00B506A0" w:rsidRPr="000A07D4" w:rsidRDefault="00B506A0" w:rsidP="00B506A0">
      <w:pPr>
        <w:widowControl w:val="0"/>
        <w:autoSpaceDE w:val="0"/>
        <w:autoSpaceDN w:val="0"/>
        <w:adjustRightInd w:val="0"/>
        <w:spacing w:after="0" w:line="360" w:lineRule="auto"/>
        <w:ind w:left="851" w:right="333"/>
        <w:jc w:val="both"/>
        <w:rPr>
          <w:rFonts w:ascii="Palatino Linotype" w:hAnsi="Palatino Linotype" w:cs="Times"/>
          <w:color w:val="000000" w:themeColor="text1"/>
          <w:sz w:val="24"/>
          <w:szCs w:val="24"/>
          <w:lang w:val="es-ES_tradnl"/>
        </w:rPr>
      </w:pPr>
      <w:r w:rsidRPr="000A07D4">
        <w:rPr>
          <w:rFonts w:ascii="Palatino Linotype" w:hAnsi="Palatino Linotype" w:cs="Bookman Old Style"/>
          <w:bCs/>
          <w:color w:val="000000" w:themeColor="text1"/>
          <w:sz w:val="24"/>
          <w:szCs w:val="24"/>
          <w:lang w:val="es-ES_tradnl"/>
        </w:rPr>
        <w:t xml:space="preserve">III. </w:t>
      </w:r>
      <w:r w:rsidRPr="000A07D4">
        <w:rPr>
          <w:rFonts w:ascii="Palatino Linotype" w:hAnsi="Palatino Linotype" w:cs="Bookman Old Style"/>
          <w:color w:val="000000" w:themeColor="text1"/>
          <w:sz w:val="24"/>
          <w:szCs w:val="24"/>
          <w:lang w:val="es-ES_tradnl"/>
        </w:rPr>
        <w:t xml:space="preserve">La limitación se adecua al principio de proporcionalidad y representa el </w:t>
      </w:r>
      <w:r w:rsidRPr="000A07D4">
        <w:rPr>
          <w:rFonts w:ascii="Palatino Linotype" w:hAnsi="Palatino Linotype" w:cs="Bookman Old Style"/>
          <w:color w:val="000000" w:themeColor="text1"/>
          <w:sz w:val="24"/>
          <w:szCs w:val="24"/>
          <w:lang w:val="es-ES_tradnl"/>
        </w:rPr>
        <w:lastRenderedPageBreak/>
        <w:t xml:space="preserve">medio menos restrictivo disponible para evitar el perjuicio. </w:t>
      </w:r>
    </w:p>
    <w:p w14:paraId="69FAAE99" w14:textId="77777777" w:rsidR="00B506A0" w:rsidRDefault="00B506A0" w:rsidP="00B506A0">
      <w:pPr>
        <w:spacing w:after="0" w:line="360" w:lineRule="auto"/>
        <w:jc w:val="both"/>
        <w:rPr>
          <w:rFonts w:ascii="Palatino Linotype" w:hAnsi="Palatino Linotype"/>
          <w:color w:val="000000" w:themeColor="text1"/>
          <w:sz w:val="24"/>
          <w:szCs w:val="24"/>
        </w:rPr>
      </w:pPr>
    </w:p>
    <w:p w14:paraId="13348126"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1091B77"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604B3E88"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Identificado ese riesgo, se debe demostrar que el mismo supera el interés público general porque se difunda dicha información. </w:t>
      </w:r>
    </w:p>
    <w:p w14:paraId="656F960B"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41AADC4B" w14:textId="77777777"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Y, por último,  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lastRenderedPageBreak/>
        <w:t>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4DC20D5" w14:textId="77777777" w:rsidR="00B506A0" w:rsidRPr="000A07D4" w:rsidRDefault="00B506A0" w:rsidP="00B506A0">
      <w:pPr>
        <w:spacing w:after="0" w:line="360" w:lineRule="auto"/>
        <w:jc w:val="both"/>
        <w:rPr>
          <w:rFonts w:ascii="Palatino Linotype" w:hAnsi="Palatino Linotype"/>
          <w:color w:val="000000" w:themeColor="text1"/>
          <w:sz w:val="24"/>
          <w:szCs w:val="24"/>
        </w:rPr>
      </w:pPr>
    </w:p>
    <w:p w14:paraId="52D210DF" w14:textId="570A6486" w:rsidR="00B506A0" w:rsidRDefault="00B506A0" w:rsidP="00B506A0">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44BF5480" w14:textId="77777777" w:rsidR="00914278" w:rsidRDefault="00914278" w:rsidP="00B506A0">
      <w:pPr>
        <w:spacing w:after="0" w:line="360" w:lineRule="auto"/>
        <w:jc w:val="both"/>
        <w:rPr>
          <w:rFonts w:ascii="Palatino Linotype" w:hAnsi="Palatino Linotype"/>
          <w:sz w:val="24"/>
          <w:szCs w:val="24"/>
          <w:lang w:val="es-ES"/>
        </w:rPr>
      </w:pPr>
    </w:p>
    <w:p w14:paraId="619106BE" w14:textId="5B5B4246" w:rsidR="006D0F2B" w:rsidRDefault="00B506A0" w:rsidP="00B506A0">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Pr="00F86EDD">
        <w:rPr>
          <w:i w:val="0"/>
          <w:sz w:val="24"/>
          <w:lang w:val="es-ES"/>
        </w:rPr>
        <w:t xml:space="preserve">a consideración de quien suscribe, </w:t>
      </w:r>
      <w:r>
        <w:rPr>
          <w:i w:val="0"/>
          <w:sz w:val="24"/>
          <w:lang w:val="es-ES"/>
        </w:rPr>
        <w:t xml:space="preserve">que en la </w:t>
      </w:r>
      <w:r w:rsidRPr="00F86EDD">
        <w:rPr>
          <w:i w:val="0"/>
          <w:sz w:val="24"/>
          <w:lang w:val="es-ES"/>
        </w:rPr>
        <w:t xml:space="preserve">resolución emitida </w:t>
      </w:r>
      <w:r>
        <w:rPr>
          <w:i w:val="0"/>
          <w:sz w:val="24"/>
          <w:lang w:val="es-ES"/>
        </w:rPr>
        <w:t>se debió haber considerado la clasificación como reservado del cargo de los servidores públicos adscritos a las unidades administrativas encargadas de la seguridad pública, ya que existen motivos suficientes para brindar un particular esquema de protección a dichos servidores públicos; lo anterior frente al contexto de violencia generalizada que se vive en nuestra entidad federativa y el resto del país, generando en consecuencia, una potencial afectación a las actividades reservadas, así como a la integridad de los multicitados servidores públicos.</w:t>
      </w:r>
      <w:r w:rsidR="006D0F2B">
        <w:rPr>
          <w:i w:val="0"/>
          <w:sz w:val="24"/>
          <w:lang w:val="es-ES"/>
        </w:rPr>
        <w:t xml:space="preserve"> </w:t>
      </w:r>
    </w:p>
    <w:p w14:paraId="6A8828ED" w14:textId="77777777" w:rsidR="00E46E74" w:rsidRDefault="00E46E74" w:rsidP="00B506A0">
      <w:pPr>
        <w:spacing w:after="0" w:line="360" w:lineRule="auto"/>
        <w:contextualSpacing/>
        <w:jc w:val="both"/>
        <w:rPr>
          <w:rFonts w:ascii="Palatino Linotype" w:hAnsi="Palatino Linotype"/>
          <w:sz w:val="16"/>
          <w:szCs w:val="14"/>
          <w:lang w:val="es-ES"/>
        </w:rPr>
      </w:pPr>
    </w:p>
    <w:p w14:paraId="0DD9CC92" w14:textId="77777777" w:rsidR="00233D10" w:rsidRDefault="00233D10" w:rsidP="00B506A0">
      <w:pPr>
        <w:spacing w:after="0" w:line="360" w:lineRule="auto"/>
        <w:contextualSpacing/>
        <w:jc w:val="both"/>
        <w:rPr>
          <w:rFonts w:ascii="Palatino Linotype" w:hAnsi="Palatino Linotype"/>
          <w:sz w:val="16"/>
          <w:szCs w:val="14"/>
          <w:lang w:val="es-ES"/>
        </w:rPr>
      </w:pPr>
    </w:p>
    <w:p w14:paraId="7789A8B8" w14:textId="77777777" w:rsidR="00233D10" w:rsidRDefault="00233D10" w:rsidP="00B506A0">
      <w:pPr>
        <w:spacing w:after="0" w:line="360" w:lineRule="auto"/>
        <w:contextualSpacing/>
        <w:jc w:val="both"/>
        <w:rPr>
          <w:rFonts w:ascii="Palatino Linotype" w:hAnsi="Palatino Linotype"/>
          <w:sz w:val="16"/>
          <w:szCs w:val="14"/>
          <w:lang w:val="es-ES"/>
        </w:rPr>
      </w:pPr>
    </w:p>
    <w:p w14:paraId="6BE65167" w14:textId="77777777" w:rsidR="004A6C90" w:rsidRPr="00914278" w:rsidRDefault="004A6C90" w:rsidP="00B506A0">
      <w:pPr>
        <w:spacing w:after="0" w:line="360" w:lineRule="auto"/>
        <w:contextualSpacing/>
        <w:jc w:val="both"/>
        <w:rPr>
          <w:rFonts w:ascii="Palatino Linotype" w:hAnsi="Palatino Linotype"/>
          <w:sz w:val="24"/>
          <w:szCs w:val="14"/>
          <w:lang w:val="es-ES"/>
        </w:rPr>
      </w:pPr>
    </w:p>
    <w:p w14:paraId="56176232" w14:textId="31219EC2" w:rsidR="006D0F2B" w:rsidRDefault="00E46E74" w:rsidP="00B506A0">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B506A0">
      <w:pPr>
        <w:spacing w:after="0" w:line="360" w:lineRule="auto"/>
        <w:contextualSpacing/>
        <w:jc w:val="both"/>
        <w:rPr>
          <w:rFonts w:ascii="Palatino Linotype" w:hAnsi="Palatino Linotype"/>
          <w:sz w:val="16"/>
          <w:szCs w:val="14"/>
          <w:lang w:val="es-ES"/>
        </w:rPr>
      </w:pPr>
    </w:p>
    <w:p w14:paraId="2B2124A5" w14:textId="77777777" w:rsidR="00233D10" w:rsidRDefault="00233D10" w:rsidP="00B506A0">
      <w:pPr>
        <w:spacing w:after="0" w:line="360" w:lineRule="auto"/>
        <w:contextualSpacing/>
        <w:jc w:val="both"/>
        <w:rPr>
          <w:rFonts w:ascii="Palatino Linotype" w:hAnsi="Palatino Linotype"/>
          <w:sz w:val="16"/>
          <w:szCs w:val="14"/>
          <w:lang w:val="es-ES"/>
        </w:rPr>
      </w:pPr>
    </w:p>
    <w:p w14:paraId="31879B32" w14:textId="77777777" w:rsidR="00233D10" w:rsidRDefault="00233D10" w:rsidP="00B506A0">
      <w:pPr>
        <w:spacing w:after="0" w:line="360" w:lineRule="auto"/>
        <w:contextualSpacing/>
        <w:jc w:val="both"/>
        <w:rPr>
          <w:rFonts w:ascii="Palatino Linotype" w:hAnsi="Palatino Linotype"/>
          <w:sz w:val="16"/>
          <w:szCs w:val="14"/>
          <w:lang w:val="es-ES"/>
        </w:rPr>
      </w:pPr>
    </w:p>
    <w:p w14:paraId="3A598B0E" w14:textId="77777777" w:rsidR="00233D10" w:rsidRDefault="00233D10" w:rsidP="00B506A0">
      <w:pPr>
        <w:spacing w:after="0" w:line="360" w:lineRule="auto"/>
        <w:contextualSpacing/>
        <w:jc w:val="both"/>
        <w:rPr>
          <w:rFonts w:ascii="Palatino Linotype" w:hAnsi="Palatino Linotype"/>
          <w:sz w:val="16"/>
          <w:szCs w:val="14"/>
          <w:lang w:val="es-ES"/>
        </w:rPr>
      </w:pPr>
    </w:p>
    <w:p w14:paraId="18387347" w14:textId="77777777" w:rsidR="00233D10" w:rsidRDefault="00233D10" w:rsidP="00B506A0">
      <w:pPr>
        <w:spacing w:after="0" w:line="360" w:lineRule="auto"/>
        <w:contextualSpacing/>
        <w:jc w:val="both"/>
        <w:rPr>
          <w:rFonts w:ascii="Palatino Linotype" w:hAnsi="Palatino Linotype"/>
          <w:sz w:val="16"/>
          <w:szCs w:val="14"/>
          <w:lang w:val="es-ES"/>
        </w:rPr>
      </w:pPr>
    </w:p>
    <w:p w14:paraId="48AB2071" w14:textId="77777777" w:rsidR="00233D10" w:rsidRDefault="00233D10" w:rsidP="00B506A0">
      <w:pPr>
        <w:spacing w:after="0" w:line="360" w:lineRule="auto"/>
        <w:contextualSpacing/>
        <w:jc w:val="both"/>
        <w:rPr>
          <w:rFonts w:ascii="Palatino Linotype" w:hAnsi="Palatino Linotype"/>
          <w:sz w:val="16"/>
          <w:szCs w:val="14"/>
          <w:lang w:val="es-ES"/>
        </w:rPr>
      </w:pPr>
    </w:p>
    <w:p w14:paraId="68086AFC" w14:textId="77777777" w:rsidR="00233D10" w:rsidRDefault="00233D10" w:rsidP="00B506A0">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AA17" w14:textId="77777777" w:rsidR="003B620D" w:rsidRDefault="003B620D" w:rsidP="004C1443">
      <w:pPr>
        <w:spacing w:after="0" w:line="240" w:lineRule="auto"/>
      </w:pPr>
      <w:r>
        <w:separator/>
      </w:r>
    </w:p>
  </w:endnote>
  <w:endnote w:type="continuationSeparator" w:id="0">
    <w:p w14:paraId="4E93F3DC" w14:textId="77777777" w:rsidR="003B620D" w:rsidRDefault="003B620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297540">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53B84" w14:textId="77777777" w:rsidR="003B620D" w:rsidRDefault="003B620D" w:rsidP="004C1443">
      <w:pPr>
        <w:spacing w:after="0" w:line="240" w:lineRule="auto"/>
      </w:pPr>
      <w:r>
        <w:separator/>
      </w:r>
    </w:p>
  </w:footnote>
  <w:footnote w:type="continuationSeparator" w:id="0">
    <w:p w14:paraId="4957F8C8" w14:textId="77777777" w:rsidR="003B620D" w:rsidRDefault="003B620D" w:rsidP="004C1443">
      <w:pPr>
        <w:spacing w:after="0" w:line="240" w:lineRule="auto"/>
      </w:pPr>
      <w:r>
        <w:continuationSeparator/>
      </w:r>
    </w:p>
  </w:footnote>
  <w:footnote w:id="1">
    <w:p w14:paraId="78AC2056" w14:textId="77777777" w:rsidR="00B506A0" w:rsidRDefault="00B506A0" w:rsidP="00B506A0">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E61798D" w14:textId="77777777" w:rsidR="00B506A0" w:rsidRDefault="00B506A0" w:rsidP="00B506A0">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7C810F3A" w14:textId="77777777" w:rsidR="00B506A0" w:rsidRPr="00D75A73" w:rsidRDefault="00B506A0" w:rsidP="00B506A0">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7E3231C2" w14:textId="77777777" w:rsidR="00B506A0" w:rsidRPr="00D75A73" w:rsidRDefault="00B506A0" w:rsidP="00B506A0">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6D3161">
          <w:rPr>
            <w:rFonts w:ascii="Arial" w:hAnsi="Arial" w:cs="Arial"/>
            <w:noProof/>
            <w:sz w:val="20"/>
            <w:szCs w:val="20"/>
          </w:rPr>
        </w:r>
        <w:r w:rsidR="006D3161">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1BAFC9AE"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B506A0">
      <w:rPr>
        <w:rFonts w:ascii="Palatino Linotype" w:hAnsi="Palatino Linotype" w:cs="Arial"/>
        <w:b/>
      </w:rPr>
      <w:t xml:space="preserve"> </w:t>
    </w:r>
    <w:r w:rsidR="006D3161">
      <w:rPr>
        <w:rFonts w:ascii="Palatino Linotype" w:hAnsi="Palatino Linotype" w:cs="Arial"/>
        <w:b/>
      </w:rPr>
      <w:t>1</w:t>
    </w:r>
    <w:r w:rsidR="00D53D66">
      <w:rPr>
        <w:rFonts w:ascii="Palatino Linotype" w:hAnsi="Palatino Linotype" w:cs="Arial"/>
        <w:b/>
      </w:rPr>
      <w:t>6962</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9610D0">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29958523">
    <w:abstractNumId w:val="10"/>
  </w:num>
  <w:num w:numId="2" w16cid:durableId="1982222442">
    <w:abstractNumId w:val="0"/>
  </w:num>
  <w:num w:numId="3" w16cid:durableId="53357236">
    <w:abstractNumId w:val="14"/>
  </w:num>
  <w:num w:numId="4" w16cid:durableId="1967344672">
    <w:abstractNumId w:val="12"/>
  </w:num>
  <w:num w:numId="5" w16cid:durableId="438647306">
    <w:abstractNumId w:val="13"/>
  </w:num>
  <w:num w:numId="6" w16cid:durableId="1161002788">
    <w:abstractNumId w:val="15"/>
  </w:num>
  <w:num w:numId="7" w16cid:durableId="155194206">
    <w:abstractNumId w:val="7"/>
  </w:num>
  <w:num w:numId="8" w16cid:durableId="1857771067">
    <w:abstractNumId w:val="2"/>
  </w:num>
  <w:num w:numId="9" w16cid:durableId="333915895">
    <w:abstractNumId w:val="8"/>
  </w:num>
  <w:num w:numId="10" w16cid:durableId="1341466098">
    <w:abstractNumId w:val="3"/>
  </w:num>
  <w:num w:numId="11" w16cid:durableId="1001857311">
    <w:abstractNumId w:val="17"/>
  </w:num>
  <w:num w:numId="12" w16cid:durableId="663552797">
    <w:abstractNumId w:val="9"/>
  </w:num>
  <w:num w:numId="13" w16cid:durableId="1091243842">
    <w:abstractNumId w:val="6"/>
  </w:num>
  <w:num w:numId="14" w16cid:durableId="2056738571">
    <w:abstractNumId w:val="1"/>
  </w:num>
  <w:num w:numId="15" w16cid:durableId="58289797">
    <w:abstractNumId w:val="4"/>
  </w:num>
  <w:num w:numId="16" w16cid:durableId="1452934999">
    <w:abstractNumId w:val="5"/>
  </w:num>
  <w:num w:numId="17" w16cid:durableId="1557618997">
    <w:abstractNumId w:val="16"/>
  </w:num>
  <w:num w:numId="18" w16cid:durableId="2993124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3BFE"/>
    <w:rsid w:val="000F49C4"/>
    <w:rsid w:val="00105765"/>
    <w:rsid w:val="00123647"/>
    <w:rsid w:val="00137BCF"/>
    <w:rsid w:val="00145FED"/>
    <w:rsid w:val="001823C7"/>
    <w:rsid w:val="00186357"/>
    <w:rsid w:val="0019696B"/>
    <w:rsid w:val="001B1AC9"/>
    <w:rsid w:val="001B3D19"/>
    <w:rsid w:val="001F0A56"/>
    <w:rsid w:val="0020409E"/>
    <w:rsid w:val="00223416"/>
    <w:rsid w:val="0023295C"/>
    <w:rsid w:val="00233D10"/>
    <w:rsid w:val="002351CE"/>
    <w:rsid w:val="002374B9"/>
    <w:rsid w:val="00240D8D"/>
    <w:rsid w:val="00252976"/>
    <w:rsid w:val="00256512"/>
    <w:rsid w:val="00256D9D"/>
    <w:rsid w:val="002660DA"/>
    <w:rsid w:val="00297540"/>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B620D"/>
    <w:rsid w:val="003D76A7"/>
    <w:rsid w:val="003F52D7"/>
    <w:rsid w:val="004003AB"/>
    <w:rsid w:val="00403FFD"/>
    <w:rsid w:val="00425EF0"/>
    <w:rsid w:val="004269DC"/>
    <w:rsid w:val="00437D21"/>
    <w:rsid w:val="004402F7"/>
    <w:rsid w:val="004606DE"/>
    <w:rsid w:val="00463A29"/>
    <w:rsid w:val="00491A04"/>
    <w:rsid w:val="00494F48"/>
    <w:rsid w:val="004A6C90"/>
    <w:rsid w:val="004C1443"/>
    <w:rsid w:val="004C5122"/>
    <w:rsid w:val="004D3A6E"/>
    <w:rsid w:val="004D58D9"/>
    <w:rsid w:val="004D5C09"/>
    <w:rsid w:val="004F50E3"/>
    <w:rsid w:val="004F5AE8"/>
    <w:rsid w:val="00515719"/>
    <w:rsid w:val="005251CB"/>
    <w:rsid w:val="00526C8E"/>
    <w:rsid w:val="0052783E"/>
    <w:rsid w:val="00534438"/>
    <w:rsid w:val="00541B3C"/>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161"/>
    <w:rsid w:val="006D3740"/>
    <w:rsid w:val="006D627E"/>
    <w:rsid w:val="006E72CB"/>
    <w:rsid w:val="006F5439"/>
    <w:rsid w:val="006F544E"/>
    <w:rsid w:val="006F7F79"/>
    <w:rsid w:val="00707558"/>
    <w:rsid w:val="0071133A"/>
    <w:rsid w:val="0071304D"/>
    <w:rsid w:val="00724D56"/>
    <w:rsid w:val="007518F5"/>
    <w:rsid w:val="007552BF"/>
    <w:rsid w:val="00781030"/>
    <w:rsid w:val="00787CFE"/>
    <w:rsid w:val="007B0B88"/>
    <w:rsid w:val="007B5209"/>
    <w:rsid w:val="007B733E"/>
    <w:rsid w:val="007C0DCC"/>
    <w:rsid w:val="007C4507"/>
    <w:rsid w:val="007C611E"/>
    <w:rsid w:val="007D0851"/>
    <w:rsid w:val="007E36CD"/>
    <w:rsid w:val="008037AF"/>
    <w:rsid w:val="0083315C"/>
    <w:rsid w:val="00847B09"/>
    <w:rsid w:val="00852785"/>
    <w:rsid w:val="00860B45"/>
    <w:rsid w:val="00866760"/>
    <w:rsid w:val="00875FA7"/>
    <w:rsid w:val="0088608D"/>
    <w:rsid w:val="008D6140"/>
    <w:rsid w:val="008D6ACE"/>
    <w:rsid w:val="008E47B8"/>
    <w:rsid w:val="008F6B22"/>
    <w:rsid w:val="0090033D"/>
    <w:rsid w:val="00900682"/>
    <w:rsid w:val="00911F00"/>
    <w:rsid w:val="00914278"/>
    <w:rsid w:val="00915E74"/>
    <w:rsid w:val="00924459"/>
    <w:rsid w:val="009271F4"/>
    <w:rsid w:val="009610D0"/>
    <w:rsid w:val="0097077D"/>
    <w:rsid w:val="009849C2"/>
    <w:rsid w:val="0099768F"/>
    <w:rsid w:val="009B0A29"/>
    <w:rsid w:val="009B19CF"/>
    <w:rsid w:val="009B46D0"/>
    <w:rsid w:val="009C651B"/>
    <w:rsid w:val="009E6EF2"/>
    <w:rsid w:val="00A10C19"/>
    <w:rsid w:val="00A16488"/>
    <w:rsid w:val="00A430F5"/>
    <w:rsid w:val="00A51C83"/>
    <w:rsid w:val="00A64911"/>
    <w:rsid w:val="00A85CFE"/>
    <w:rsid w:val="00A86A41"/>
    <w:rsid w:val="00A9353F"/>
    <w:rsid w:val="00AA4316"/>
    <w:rsid w:val="00AF71C1"/>
    <w:rsid w:val="00B00910"/>
    <w:rsid w:val="00B0752A"/>
    <w:rsid w:val="00B34EB4"/>
    <w:rsid w:val="00B40E2E"/>
    <w:rsid w:val="00B45CA2"/>
    <w:rsid w:val="00B506A0"/>
    <w:rsid w:val="00B6198B"/>
    <w:rsid w:val="00B71EFC"/>
    <w:rsid w:val="00B77C19"/>
    <w:rsid w:val="00B91483"/>
    <w:rsid w:val="00B94E75"/>
    <w:rsid w:val="00B95077"/>
    <w:rsid w:val="00BA5C8A"/>
    <w:rsid w:val="00BE34E9"/>
    <w:rsid w:val="00C02337"/>
    <w:rsid w:val="00C42420"/>
    <w:rsid w:val="00C45C27"/>
    <w:rsid w:val="00C61583"/>
    <w:rsid w:val="00C750D5"/>
    <w:rsid w:val="00C93797"/>
    <w:rsid w:val="00C96E88"/>
    <w:rsid w:val="00CE7E68"/>
    <w:rsid w:val="00CF11A8"/>
    <w:rsid w:val="00CF3210"/>
    <w:rsid w:val="00D014A2"/>
    <w:rsid w:val="00D03A65"/>
    <w:rsid w:val="00D040F5"/>
    <w:rsid w:val="00D26D4E"/>
    <w:rsid w:val="00D430E2"/>
    <w:rsid w:val="00D53D66"/>
    <w:rsid w:val="00D675E4"/>
    <w:rsid w:val="00D84AE7"/>
    <w:rsid w:val="00D875B1"/>
    <w:rsid w:val="00D953EF"/>
    <w:rsid w:val="00DB0A5B"/>
    <w:rsid w:val="00DB6F26"/>
    <w:rsid w:val="00DC2472"/>
    <w:rsid w:val="00DC5F78"/>
    <w:rsid w:val="00DD13E2"/>
    <w:rsid w:val="00E00B04"/>
    <w:rsid w:val="00E03C00"/>
    <w:rsid w:val="00E34CA6"/>
    <w:rsid w:val="00E46E74"/>
    <w:rsid w:val="00E554DC"/>
    <w:rsid w:val="00E6367E"/>
    <w:rsid w:val="00E92686"/>
    <w:rsid w:val="00E968DF"/>
    <w:rsid w:val="00EC70B3"/>
    <w:rsid w:val="00ED5868"/>
    <w:rsid w:val="00EE051D"/>
    <w:rsid w:val="00EF7F72"/>
    <w:rsid w:val="00F07361"/>
    <w:rsid w:val="00F2106C"/>
    <w:rsid w:val="00F57C84"/>
    <w:rsid w:val="00F65887"/>
    <w:rsid w:val="00F67553"/>
    <w:rsid w:val="00F86EDD"/>
    <w:rsid w:val="00F94619"/>
    <w:rsid w:val="00FB7627"/>
    <w:rsid w:val="00FD752B"/>
    <w:rsid w:val="00FE5B05"/>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02274-6FEA-4170-BD3F-B6391376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2464</Words>
  <Characters>13552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2023-05-18T20:24:00Z</cp:lastPrinted>
  <dcterms:created xsi:type="dcterms:W3CDTF">2023-05-18T20:26:00Z</dcterms:created>
  <dcterms:modified xsi:type="dcterms:W3CDTF">2023-05-18T20:26:00Z</dcterms:modified>
</cp:coreProperties>
</file>