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65EA" w14:textId="77777777" w:rsidR="007D35E1" w:rsidRDefault="00F47FB5" w:rsidP="007D35E1">
      <w:pPr>
        <w:spacing w:line="360" w:lineRule="auto"/>
        <w:jc w:val="both"/>
        <w:rPr>
          <w:rFonts w:ascii="Palatino Linotype" w:eastAsia="Palatino Linotype" w:hAnsi="Palatino Linotype" w:cs="Palatino Linotype"/>
          <w:b/>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w:t>
      </w:r>
      <w:r w:rsidR="00E73E67">
        <w:rPr>
          <w:rFonts w:ascii="Palatino Linotype" w:hAnsi="Palatino Linotype" w:cs="Tahoma"/>
          <w:b/>
        </w:rPr>
        <w:t xml:space="preserve">PROTECCIÓN DE DATOS PERSONALES DEL ESTADO DE </w:t>
      </w:r>
      <w:r w:rsidR="007D35E1">
        <w:rPr>
          <w:rFonts w:ascii="Palatino Linotype" w:hAnsi="Palatino Linotype" w:cs="Tahoma"/>
          <w:b/>
        </w:rPr>
        <w:t xml:space="preserve">MÉXICO Y </w:t>
      </w:r>
      <w:r w:rsidR="009754A8">
        <w:rPr>
          <w:rFonts w:ascii="Palatino Linotype" w:hAnsi="Palatino Linotype" w:cs="Tahoma"/>
          <w:b/>
        </w:rPr>
        <w:t xml:space="preserve">MUNICIPIOS AL RECURSO DE REVISIÓN </w:t>
      </w:r>
      <w:r w:rsidR="009754A8">
        <w:rPr>
          <w:rFonts w:ascii="Palatino Linotype" w:hAnsi="Palatino Linotype" w:cs="Arial"/>
          <w:b/>
          <w:bCs/>
          <w:lang w:eastAsia="es-MX"/>
        </w:rPr>
        <w:t>2705/INFOEM/IP/RR/2023</w:t>
      </w:r>
      <w:r w:rsidR="009754A8">
        <w:rPr>
          <w:rFonts w:ascii="Palatino Linotype" w:hAnsi="Palatino Linotype" w:cs="Tahoma"/>
          <w:b/>
        </w:rPr>
        <w:t xml:space="preserve">, PROMOVIDO EN CONTRA DEL </w:t>
      </w:r>
      <w:bookmarkStart w:id="0" w:name="_Toc70345222"/>
      <w:r w:rsidR="009754A8">
        <w:rPr>
          <w:rFonts w:ascii="Palatino Linotype" w:hAnsi="Palatino Linotype" w:cs="Arial"/>
          <w:b/>
          <w:bCs/>
        </w:rPr>
        <w:t>AYUNTAMIENTO DE NICOLÁS ROMERO</w:t>
      </w:r>
      <w:r w:rsidR="009754A8">
        <w:rPr>
          <w:rFonts w:ascii="Palatino Linotype" w:eastAsia="Palatino Linotype" w:hAnsi="Palatino Linotype" w:cs="Palatino Linotype"/>
          <w:b/>
        </w:rPr>
        <w:t>.</w:t>
      </w:r>
    </w:p>
    <w:p w14:paraId="4B707D47" w14:textId="77777777" w:rsidR="007D35E1" w:rsidRDefault="007D35E1" w:rsidP="007D35E1">
      <w:pPr>
        <w:spacing w:line="360" w:lineRule="auto"/>
        <w:jc w:val="both"/>
        <w:rPr>
          <w:rFonts w:ascii="Palatino Linotype" w:eastAsia="Palatino Linotype" w:hAnsi="Palatino Linotype" w:cs="Palatino Linotype"/>
          <w:b/>
        </w:rPr>
      </w:pPr>
    </w:p>
    <w:p w14:paraId="3582DA45" w14:textId="77777777" w:rsidR="007B1CFA" w:rsidRPr="00F211BD" w:rsidRDefault="007B1CFA" w:rsidP="007D35E1">
      <w:pPr>
        <w:spacing w:line="360" w:lineRule="auto"/>
        <w:jc w:val="both"/>
        <w:rPr>
          <w:rFonts w:ascii="Palatino Linotype" w:hAnsi="Palatino Linotype"/>
          <w:color w:val="000000"/>
        </w:rPr>
      </w:pPr>
      <w:r w:rsidRPr="00F211BD">
        <w:rPr>
          <w:rFonts w:ascii="Palatino Linotype" w:hAnsi="Palatino Linotype"/>
          <w:color w:val="000000"/>
        </w:rPr>
        <w:t>Consideraciones Generales.</w:t>
      </w:r>
      <w:bookmarkEnd w:id="0"/>
    </w:p>
    <w:p w14:paraId="77FC5BDC" w14:textId="77777777" w:rsidR="007B1CFA" w:rsidRPr="00CF3F65" w:rsidRDefault="007B1CFA" w:rsidP="00CF3F65">
      <w:pPr>
        <w:spacing w:line="360" w:lineRule="auto"/>
        <w:rPr>
          <w:rFonts w:ascii="Palatino Linotype" w:hAnsi="Palatino Linotype"/>
        </w:rPr>
      </w:pPr>
    </w:p>
    <w:p w14:paraId="275CFC1D" w14:textId="77777777" w:rsidR="00E73E67" w:rsidRDefault="00CF3F65" w:rsidP="00864A74">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9754A8">
        <w:rPr>
          <w:rFonts w:ascii="Palatino Linotype" w:hAnsi="Palatino Linotype" w:cs="Arial"/>
          <w:b/>
          <w:bCs/>
          <w:lang w:eastAsia="es-MX"/>
        </w:rPr>
        <w:t>2705/INFOEM/IP/RR/2023</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9754A8">
        <w:rPr>
          <w:rFonts w:ascii="Palatino Linotype" w:hAnsi="Palatino Linotype" w:cs="Arial"/>
          <w:b/>
          <w:bCs/>
        </w:rPr>
        <w:t>Ayuntamiento de Nicolás Romero</w:t>
      </w:r>
      <w:r w:rsidR="00864A74">
        <w:rPr>
          <w:rFonts w:ascii="Palatino Linotype" w:eastAsia="Palatino Linotype" w:hAnsi="Palatino Linotype" w:cs="Palatino Linotype"/>
          <w:b/>
        </w:rPr>
        <w:t>.</w:t>
      </w:r>
    </w:p>
    <w:p w14:paraId="35409B4F" w14:textId="77777777" w:rsidR="00864A74" w:rsidRDefault="00864A74" w:rsidP="00864A74">
      <w:pPr>
        <w:spacing w:line="360" w:lineRule="auto"/>
        <w:jc w:val="both"/>
        <w:rPr>
          <w:rFonts w:ascii="Palatino Linotype" w:hAnsi="Palatino Linotype" w:cs="Tahoma"/>
          <w:b/>
          <w:sz w:val="18"/>
          <w:szCs w:val="22"/>
          <w:lang w:val="es-MX"/>
        </w:rPr>
      </w:pPr>
    </w:p>
    <w:p w14:paraId="0A92F713" w14:textId="77777777" w:rsidR="00864A74" w:rsidRDefault="00864A74" w:rsidP="00864A74">
      <w:pPr>
        <w:spacing w:line="360" w:lineRule="auto"/>
        <w:jc w:val="both"/>
        <w:rPr>
          <w:rFonts w:ascii="Palatino Linotype" w:hAnsi="Palatino Linotype" w:cs="Arial"/>
        </w:rPr>
      </w:pPr>
      <w:r>
        <w:rPr>
          <w:rFonts w:ascii="Palatino Linotype" w:eastAsia="Calibri" w:hAnsi="Palatino Linotype"/>
          <w:bCs/>
        </w:rPr>
        <w:t>La parte</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la solicitud de información pública</w:t>
      </w:r>
      <w:r>
        <w:rPr>
          <w:rFonts w:ascii="Palatino Linotype" w:hAnsi="Palatino Linotype"/>
          <w:b/>
          <w:bCs/>
        </w:rPr>
        <w:t>,</w:t>
      </w:r>
      <w:r>
        <w:rPr>
          <w:rFonts w:ascii="Palatino Linotype" w:hAnsi="Palatino Linotype" w:cs="Arial"/>
          <w:b/>
          <w:lang w:eastAsia="es-MX"/>
        </w:rPr>
        <w:t xml:space="preserve"> </w:t>
      </w:r>
      <w:r>
        <w:rPr>
          <w:rFonts w:ascii="Palatino Linotype" w:hAnsi="Palatino Linotype" w:cs="Arial"/>
        </w:rPr>
        <w:t>mediante la cual se requiere:</w:t>
      </w:r>
    </w:p>
    <w:p w14:paraId="431D516B" w14:textId="77777777" w:rsidR="009754A8" w:rsidRDefault="009754A8" w:rsidP="009754A8">
      <w:pPr>
        <w:pStyle w:val="INFOEM"/>
        <w:rPr>
          <w:lang w:val="es-ES_tradnl" w:eastAsia="es-ES"/>
        </w:rPr>
      </w:pPr>
      <w:r>
        <w:rPr>
          <w:lang w:val="es-ES_tradnl" w:eastAsia="es-ES"/>
        </w:rPr>
        <w:lastRenderedPageBreak/>
        <w:t>“solicito informe de las personas involucradas o que se les esta llevando algún procedimiento administrativo en la contraloría interna municipal o de algún organismos descentralizado, de los año 2015 a la fecha” (sic)</w:t>
      </w:r>
    </w:p>
    <w:p w14:paraId="56C95494" w14:textId="77777777" w:rsidR="007D35E1" w:rsidRPr="00F211BD" w:rsidRDefault="007D35E1" w:rsidP="00864A74">
      <w:pPr>
        <w:spacing w:line="360" w:lineRule="auto"/>
        <w:jc w:val="both"/>
        <w:rPr>
          <w:rFonts w:ascii="Palatino Linotype" w:eastAsia="MS Mincho" w:hAnsi="Palatino Linotype"/>
          <w:color w:val="000000"/>
          <w:lang w:val="es-MX"/>
        </w:rPr>
      </w:pPr>
    </w:p>
    <w:p w14:paraId="04BEA263" w14:textId="77777777" w:rsidR="007D35E1" w:rsidRDefault="00864A74" w:rsidP="009754A8">
      <w:pPr>
        <w:spacing w:line="360" w:lineRule="auto"/>
        <w:jc w:val="both"/>
        <w:rPr>
          <w:rFonts w:ascii="Calibri" w:eastAsia="Calibri" w:hAnsi="Calibri" w:cs="Calibri"/>
          <w:sz w:val="22"/>
          <w:szCs w:val="22"/>
        </w:rPr>
      </w:pPr>
      <w:r w:rsidRPr="00F211BD">
        <w:rPr>
          <w:rFonts w:ascii="Palatino Linotype" w:eastAsia="MS Mincho" w:hAnsi="Palatino Linotype"/>
          <w:color w:val="000000"/>
          <w:lang w:val="es-MX"/>
        </w:rPr>
        <w:t xml:space="preserve">El </w:t>
      </w:r>
      <w:r w:rsidRPr="00F211BD">
        <w:rPr>
          <w:rFonts w:ascii="Palatino Linotype" w:eastAsia="MS Mincho" w:hAnsi="Palatino Linotype"/>
          <w:b/>
          <w:color w:val="000000"/>
          <w:lang w:val="es-MX"/>
        </w:rPr>
        <w:t>SUJETO OBLIGADO</w:t>
      </w:r>
      <w:r w:rsidRPr="00F211BD">
        <w:rPr>
          <w:rFonts w:ascii="Palatino Linotype" w:eastAsia="MS Mincho" w:hAnsi="Palatino Linotype"/>
          <w:color w:val="000000"/>
          <w:lang w:val="es-MX"/>
        </w:rPr>
        <w:t xml:space="preserve"> dio respuesta a la solic</w:t>
      </w:r>
      <w:r w:rsidRPr="009754A8">
        <w:rPr>
          <w:rFonts w:ascii="Palatino Linotype" w:eastAsia="MS Mincho" w:hAnsi="Palatino Linotype"/>
          <w:color w:val="000000"/>
          <w:lang w:val="es-MX"/>
        </w:rPr>
        <w:t xml:space="preserve">itud de información en la cual </w:t>
      </w:r>
      <w:r w:rsidRPr="009754A8">
        <w:rPr>
          <w:rFonts w:ascii="Palatino Linotype" w:hAnsi="Palatino Linotype"/>
          <w:color w:val="000000"/>
        </w:rPr>
        <w:t xml:space="preserve"> informa</w:t>
      </w:r>
      <w:r w:rsidR="007D35E1" w:rsidRPr="009754A8">
        <w:rPr>
          <w:rFonts w:ascii="Palatino Linotype" w:hAnsi="Palatino Linotype"/>
        </w:rPr>
        <w:t xml:space="preserve"> </w:t>
      </w:r>
      <w:r w:rsidR="009754A8" w:rsidRPr="009754A8">
        <w:rPr>
          <w:rFonts w:ascii="Palatino Linotype" w:hAnsi="Palatino Linotype"/>
        </w:rPr>
        <w:t xml:space="preserve">que la </w:t>
      </w:r>
      <w:r w:rsidR="009754A8" w:rsidRPr="009754A8">
        <w:rPr>
          <w:rFonts w:ascii="Palatino Linotype" w:hAnsi="Palatino Linotype" w:cs="Arial"/>
        </w:rPr>
        <w:t xml:space="preserve"> Contraloría Interna por el momento se abstiene de proporcionar la información solicitada en virtud de que la misma es clasificada como reservada, hasta en tanto no se emita resolución firme de los expedientes substanciados, salvaguardando el principio de inocencia de los presuntos responsables</w:t>
      </w:r>
    </w:p>
    <w:p w14:paraId="206863AB" w14:textId="77777777" w:rsidR="00864A74" w:rsidRDefault="00864A74" w:rsidP="00864A74">
      <w:pPr>
        <w:spacing w:line="360" w:lineRule="auto"/>
        <w:jc w:val="both"/>
        <w:rPr>
          <w:rFonts w:ascii="Palatino Linotype" w:hAnsi="Palatino Linotype"/>
        </w:rPr>
      </w:pPr>
    </w:p>
    <w:p w14:paraId="5FC45755" w14:textId="77777777" w:rsidR="00864A74" w:rsidRPr="00F211BD" w:rsidRDefault="00864A74" w:rsidP="00864A74">
      <w:pPr>
        <w:tabs>
          <w:tab w:val="left" w:pos="284"/>
          <w:tab w:val="left" w:pos="426"/>
        </w:tabs>
        <w:spacing w:line="360" w:lineRule="auto"/>
        <w:jc w:val="both"/>
        <w:rPr>
          <w:rFonts w:ascii="Palatino Linotype" w:hAnsi="Palatino Linotype" w:cs="Arial"/>
          <w:color w:val="000000"/>
        </w:rPr>
      </w:pPr>
      <w:r w:rsidRPr="00F211BD">
        <w:rPr>
          <w:rFonts w:ascii="Palatino Linotype" w:hAnsi="Palatino Linotype" w:cs="Arial"/>
          <w:color w:val="000000"/>
        </w:rPr>
        <w:t xml:space="preserve">Derivado de la respuesta emitida por el </w:t>
      </w:r>
      <w:r w:rsidRPr="00F211BD">
        <w:rPr>
          <w:rFonts w:ascii="Palatino Linotype" w:hAnsi="Palatino Linotype" w:cs="Arial"/>
          <w:b/>
          <w:color w:val="000000"/>
        </w:rPr>
        <w:t>SUJETO OBLIGADO</w:t>
      </w:r>
      <w:r w:rsidRPr="00F211BD">
        <w:rPr>
          <w:rFonts w:ascii="Palatino Linotype" w:hAnsi="Palatino Linotype" w:cs="Arial"/>
          <w:color w:val="000000"/>
        </w:rPr>
        <w:t xml:space="preserve">, el particular interpuso el recurso de revisión </w:t>
      </w:r>
      <w:r w:rsidR="009754A8">
        <w:rPr>
          <w:rFonts w:ascii="Palatino Linotype" w:hAnsi="Palatino Linotype" w:cs="Arial"/>
          <w:b/>
          <w:bCs/>
          <w:lang w:eastAsia="es-MX"/>
        </w:rPr>
        <w:t>2705/INFOEM/IP/RR/2023</w:t>
      </w:r>
      <w:r w:rsidRPr="00F211BD">
        <w:rPr>
          <w:rFonts w:ascii="Palatino Linotype" w:eastAsia="Calibri" w:hAnsi="Palatino Linotype" w:cs="Arial"/>
          <w:color w:val="000000"/>
        </w:rPr>
        <w:t>;</w:t>
      </w:r>
      <w:r w:rsidRPr="00F211BD">
        <w:rPr>
          <w:rFonts w:ascii="Palatino Linotype" w:hAnsi="Palatino Linotype" w:cs="Arial"/>
          <w:color w:val="000000"/>
        </w:rPr>
        <w:t xml:space="preserve"> impugnación en la que refirió lo siguiente:</w:t>
      </w:r>
    </w:p>
    <w:p w14:paraId="0A574B46" w14:textId="77777777" w:rsidR="00864A74" w:rsidRDefault="00864A74" w:rsidP="00754FF0">
      <w:pPr>
        <w:spacing w:line="360" w:lineRule="auto"/>
        <w:ind w:left="360"/>
        <w:jc w:val="both"/>
        <w:rPr>
          <w:rFonts w:ascii="Palatino Linotype" w:eastAsia="Calibri" w:hAnsi="Palatino Linotype" w:cs="Tahoma"/>
          <w:bCs/>
          <w:iCs/>
          <w:sz w:val="22"/>
          <w:szCs w:val="22"/>
          <w:lang w:eastAsia="en-US"/>
        </w:rPr>
      </w:pPr>
    </w:p>
    <w:p w14:paraId="51EF656A" w14:textId="77777777" w:rsidR="009754A8" w:rsidRDefault="009754A8" w:rsidP="009754A8">
      <w:pPr>
        <w:pStyle w:val="Prrafodelista"/>
        <w:numPr>
          <w:ilvl w:val="0"/>
          <w:numId w:val="39"/>
        </w:numPr>
        <w:spacing w:before="240" w:line="360" w:lineRule="auto"/>
        <w:ind w:left="1418" w:hanging="11"/>
        <w:contextualSpacing w:val="0"/>
        <w:jc w:val="both"/>
        <w:rPr>
          <w:rFonts w:ascii="Palatino Linotype" w:hAnsi="Palatino Linotype" w:cs="Arial"/>
          <w:b/>
          <w:i/>
        </w:rPr>
      </w:pPr>
      <w:r>
        <w:rPr>
          <w:rFonts w:ascii="Palatino Linotype" w:hAnsi="Palatino Linotype" w:cs="Arial"/>
          <w:b/>
          <w:i/>
        </w:rPr>
        <w:t>Acto impugnado:</w:t>
      </w:r>
    </w:p>
    <w:p w14:paraId="68127B0E" w14:textId="77777777" w:rsidR="009754A8" w:rsidRDefault="009754A8" w:rsidP="009754A8">
      <w:pPr>
        <w:spacing w:before="240" w:line="360" w:lineRule="auto"/>
        <w:ind w:left="1418"/>
        <w:jc w:val="both"/>
        <w:rPr>
          <w:rFonts w:ascii="Palatino Linotype" w:hAnsi="Palatino Linotype" w:cs="Arial"/>
          <w:i/>
        </w:rPr>
      </w:pPr>
      <w:r>
        <w:rPr>
          <w:rFonts w:ascii="Palatino Linotype" w:hAnsi="Palatino Linotype" w:cs="Arial"/>
          <w:i/>
        </w:rPr>
        <w:t>“no cumple con lo establecido por la ley de transparencia federal y local, por lo que el órgano interno de control incurre en probables responsabilidades administrativas” (sic)</w:t>
      </w:r>
    </w:p>
    <w:p w14:paraId="2807C957" w14:textId="77777777" w:rsidR="009754A8" w:rsidRDefault="009754A8" w:rsidP="009754A8">
      <w:pPr>
        <w:pStyle w:val="Prrafodelista"/>
        <w:numPr>
          <w:ilvl w:val="0"/>
          <w:numId w:val="39"/>
        </w:numPr>
        <w:spacing w:before="240" w:line="360" w:lineRule="auto"/>
        <w:ind w:left="1418" w:firstLine="0"/>
        <w:contextualSpacing w:val="0"/>
        <w:jc w:val="both"/>
        <w:rPr>
          <w:rFonts w:ascii="Palatino Linotype" w:hAnsi="Palatino Linotype" w:cs="Arial"/>
          <w:b/>
          <w:i/>
        </w:rPr>
      </w:pPr>
      <w:r>
        <w:rPr>
          <w:rFonts w:ascii="Palatino Linotype" w:hAnsi="Palatino Linotype" w:cs="Arial"/>
          <w:b/>
          <w:i/>
        </w:rPr>
        <w:t>Razones o motivos de inconformidad</w:t>
      </w:r>
    </w:p>
    <w:p w14:paraId="4DC3CEBE" w14:textId="77777777" w:rsidR="009754A8" w:rsidRDefault="009754A8" w:rsidP="009754A8">
      <w:pPr>
        <w:spacing w:before="240" w:line="360" w:lineRule="auto"/>
        <w:ind w:left="1418"/>
        <w:jc w:val="both"/>
        <w:rPr>
          <w:rFonts w:ascii="Palatino Linotype" w:hAnsi="Palatino Linotype" w:cs="Arial"/>
          <w:i/>
        </w:rPr>
      </w:pPr>
      <w:r>
        <w:rPr>
          <w:rFonts w:ascii="Palatino Linotype" w:hAnsi="Palatino Linotype" w:cs="Arial"/>
          <w:i/>
        </w:rPr>
        <w:lastRenderedPageBreak/>
        <w:t>“no cumple con lo establecido por la ley de transparencia federal y local, por lo que el órgano interno de control incurre en probables responsabilidades administrativas” (Sic)</w:t>
      </w:r>
    </w:p>
    <w:p w14:paraId="6BDF3B71" w14:textId="77777777" w:rsidR="00864A74" w:rsidRDefault="00864A74" w:rsidP="009754A8">
      <w:pPr>
        <w:spacing w:line="360" w:lineRule="auto"/>
        <w:ind w:left="1418"/>
        <w:jc w:val="both"/>
        <w:rPr>
          <w:rFonts w:ascii="Palatino Linotype" w:eastAsia="Calibri" w:hAnsi="Palatino Linotype" w:cs="Tahoma"/>
          <w:bCs/>
          <w:iCs/>
          <w:sz w:val="22"/>
          <w:szCs w:val="22"/>
          <w:lang w:eastAsia="en-US"/>
        </w:rPr>
      </w:pPr>
    </w:p>
    <w:p w14:paraId="6DF857E2" w14:textId="77777777" w:rsidR="00864A74" w:rsidRDefault="00864A74" w:rsidP="00864A74">
      <w:pPr>
        <w:spacing w:line="360" w:lineRule="auto"/>
        <w:jc w:val="both"/>
        <w:rPr>
          <w:rFonts w:ascii="Palatino Linotype" w:hAnsi="Palatino Linotype"/>
        </w:rPr>
      </w:pPr>
      <w:r>
        <w:rPr>
          <w:rFonts w:ascii="Palatino Linotype" w:hAnsi="Palatino Linotype"/>
        </w:rPr>
        <w:t xml:space="preserve">La resolución determina </w:t>
      </w:r>
      <w:r w:rsidR="009754A8">
        <w:rPr>
          <w:rFonts w:ascii="Palatino Linotype" w:hAnsi="Palatino Linotype"/>
          <w:b/>
        </w:rPr>
        <w:t>MODIFICAR</w:t>
      </w:r>
      <w:r>
        <w:rPr>
          <w:rFonts w:ascii="Palatino Linotype" w:hAnsi="Palatino Linotype"/>
          <w:b/>
        </w:rPr>
        <w:t xml:space="preserve"> </w:t>
      </w:r>
      <w:r>
        <w:rPr>
          <w:rFonts w:ascii="Palatino Linotype" w:hAnsi="Palatino Linotype"/>
        </w:rPr>
        <w:t>la respuesta y ordena que se</w:t>
      </w:r>
      <w:r>
        <w:rPr>
          <w:rFonts w:ascii="Palatino Linotype" w:hAnsi="Palatino Linotype"/>
          <w:b/>
        </w:rPr>
        <w:t xml:space="preserve"> </w:t>
      </w:r>
      <w:r>
        <w:rPr>
          <w:rFonts w:ascii="Palatino Linotype" w:hAnsi="Palatino Linotype"/>
        </w:rPr>
        <w:t>haga entrega a la</w:t>
      </w:r>
      <w:r>
        <w:rPr>
          <w:rFonts w:ascii="Palatino Linotype" w:hAnsi="Palatino Linotype"/>
          <w:b/>
        </w:rPr>
        <w:t xml:space="preserve"> PARTE RECURRENTE</w:t>
      </w:r>
      <w:r>
        <w:rPr>
          <w:rFonts w:ascii="Palatino Linotype" w:hAnsi="Palatino Linotype"/>
        </w:rPr>
        <w:t>, vía el Sistema de Acceso a la Información Mexiquense (SAIMEX), en versión pública,  lo siguiente:</w:t>
      </w:r>
    </w:p>
    <w:p w14:paraId="6B50606D" w14:textId="77777777" w:rsidR="00864A74" w:rsidRDefault="00864A74" w:rsidP="00754FF0">
      <w:pPr>
        <w:spacing w:line="360" w:lineRule="auto"/>
        <w:ind w:left="360"/>
        <w:jc w:val="both"/>
        <w:rPr>
          <w:rFonts w:ascii="Palatino Linotype" w:eastAsia="Calibri" w:hAnsi="Palatino Linotype" w:cs="Tahoma"/>
          <w:bCs/>
          <w:iCs/>
          <w:sz w:val="22"/>
          <w:szCs w:val="22"/>
          <w:lang w:eastAsia="en-US"/>
        </w:rPr>
      </w:pPr>
    </w:p>
    <w:p w14:paraId="05902206" w14:textId="77777777" w:rsidR="009754A8" w:rsidRPr="009754A8" w:rsidRDefault="009754A8" w:rsidP="009754A8">
      <w:pPr>
        <w:numPr>
          <w:ilvl w:val="0"/>
          <w:numId w:val="40"/>
        </w:numPr>
        <w:spacing w:line="360" w:lineRule="auto"/>
        <w:jc w:val="both"/>
        <w:rPr>
          <w:rFonts w:ascii="Palatino Linotype" w:hAnsi="Palatino Linotype" w:cs="Arial"/>
          <w:lang w:val="es-ES_tradnl"/>
        </w:rPr>
      </w:pPr>
      <w:r w:rsidRPr="009754A8">
        <w:rPr>
          <w:rFonts w:ascii="Palatino Linotype" w:hAnsi="Palatino Linotype" w:cs="Arial"/>
        </w:rPr>
        <w:t>Nombre de los servidores públicos que tienen procedimientos administrativos en trámite y que se relacionen con actos de corrupción, delitos de lesa humanidad o posibles violaciones graves a derechos humanos, formados por el Órgano de Control Interno en contra de los servidores públicos, en el periodo del primero de enero de dos mil quince al veinticinco de abril de dos mil veintitrés.</w:t>
      </w:r>
    </w:p>
    <w:p w14:paraId="0575ED5E" w14:textId="77777777" w:rsidR="009754A8" w:rsidRPr="009754A8" w:rsidRDefault="009754A8" w:rsidP="009754A8">
      <w:pPr>
        <w:numPr>
          <w:ilvl w:val="0"/>
          <w:numId w:val="40"/>
        </w:numPr>
        <w:spacing w:line="360" w:lineRule="auto"/>
        <w:jc w:val="both"/>
        <w:rPr>
          <w:rFonts w:ascii="Palatino Linotype" w:hAnsi="Palatino Linotype" w:cs="Arial"/>
          <w:lang w:val="es-ES_tradnl"/>
        </w:rPr>
      </w:pPr>
      <w:r w:rsidRPr="009754A8">
        <w:rPr>
          <w:rFonts w:ascii="Palatino Linotype" w:hAnsi="Palatino Linotype" w:cs="Arial"/>
        </w:rPr>
        <w:t>Acuerdo de Clasificación que emita el Comité de Transparencia el cual se clasifique como información confidencial el nombre de los servidores públicos que tienen procedimientos administrativos en trámite</w:t>
      </w:r>
      <w:r w:rsidRPr="009754A8">
        <w:rPr>
          <w:rFonts w:ascii="Palatino Linotype" w:hAnsi="Palatino Linotype" w:cs="Arial"/>
          <w:lang w:val="es-ES_tradnl"/>
        </w:rPr>
        <w:t xml:space="preserve"> por faltas no graves y que no haya causado estado, en términos de los artículos 49 fracción VIII, 122, 128, 129, 132 fracción II, 135 y 140 de la citada Ley de Transparencia, </w:t>
      </w:r>
      <w:r w:rsidRPr="009754A8">
        <w:rPr>
          <w:rFonts w:ascii="Palatino Linotype" w:hAnsi="Palatino Linotype" w:cs="Arial"/>
        </w:rPr>
        <w:t>en el periodo del primero de enero de dos mil quince al veinticinco de abril de dos mil veintitrés.</w:t>
      </w:r>
    </w:p>
    <w:p w14:paraId="181FD092" w14:textId="77777777" w:rsidR="009754A8" w:rsidRPr="009754A8" w:rsidRDefault="009754A8" w:rsidP="009754A8">
      <w:pPr>
        <w:numPr>
          <w:ilvl w:val="0"/>
          <w:numId w:val="40"/>
        </w:numPr>
        <w:spacing w:line="360" w:lineRule="auto"/>
        <w:jc w:val="both"/>
        <w:rPr>
          <w:rFonts w:ascii="Palatino Linotype" w:hAnsi="Palatino Linotype" w:cs="Arial"/>
          <w:lang w:val="es-ES_tradnl"/>
        </w:rPr>
      </w:pPr>
      <w:r w:rsidRPr="009754A8">
        <w:rPr>
          <w:rFonts w:ascii="Palatino Linotype" w:hAnsi="Palatino Linotype" w:cs="Arial"/>
          <w:lang w:val="es-ES_tradnl"/>
        </w:rPr>
        <w:t xml:space="preserve">Acuerdo mediante el cual el Comité de Transparencia declare la incompetencia para generar la información relativa al nombre de los </w:t>
      </w:r>
      <w:r w:rsidRPr="009754A8">
        <w:rPr>
          <w:rFonts w:ascii="Palatino Linotype" w:hAnsi="Palatino Linotype" w:cs="Arial"/>
          <w:lang w:val="es-ES_tradnl"/>
        </w:rPr>
        <w:lastRenderedPageBreak/>
        <w:t xml:space="preserve">servidores públicos que tienen procedimientos administrativos por la Contraloría Municipal, de sus Organismos Descentralizados. </w:t>
      </w:r>
    </w:p>
    <w:p w14:paraId="179124F8" w14:textId="77777777" w:rsidR="009754A8" w:rsidRDefault="009754A8" w:rsidP="007D35E1">
      <w:pPr>
        <w:tabs>
          <w:tab w:val="left" w:pos="426"/>
        </w:tabs>
        <w:spacing w:line="360" w:lineRule="auto"/>
        <w:jc w:val="both"/>
        <w:rPr>
          <w:rFonts w:ascii="Palatino Linotype" w:eastAsia="Palatino Linotype" w:hAnsi="Palatino Linotype" w:cs="Palatino Linotype"/>
          <w:color w:val="000000"/>
        </w:rPr>
      </w:pPr>
    </w:p>
    <w:p w14:paraId="3643ECDA" w14:textId="77777777" w:rsidR="00353A15" w:rsidRPr="00F211BD" w:rsidRDefault="00864A74" w:rsidP="008C1F3A">
      <w:pPr>
        <w:tabs>
          <w:tab w:val="left" w:pos="426"/>
        </w:tabs>
        <w:spacing w:line="360" w:lineRule="auto"/>
        <w:jc w:val="both"/>
        <w:rPr>
          <w:rFonts w:ascii="Palatino Linotype" w:hAnsi="Palatino Linotype" w:cs="Cambria"/>
          <w:color w:val="000000"/>
        </w:rPr>
      </w:pPr>
      <w:r>
        <w:rPr>
          <w:rFonts w:ascii="Palatino Linotype" w:eastAsia="Palatino Linotype" w:hAnsi="Palatino Linotype" w:cs="Palatino Linotype"/>
          <w:color w:val="000000"/>
        </w:rPr>
        <w:t xml:space="preserve">La resolución </w:t>
      </w:r>
      <w:r w:rsidR="008C1F3A">
        <w:rPr>
          <w:rFonts w:ascii="Palatino Linotype" w:eastAsia="Palatino Linotype" w:hAnsi="Palatino Linotype" w:cs="Palatino Linotype"/>
          <w:color w:val="000000"/>
        </w:rPr>
        <w:t xml:space="preserve">determina la entrega de </w:t>
      </w:r>
      <w:r w:rsidR="007D35E1">
        <w:rPr>
          <w:rFonts w:ascii="Palatino Linotype" w:eastAsia="Palatino Linotype" w:hAnsi="Palatino Linotype" w:cs="Palatino Linotype"/>
          <w:color w:val="000000"/>
        </w:rPr>
        <w:t xml:space="preserve">información exclusivamente de </w:t>
      </w:r>
      <w:r w:rsidR="007D35E1">
        <w:rPr>
          <w:rFonts w:ascii="Palatino Linotype" w:eastAsia="Palatino Linotype" w:hAnsi="Palatino Linotype" w:cs="Palatino Linotype"/>
          <w:b/>
          <w:color w:val="000000"/>
        </w:rPr>
        <w:t>procedimiento</w:t>
      </w:r>
      <w:r w:rsidR="008C1F3A">
        <w:rPr>
          <w:rFonts w:ascii="Palatino Linotype" w:eastAsia="Palatino Linotype" w:hAnsi="Palatino Linotype" w:cs="Palatino Linotype"/>
          <w:b/>
          <w:color w:val="000000"/>
        </w:rPr>
        <w:t>s</w:t>
      </w:r>
      <w:r w:rsidR="007D35E1">
        <w:rPr>
          <w:rFonts w:ascii="Palatino Linotype" w:eastAsia="Palatino Linotype" w:hAnsi="Palatino Linotype" w:cs="Palatino Linotype"/>
          <w:b/>
          <w:color w:val="000000"/>
        </w:rPr>
        <w:t xml:space="preserve"> en trámite</w:t>
      </w:r>
      <w:r w:rsidR="008C1F3A">
        <w:rPr>
          <w:rFonts w:ascii="Palatino Linotype" w:eastAsia="Palatino Linotype" w:hAnsi="Palatino Linotype" w:cs="Palatino Linotype"/>
          <w:color w:val="000000"/>
        </w:rPr>
        <w:t>, c</w:t>
      </w:r>
      <w:r w:rsidR="00353A15" w:rsidRPr="00F211BD">
        <w:rPr>
          <w:rFonts w:ascii="Palatino Linotype" w:hAnsi="Palatino Linotype" w:cs="Cambria"/>
          <w:color w:val="000000"/>
        </w:rPr>
        <w:t xml:space="preserve">riterio que esta Ponencia no comparte ya que, se considera que </w:t>
      </w:r>
      <w:r w:rsidR="00D6282D" w:rsidRPr="00F211BD">
        <w:rPr>
          <w:rFonts w:ascii="Palatino Linotype" w:hAnsi="Palatino Linotype" w:cs="Cambria"/>
          <w:color w:val="000000"/>
        </w:rPr>
        <w:t xml:space="preserve">también </w:t>
      </w:r>
      <w:r w:rsidR="00353A15" w:rsidRPr="00F211BD">
        <w:rPr>
          <w:rFonts w:ascii="Palatino Linotype" w:hAnsi="Palatino Linotype" w:cs="Cambria"/>
          <w:color w:val="000000"/>
        </w:rPr>
        <w:t xml:space="preserve">debieron ordenarse </w:t>
      </w:r>
      <w:r w:rsidR="00D6282D" w:rsidRPr="00F211BD">
        <w:rPr>
          <w:rFonts w:ascii="Palatino Linotype" w:hAnsi="Palatino Linotype" w:cs="Cambria"/>
          <w:color w:val="000000"/>
        </w:rPr>
        <w:t xml:space="preserve">los procedimientos concluidos, </w:t>
      </w:r>
      <w:r w:rsidR="00353A15" w:rsidRPr="00F211BD">
        <w:rPr>
          <w:rFonts w:ascii="Palatino Linotype" w:hAnsi="Palatino Linotype" w:cs="Cambria"/>
          <w:color w:val="000000"/>
        </w:rPr>
        <w:t>dada  la temporalidad de la información solicitada</w:t>
      </w:r>
      <w:r w:rsidR="008C1F3A">
        <w:rPr>
          <w:rFonts w:ascii="Palatino Linotype" w:hAnsi="Palatino Linotype" w:cs="Cambria"/>
          <w:color w:val="000000"/>
        </w:rPr>
        <w:t>,</w:t>
      </w:r>
      <w:r w:rsidR="00353A15" w:rsidRPr="00F211BD">
        <w:rPr>
          <w:rFonts w:ascii="Palatino Linotype" w:hAnsi="Palatino Linotype" w:cs="Cambria"/>
          <w:color w:val="000000"/>
        </w:rPr>
        <w:t xml:space="preserve"> por lo que  la interpretación que se realiza  a la solicitud, no garantiza un auténtico acceso a la información pública al judicializar la transparencia, ya que no debe olvidarse que el procedimiento de acceso a la información se rige por los principios de auxilio y orientación a los particulares; dicho en otras palabras, </w:t>
      </w:r>
      <w:r w:rsidR="00353A15" w:rsidRPr="00F211BD">
        <w:rPr>
          <w:rFonts w:ascii="Palatino Linotype" w:hAnsi="Palatino Linotype" w:cs="Cambria"/>
          <w:b/>
          <w:color w:val="000000"/>
        </w:rPr>
        <w:t>los solicitantes no están obligados a conocer los términos jurídicos o técnicos del soporte documental al que desean acceder, ni tampoco a ser expertos en materia de transparencia para promover solicitudes de acceso a la información</w:t>
      </w:r>
      <w:r w:rsidR="00353A15" w:rsidRPr="00F211BD">
        <w:rPr>
          <w:rFonts w:ascii="Palatino Linotype" w:hAnsi="Palatino Linotype" w:cs="Cambria"/>
          <w:color w:val="000000"/>
        </w:rPr>
        <w:t>.</w:t>
      </w:r>
    </w:p>
    <w:p w14:paraId="66E227DB" w14:textId="77777777" w:rsidR="00353A15" w:rsidRPr="00F211BD" w:rsidRDefault="00353A15" w:rsidP="00353A15">
      <w:pPr>
        <w:pStyle w:val="Prrafodelista"/>
        <w:tabs>
          <w:tab w:val="left" w:pos="426"/>
        </w:tabs>
        <w:spacing w:line="360" w:lineRule="auto"/>
        <w:ind w:left="0" w:right="51"/>
        <w:jc w:val="both"/>
        <w:rPr>
          <w:rFonts w:ascii="Palatino Linotype" w:hAnsi="Palatino Linotype" w:cs="Cambria"/>
          <w:color w:val="000000"/>
        </w:rPr>
      </w:pPr>
    </w:p>
    <w:p w14:paraId="0D1FF366" w14:textId="77777777" w:rsidR="00353A15" w:rsidRPr="00F211BD" w:rsidRDefault="00353A15" w:rsidP="00353A15">
      <w:pPr>
        <w:pStyle w:val="Prrafodelista"/>
        <w:tabs>
          <w:tab w:val="left" w:pos="426"/>
        </w:tabs>
        <w:spacing w:line="360" w:lineRule="auto"/>
        <w:ind w:left="0" w:right="51"/>
        <w:jc w:val="both"/>
        <w:rPr>
          <w:rFonts w:ascii="Palatino Linotype" w:hAnsi="Palatino Linotype" w:cs="Cambria"/>
          <w:i/>
          <w:color w:val="000000"/>
        </w:rPr>
      </w:pPr>
      <w:r w:rsidRPr="00F211BD">
        <w:rPr>
          <w:rFonts w:ascii="Palatino Linotype" w:hAnsi="Palatino Linotype" w:cs="Cambria"/>
          <w:color w:val="000000"/>
        </w:rPr>
        <w:t>Por tanto, se considera que no se debió analizar la solicitud de información interpretándola a partir de un criterio restrictivo; y considerando la temporalidad señalada, ya que si se solicita información de</w:t>
      </w:r>
      <w:r w:rsidR="005B3E0F" w:rsidRPr="00F211BD">
        <w:rPr>
          <w:rFonts w:ascii="Palatino Linotype" w:hAnsi="Palatino Linotype" w:cs="Cambria"/>
          <w:color w:val="000000"/>
        </w:rPr>
        <w:t>sde</w:t>
      </w:r>
      <w:r w:rsidRPr="00F211BD">
        <w:rPr>
          <w:rFonts w:ascii="Palatino Linotype" w:hAnsi="Palatino Linotype" w:cs="Cambria"/>
          <w:color w:val="000000"/>
        </w:rPr>
        <w:t xml:space="preserve"> 201</w:t>
      </w:r>
      <w:r w:rsidR="008C1F3A">
        <w:rPr>
          <w:rFonts w:ascii="Palatino Linotype" w:hAnsi="Palatino Linotype" w:cs="Cambria"/>
          <w:color w:val="000000"/>
        </w:rPr>
        <w:t>5</w:t>
      </w:r>
      <w:r w:rsidRPr="00F211BD">
        <w:rPr>
          <w:rFonts w:ascii="Palatino Linotype" w:hAnsi="Palatino Linotype" w:cs="Cambria"/>
          <w:color w:val="000000"/>
        </w:rPr>
        <w:t xml:space="preserve">,  los procedimientos solicitados ya podrían estar concluidos, por lo que  lo procedente es atender lo que tratan de decir los solicitantes y no a la literalidad, ya que –se insiste– estos no tienen obligación de ser expertos o conocer a cabalidad los </w:t>
      </w:r>
      <w:r w:rsidR="00D6282D" w:rsidRPr="00F211BD">
        <w:rPr>
          <w:rFonts w:ascii="Palatino Linotype" w:hAnsi="Palatino Linotype" w:cs="Cambria"/>
          <w:color w:val="000000"/>
        </w:rPr>
        <w:t>términos jurídicos</w:t>
      </w:r>
      <w:r w:rsidRPr="00F211BD">
        <w:rPr>
          <w:rFonts w:ascii="Palatino Linotype" w:hAnsi="Palatino Linotype" w:cs="Cambria"/>
          <w:color w:val="000000"/>
        </w:rPr>
        <w:t xml:space="preserve">. Esto incumple el mandato del artículo 6, apartado A, fracción I, de la Constitución que establece que en la interpretación del derecho a la información deberá prevalecer </w:t>
      </w:r>
      <w:r w:rsidRPr="00F211BD">
        <w:rPr>
          <w:rFonts w:ascii="Palatino Linotype" w:hAnsi="Palatino Linotype" w:cs="Cambria"/>
          <w:color w:val="000000"/>
        </w:rPr>
        <w:lastRenderedPageBreak/>
        <w:t>el principio de máxima publicidad; así como lo referido en el artículo 21, de la Ley de Transparencia y Acceso a la Información Pública del Estado de México y Municipios, que estipula que “</w:t>
      </w:r>
      <w:r w:rsidRPr="00F211BD">
        <w:rPr>
          <w:rFonts w:ascii="Palatino Linotype" w:hAnsi="Palatino Linotype" w:cs="Cambria"/>
          <w:i/>
          <w:color w:val="000000"/>
        </w:rPr>
        <w:t>todo procedimiento en materia de derecho de acceso a la información deberá sustanciarse de manera sencilla y expedita, propiciando las condiciones necesarias para que sea accesible a cualquier persona”. (Sic)</w:t>
      </w:r>
    </w:p>
    <w:p w14:paraId="1DC946AE" w14:textId="77777777" w:rsidR="00353A15" w:rsidRPr="00F211BD" w:rsidRDefault="00353A15" w:rsidP="00353A15">
      <w:pPr>
        <w:pStyle w:val="Prrafodelista"/>
        <w:tabs>
          <w:tab w:val="left" w:pos="426"/>
        </w:tabs>
        <w:spacing w:line="360" w:lineRule="auto"/>
        <w:ind w:left="0" w:right="51"/>
        <w:jc w:val="both"/>
        <w:rPr>
          <w:rFonts w:ascii="Palatino Linotype" w:hAnsi="Palatino Linotype" w:cs="Cambria"/>
          <w:color w:val="000000"/>
        </w:rPr>
      </w:pPr>
    </w:p>
    <w:p w14:paraId="4DA944A5" w14:textId="77777777" w:rsidR="00353A15" w:rsidRPr="00F211BD" w:rsidRDefault="00353A15" w:rsidP="00353A15">
      <w:pPr>
        <w:pStyle w:val="Prrafodelista"/>
        <w:tabs>
          <w:tab w:val="left" w:pos="426"/>
        </w:tabs>
        <w:spacing w:line="360" w:lineRule="auto"/>
        <w:ind w:left="0" w:right="51"/>
        <w:jc w:val="both"/>
        <w:rPr>
          <w:rFonts w:ascii="Palatino Linotype" w:hAnsi="Palatino Linotype" w:cs="Cambria"/>
          <w:color w:val="000000"/>
        </w:rPr>
      </w:pPr>
      <w:r w:rsidRPr="00F211BD">
        <w:rPr>
          <w:rFonts w:ascii="Palatino Linotype" w:hAnsi="Palatino Linotype" w:cs="Cambria"/>
          <w:color w:val="000000"/>
        </w:rPr>
        <w:t xml:space="preserve">Postura que se apoya incluso en criterios de la Suprema Corte de Justicia de la Nación y es acorde con el </w:t>
      </w:r>
      <w:r w:rsidRPr="00F211BD">
        <w:rPr>
          <w:rFonts w:ascii="Palatino Linotype" w:hAnsi="Palatino Linotype" w:cs="Cambria"/>
          <w:i/>
          <w:color w:val="000000"/>
        </w:rPr>
        <w:t>principio pro persona</w:t>
      </w:r>
      <w:r w:rsidRPr="00F211BD">
        <w:rPr>
          <w:rFonts w:ascii="Palatino Linotype" w:hAnsi="Palatino Linotype" w:cs="Cambria"/>
          <w:color w:val="000000"/>
        </w:rPr>
        <w:t xml:space="preserve">, previsto en el artículo 1, segundo párrafo, de la Constitución que obliga a todas las autoridades a realizar la interpretación más favorable al titular de derechos humanos. </w:t>
      </w:r>
      <w:r w:rsidRPr="00F211BD">
        <w:rPr>
          <w:rFonts w:ascii="Palatino Linotype" w:hAnsi="Palatino Linotype" w:cs="Cambria"/>
          <w:i/>
          <w:color w:val="000000"/>
        </w:rPr>
        <w:t xml:space="preserve">Máxime </w:t>
      </w:r>
      <w:r w:rsidRPr="00F211BD">
        <w:rPr>
          <w:rFonts w:ascii="Palatino Linotype" w:hAnsi="Palatino Linotype" w:cs="Cambria"/>
          <w:color w:val="000000"/>
        </w:rPr>
        <w:t>que, en este caso, el solicitante aportó elementos suficientes para que fuera atendida su petición de información, no a partir del concepto restringido de “</w:t>
      </w:r>
      <w:r w:rsidR="008C1F3A" w:rsidRPr="008C1F3A">
        <w:rPr>
          <w:i/>
          <w:lang w:val="es-ES_tradnl"/>
        </w:rPr>
        <w:t>personas que se les esta llevando algún procedimiento administrativo</w:t>
      </w:r>
      <w:r w:rsidRPr="008C1F3A">
        <w:rPr>
          <w:rFonts w:ascii="Palatino Linotype" w:hAnsi="Palatino Linotype" w:cs="Cambria"/>
          <w:i/>
          <w:color w:val="000000"/>
        </w:rPr>
        <w:t>”</w:t>
      </w:r>
      <w:r w:rsidRPr="00F211BD">
        <w:rPr>
          <w:rFonts w:ascii="Palatino Linotype" w:hAnsi="Palatino Linotype" w:cs="Cambria"/>
          <w:color w:val="000000"/>
        </w:rPr>
        <w:t xml:space="preserve"> como una etapa del procedimiento administrativo sancionador.</w:t>
      </w:r>
    </w:p>
    <w:p w14:paraId="71BB5A0F" w14:textId="77777777" w:rsidR="00353A15" w:rsidRPr="00F211BD" w:rsidRDefault="00353A15" w:rsidP="00353A15">
      <w:pPr>
        <w:pStyle w:val="Prrafodelista"/>
        <w:tabs>
          <w:tab w:val="left" w:pos="426"/>
        </w:tabs>
        <w:spacing w:line="360" w:lineRule="auto"/>
        <w:ind w:left="0" w:right="51"/>
        <w:jc w:val="both"/>
        <w:rPr>
          <w:rFonts w:ascii="Palatino Linotype" w:hAnsi="Palatino Linotype" w:cs="Cambria"/>
          <w:color w:val="000000"/>
        </w:rPr>
      </w:pPr>
    </w:p>
    <w:p w14:paraId="3B7AF5C6" w14:textId="77777777" w:rsidR="00C255B0" w:rsidRDefault="00C255B0" w:rsidP="00C255B0">
      <w:pPr>
        <w:spacing w:line="360" w:lineRule="auto"/>
        <w:ind w:right="51"/>
        <w:jc w:val="both"/>
        <w:rPr>
          <w:rFonts w:ascii="Palatino Linotype" w:eastAsia="Arial Unicode MS" w:hAnsi="Palatino Linotype" w:cs="Arial"/>
          <w:lang w:val="es-MX"/>
        </w:rPr>
      </w:pPr>
      <w:r>
        <w:rPr>
          <w:rFonts w:ascii="Palatino Linotype" w:eastAsia="Arial Unicode MS" w:hAnsi="Palatino Linotype" w:cs="Arial"/>
        </w:rPr>
        <w:t>Ahora bien, respecto de los expedientes abiertos o en proceso en la Contraloría Municipal es necesario referir que la Ley de Responsabilidades Administrativas faculta a las áreas de dicha contraloría para administrar, generar o poseer los expedientes por responsabilidades administrativas, de acuerdo a los siguientes dispositivos jurídicos:</w:t>
      </w:r>
    </w:p>
    <w:p w14:paraId="77337E60" w14:textId="77777777" w:rsidR="00C255B0" w:rsidRDefault="00C255B0" w:rsidP="00C255B0">
      <w:pPr>
        <w:spacing w:line="360" w:lineRule="auto"/>
        <w:ind w:left="567" w:right="567"/>
        <w:jc w:val="both"/>
        <w:rPr>
          <w:rFonts w:ascii="Palatino Linotype" w:eastAsia="Arial Unicode MS" w:hAnsi="Palatino Linotype" w:cs="Arial"/>
        </w:rPr>
      </w:pPr>
    </w:p>
    <w:p w14:paraId="0D8413BA" w14:textId="77777777" w:rsidR="00C255B0" w:rsidRDefault="00C255B0" w:rsidP="00C255B0">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lang w:val="es-419"/>
        </w:rPr>
        <w:t>“</w:t>
      </w:r>
      <w:r>
        <w:rPr>
          <w:rFonts w:ascii="Palatino Linotype" w:eastAsia="Palatino Linotype" w:hAnsi="Palatino Linotype" w:cs="Palatino Linotype"/>
          <w:i/>
        </w:rPr>
        <w:t xml:space="preserve">Artículo 1. La presente Ley es de orden público y de observancia general en el Estado de México y tiene por objeto distribuir y establecer la competencia de las </w:t>
      </w:r>
      <w:r>
        <w:rPr>
          <w:rFonts w:ascii="Palatino Linotype" w:eastAsia="Palatino Linotype" w:hAnsi="Palatino Linotype" w:cs="Palatino Linotype"/>
          <w:i/>
        </w:rPr>
        <w:lastRenderedPageBreak/>
        <w:t>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14:paraId="1EF57AF3"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A7A6E7B"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Artículo 3. Para los efectos de la presente Ley, se entenderá por:</w:t>
      </w:r>
    </w:p>
    <w:p w14:paraId="55ED32FC" w14:textId="77777777" w:rsidR="00C255B0" w:rsidRDefault="00C255B0" w:rsidP="00C255B0">
      <w:pPr>
        <w:ind w:left="567" w:right="567"/>
        <w:jc w:val="both"/>
        <w:rPr>
          <w:rFonts w:ascii="Palatino Linotype" w:eastAsia="Palatino Linotype" w:hAnsi="Palatino Linotype" w:cs="Palatino Linotype"/>
          <w:i/>
        </w:rPr>
      </w:pPr>
    </w:p>
    <w:p w14:paraId="07C9C045"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Autoridad investigadora:</w:t>
      </w:r>
      <w:r>
        <w:rPr>
          <w:rFonts w:ascii="Palatino Linotype" w:eastAsia="Palatino Linotype" w:hAnsi="Palatino Linotype" w:cs="Palatino Linotype"/>
          <w:i/>
        </w:rPr>
        <w:t xml:space="preserve"> A la autoridad adscrita a la Secretaría de la Contraloría, a los órganos internos de control, al Órgano Superior, así como a las unidades de responsabilidades de las empresas de participación estatal o municipal, encargadas de la investigación de las faltas administrativas.</w:t>
      </w:r>
    </w:p>
    <w:p w14:paraId="61E1DEEC" w14:textId="77777777" w:rsidR="00C255B0" w:rsidRDefault="00C255B0" w:rsidP="00C255B0">
      <w:pPr>
        <w:ind w:left="567" w:right="567"/>
        <w:jc w:val="both"/>
        <w:rPr>
          <w:rFonts w:ascii="Palatino Linotype" w:eastAsia="Palatino Linotype" w:hAnsi="Palatino Linotype" w:cs="Palatino Linotype"/>
          <w:i/>
        </w:rPr>
      </w:pPr>
    </w:p>
    <w:p w14:paraId="3131E4FE"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Autoridad substanciadora:</w:t>
      </w:r>
      <w:r>
        <w:rPr>
          <w:rFonts w:ascii="Palatino Linotype" w:eastAsia="Palatino Linotype" w:hAnsi="Palatino Linotype" w:cs="Palatino Linotype"/>
          <w:i/>
        </w:rPr>
        <w:t xml:space="preserve">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w:t>
      </w:r>
    </w:p>
    <w:p w14:paraId="622AB545" w14:textId="77777777" w:rsidR="00C255B0" w:rsidRDefault="00C255B0" w:rsidP="00C255B0">
      <w:pPr>
        <w:ind w:left="567" w:right="567"/>
        <w:jc w:val="both"/>
        <w:rPr>
          <w:rFonts w:ascii="Palatino Linotype" w:eastAsia="Palatino Linotype" w:hAnsi="Palatino Linotype" w:cs="Palatino Linotype"/>
          <w:i/>
        </w:rPr>
      </w:pPr>
    </w:p>
    <w:p w14:paraId="1B78FF78"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 función de la autoridad substanciadora, en ningún caso podrá ser ejercida por una autoridad investigadora.</w:t>
      </w:r>
    </w:p>
    <w:p w14:paraId="0BED6B8C" w14:textId="77777777" w:rsidR="00C255B0" w:rsidRDefault="00C255B0" w:rsidP="00C255B0">
      <w:pPr>
        <w:ind w:left="567" w:right="567"/>
        <w:jc w:val="both"/>
        <w:rPr>
          <w:rFonts w:ascii="Palatino Linotype" w:eastAsia="Palatino Linotype" w:hAnsi="Palatino Linotype" w:cs="Palatino Linotype"/>
          <w:i/>
        </w:rPr>
      </w:pPr>
    </w:p>
    <w:p w14:paraId="2E43A23E"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Autoridad resolutora:</w:t>
      </w:r>
      <w:r>
        <w:rPr>
          <w:rFonts w:ascii="Palatino Linotype" w:eastAsia="Palatino Linotype" w:hAnsi="Palatino Linotype" w:cs="Palatino Linotype"/>
          <w:i/>
        </w:rPr>
        <w:t xml:space="preserve">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w:t>
      </w:r>
    </w:p>
    <w:p w14:paraId="73B3E9D4" w14:textId="77777777" w:rsidR="00C255B0" w:rsidRDefault="00C255B0" w:rsidP="00C255B0">
      <w:pPr>
        <w:ind w:left="567" w:right="567"/>
        <w:jc w:val="both"/>
        <w:rPr>
          <w:rFonts w:ascii="Palatino Linotype" w:eastAsia="Palatino Linotype" w:hAnsi="Palatino Linotype" w:cs="Palatino Linotype"/>
          <w:i/>
        </w:rPr>
      </w:pPr>
    </w:p>
    <w:p w14:paraId="581E6AE4" w14:textId="77777777" w:rsidR="00C255B0" w:rsidRDefault="00C255B0" w:rsidP="00C255B0">
      <w:pPr>
        <w:ind w:left="567" w:right="567"/>
        <w:jc w:val="both"/>
        <w:rPr>
          <w:rFonts w:ascii="Palatino Linotype" w:eastAsia="Palatino Linotype" w:hAnsi="Palatino Linotype" w:cs="Palatino Linotype"/>
          <w:color w:val="000000"/>
          <w:lang w:val="es-419"/>
        </w:rPr>
      </w:pPr>
      <w:r>
        <w:rPr>
          <w:rFonts w:ascii="Palatino Linotype" w:eastAsia="Palatino Linotype" w:hAnsi="Palatino Linotype" w:cs="Palatino Linotype"/>
          <w:i/>
        </w:rPr>
        <w:t>En el supuesto de faltas administrativas graves, así como para las faltas de particulares lo será el Tribunal.</w:t>
      </w:r>
      <w:r>
        <w:rPr>
          <w:rFonts w:ascii="Palatino Linotype" w:eastAsia="Palatino Linotype" w:hAnsi="Palatino Linotype" w:cs="Palatino Linotype"/>
          <w:i/>
          <w:lang w:val="es-419"/>
        </w:rPr>
        <w:t>”</w:t>
      </w:r>
    </w:p>
    <w:p w14:paraId="21F796DB" w14:textId="77777777" w:rsidR="00C255B0" w:rsidRDefault="00C255B0" w:rsidP="00C255B0">
      <w:pPr>
        <w:spacing w:line="360" w:lineRule="auto"/>
        <w:ind w:right="51"/>
        <w:jc w:val="both"/>
        <w:rPr>
          <w:rFonts w:ascii="Palatino Linotype" w:eastAsia="Arial Unicode MS" w:hAnsi="Palatino Linotype" w:cs="Arial"/>
          <w:lang w:val="es-MX"/>
        </w:rPr>
      </w:pPr>
    </w:p>
    <w:p w14:paraId="326303DC" w14:textId="77777777" w:rsidR="00C255B0" w:rsidRDefault="00C255B0" w:rsidP="00C255B0">
      <w:pPr>
        <w:spacing w:line="360" w:lineRule="auto"/>
        <w:ind w:right="51"/>
        <w:jc w:val="both"/>
        <w:rPr>
          <w:rFonts w:ascii="Palatino Linotype" w:eastAsia="Arial Unicode MS" w:hAnsi="Palatino Linotype" w:cs="Arial"/>
        </w:rPr>
      </w:pPr>
      <w:r>
        <w:rPr>
          <w:rFonts w:ascii="Palatino Linotype" w:eastAsia="Arial Unicode MS" w:hAnsi="Palatino Linotype" w:cs="Arial"/>
        </w:rPr>
        <w:lastRenderedPageBreak/>
        <w:t>De lo anterior se desprende que la Contraloría Municipal tiene competencia para dirigir y conducir el procedimiento de responsabilidades administrativas desde la admisión del informe de presunta responsabilidad administrativa y hasta la conclusión del procedimiento para los casos de faltas administrativas no graves.</w:t>
      </w:r>
    </w:p>
    <w:p w14:paraId="1B97E085" w14:textId="77777777" w:rsidR="00353A15" w:rsidRPr="00F211BD" w:rsidRDefault="00353A15" w:rsidP="00353A15">
      <w:pPr>
        <w:pStyle w:val="Prrafodelista"/>
        <w:tabs>
          <w:tab w:val="left" w:pos="426"/>
        </w:tabs>
        <w:spacing w:line="360" w:lineRule="auto"/>
        <w:ind w:left="0" w:right="51"/>
        <w:jc w:val="both"/>
        <w:rPr>
          <w:rFonts w:ascii="Palatino Linotype" w:hAnsi="Palatino Linotype" w:cs="Cambria"/>
          <w:color w:val="000000"/>
        </w:rPr>
      </w:pPr>
    </w:p>
    <w:p w14:paraId="2C8D20BD" w14:textId="77777777" w:rsidR="00D6282D" w:rsidRDefault="00D6282D" w:rsidP="00D6282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para la entrega de la información solicitada, se debieron observar las reglas que se siguen respecto al acceso a la información concerniente a los expedientes administrativos generados y administrados por la Contraloría Interna, esto es se considera que se debe analizar si los procedimientos de responsabilidades administrativas de los que se solicita </w:t>
      </w:r>
      <w:r>
        <w:rPr>
          <w:rFonts w:ascii="Palatino Linotype" w:eastAsia="Palatino Linotype" w:hAnsi="Palatino Linotype" w:cs="Palatino Linotype"/>
          <w:color w:val="000000"/>
          <w:lang w:val="es-419"/>
        </w:rPr>
        <w:t xml:space="preserve">información </w:t>
      </w:r>
      <w:r>
        <w:rPr>
          <w:rFonts w:ascii="Palatino Linotype" w:eastAsia="Palatino Linotype" w:hAnsi="Palatino Linotype" w:cs="Palatino Linotype"/>
          <w:color w:val="000000"/>
        </w:rPr>
        <w:t>se encuentran en trámite o concluidos, es decir que ya causaron estado, son públicos o reservados, por lo que, se procede a revisar cada supuesto.</w:t>
      </w:r>
    </w:p>
    <w:p w14:paraId="3D2DC502" w14:textId="77777777" w:rsidR="00D6282D" w:rsidRDefault="00D6282D" w:rsidP="00D6282D">
      <w:pPr>
        <w:spacing w:line="360" w:lineRule="auto"/>
        <w:jc w:val="both"/>
        <w:rPr>
          <w:rFonts w:ascii="Palatino Linotype" w:eastAsia="Palatino Linotype" w:hAnsi="Palatino Linotype" w:cs="Palatino Linotype"/>
          <w:color w:val="000000"/>
        </w:rPr>
      </w:pPr>
    </w:p>
    <w:p w14:paraId="1FEBA91B" w14:textId="77777777" w:rsidR="00D6282D" w:rsidRDefault="00D6282D" w:rsidP="00D6282D">
      <w:pPr>
        <w:spacing w:line="360" w:lineRule="auto"/>
        <w:jc w:val="both"/>
        <w:rPr>
          <w:rFonts w:ascii="Palatino Linotype" w:hAnsi="Palatino Linotype" w:cs="Arial"/>
        </w:rPr>
      </w:pPr>
      <w:r>
        <w:rPr>
          <w:rFonts w:ascii="Palatino Linotype" w:eastAsia="Palatino Linotype" w:hAnsi="Palatino Linotype" w:cs="Palatino Linotype"/>
          <w:color w:val="000000"/>
        </w:rPr>
        <w:t xml:space="preserve">Asimismo, se debió analizar la entrega de la información en caso de tratarse  de responsabilidades administrativas graves, administración que también posee y administra el Sujeto Obligado, y que se establecen </w:t>
      </w:r>
      <w:r>
        <w:rPr>
          <w:rFonts w:ascii="Palatino Linotype" w:hAnsi="Palatino Linotype" w:cs="Arial"/>
        </w:rPr>
        <w:t>de conformidad con lo establecido por el artículo 52 de la Ley de Responsabilidades Administrativas del Estado de México y Municipios siendo las siguientes: el cohecho, peculado, 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2EC3404F" w14:textId="77777777" w:rsidR="00D6282D" w:rsidRDefault="00D6282D" w:rsidP="00D6282D">
      <w:pPr>
        <w:autoSpaceDE w:val="0"/>
        <w:autoSpaceDN w:val="0"/>
        <w:adjustRightInd w:val="0"/>
        <w:spacing w:line="360" w:lineRule="auto"/>
        <w:ind w:right="49"/>
        <w:jc w:val="both"/>
        <w:rPr>
          <w:rFonts w:ascii="Palatino Linotype" w:hAnsi="Palatino Linotype" w:cs="Arial"/>
        </w:rPr>
      </w:pPr>
    </w:p>
    <w:p w14:paraId="1386E5D4" w14:textId="77777777" w:rsidR="00D6282D" w:rsidRDefault="00D6282D" w:rsidP="00D6282D">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392BA24D" w14:textId="77777777" w:rsidR="00D6282D" w:rsidRDefault="00D6282D" w:rsidP="00D6282D">
      <w:pPr>
        <w:autoSpaceDE w:val="0"/>
        <w:autoSpaceDN w:val="0"/>
        <w:adjustRightInd w:val="0"/>
        <w:spacing w:line="360" w:lineRule="auto"/>
        <w:ind w:right="49"/>
        <w:jc w:val="both"/>
        <w:rPr>
          <w:rFonts w:ascii="Palatino Linotype" w:hAnsi="Palatino Linotype" w:cs="Arial"/>
        </w:rPr>
      </w:pPr>
    </w:p>
    <w:p w14:paraId="59FE24DC" w14:textId="77777777" w:rsidR="00D6282D" w:rsidRDefault="00D6282D" w:rsidP="00D6282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05D8F14E" w14:textId="77777777" w:rsidR="00353A15" w:rsidRPr="00F211BD" w:rsidRDefault="00353A15" w:rsidP="00353A15">
      <w:pPr>
        <w:pStyle w:val="Prrafodelista"/>
        <w:tabs>
          <w:tab w:val="left" w:pos="426"/>
        </w:tabs>
        <w:spacing w:line="360" w:lineRule="auto"/>
        <w:ind w:left="0" w:right="51"/>
        <w:jc w:val="both"/>
        <w:rPr>
          <w:rFonts w:ascii="Palatino Linotype" w:hAnsi="Palatino Linotype" w:cs="Cambria"/>
          <w:color w:val="000000"/>
        </w:rPr>
      </w:pPr>
    </w:p>
    <w:p w14:paraId="6EADE798" w14:textId="77777777" w:rsidR="00353A15" w:rsidRPr="00F211BD" w:rsidRDefault="00353A15" w:rsidP="00353A15">
      <w:pPr>
        <w:pStyle w:val="Prrafodelista"/>
        <w:tabs>
          <w:tab w:val="left" w:pos="426"/>
        </w:tabs>
        <w:spacing w:line="360" w:lineRule="auto"/>
        <w:ind w:left="0" w:right="51"/>
        <w:jc w:val="both"/>
        <w:rPr>
          <w:rFonts w:ascii="Palatino Linotype" w:hAnsi="Palatino Linotype" w:cs="Cambria"/>
          <w:color w:val="000000"/>
        </w:rPr>
      </w:pPr>
      <w:r w:rsidRPr="00F211BD">
        <w:rPr>
          <w:rFonts w:ascii="Palatino Linotype" w:hAnsi="Palatino Linotype" w:cs="Cambria"/>
          <w:color w:val="000000"/>
        </w:rPr>
        <w:t>Lo anterior,  aunado a la importancia de transparentar temas de rendición de cuentas como acontece en la especie, toda vez que las decisiones que se tomen por parte del gobierno forzosamente deben estar al alcance de los ciudadanos de una manera accesible, clara y veraz, lo que coadyuva y favorece a la constante vigilancia de los recursos públicos y que estos se ejerzan en estricto apego a la ley.</w:t>
      </w:r>
    </w:p>
    <w:p w14:paraId="209A9D25" w14:textId="77777777" w:rsidR="00353A15" w:rsidRPr="00F211BD" w:rsidRDefault="00353A15" w:rsidP="00353A15">
      <w:pPr>
        <w:pStyle w:val="Prrafodelista"/>
        <w:tabs>
          <w:tab w:val="left" w:pos="426"/>
        </w:tabs>
        <w:spacing w:line="360" w:lineRule="auto"/>
        <w:ind w:left="0" w:right="51"/>
        <w:jc w:val="both"/>
        <w:rPr>
          <w:rFonts w:ascii="Palatino Linotype" w:hAnsi="Palatino Linotype" w:cs="Cambria"/>
          <w:color w:val="000000"/>
        </w:rPr>
      </w:pPr>
    </w:p>
    <w:p w14:paraId="668B4FB5" w14:textId="77777777" w:rsidR="00353A15" w:rsidRPr="00F211BD" w:rsidRDefault="00353A15" w:rsidP="00353A15">
      <w:pPr>
        <w:pStyle w:val="NormalWeb"/>
        <w:shd w:val="clear" w:color="auto" w:fill="FFFFFF"/>
        <w:spacing w:before="0" w:beforeAutospacing="0" w:after="0" w:afterAutospacing="0" w:line="360" w:lineRule="auto"/>
        <w:jc w:val="both"/>
        <w:rPr>
          <w:rFonts w:ascii="Palatino Linotype" w:hAnsi="Palatino Linotype" w:cs="Cambria"/>
          <w:color w:val="000000"/>
        </w:rPr>
      </w:pPr>
      <w:r w:rsidRPr="00F211BD">
        <w:rPr>
          <w:rFonts w:ascii="Palatino Linotype" w:hAnsi="Palatino Linotype" w:cs="Cambria"/>
          <w:color w:val="000000"/>
        </w:rPr>
        <w:t xml:space="preserve">Así, en la medida en la que un municipio sea transparente y rinda cuentas sobre el ejercicio del gasto público, entonces generará mayor confianza entre los ciudadanos, generando un incentivo para el pago de impuestos, ya que a mayor </w:t>
      </w:r>
      <w:r w:rsidRPr="00F211BD">
        <w:rPr>
          <w:rFonts w:ascii="Palatino Linotype" w:hAnsi="Palatino Linotype" w:cs="Cambria"/>
          <w:color w:val="000000"/>
        </w:rPr>
        <w:lastRenderedPageBreak/>
        <w:t>vigilancia y propuesta ciudadana, los gobiernos están sujetos a tener un gasto eficiente con menos posibilidades de corrupción, por lo que la fiscalización de los recursos que integran la hacienda pública de los municipios es primordial.</w:t>
      </w:r>
    </w:p>
    <w:p w14:paraId="097DC699" w14:textId="77777777" w:rsidR="00353A15" w:rsidRPr="00F211BD" w:rsidRDefault="00353A15" w:rsidP="00353A15">
      <w:pPr>
        <w:pStyle w:val="NormalWeb"/>
        <w:shd w:val="clear" w:color="auto" w:fill="FFFFFF"/>
        <w:spacing w:before="0" w:beforeAutospacing="0" w:after="0" w:afterAutospacing="0" w:line="360" w:lineRule="auto"/>
        <w:jc w:val="both"/>
        <w:rPr>
          <w:rFonts w:ascii="Palatino Linotype" w:hAnsi="Palatino Linotype" w:cs="Cambria"/>
          <w:color w:val="000000"/>
        </w:rPr>
      </w:pPr>
    </w:p>
    <w:p w14:paraId="39388804" w14:textId="77777777" w:rsidR="00353A15" w:rsidRPr="00F211BD" w:rsidRDefault="00353A15" w:rsidP="00353A15">
      <w:pPr>
        <w:spacing w:line="360" w:lineRule="auto"/>
        <w:jc w:val="both"/>
        <w:rPr>
          <w:rFonts w:ascii="Palatino Linotype" w:hAnsi="Palatino Linotype" w:cs="Cambria"/>
          <w:b/>
          <w:color w:val="000000"/>
          <w:lang w:val="es-MX"/>
        </w:rPr>
      </w:pPr>
      <w:r w:rsidRPr="00F211BD">
        <w:rPr>
          <w:rFonts w:ascii="Palatino Linotype" w:hAnsi="Palatino Linotype" w:cs="Cambria"/>
          <w:b/>
          <w:color w:val="000000"/>
        </w:rPr>
        <w:t>CONCLUSION:</w:t>
      </w:r>
    </w:p>
    <w:p w14:paraId="48C6D047" w14:textId="77777777" w:rsidR="00353A15" w:rsidRPr="00F211BD" w:rsidRDefault="00353A15" w:rsidP="00353A15">
      <w:pPr>
        <w:spacing w:line="360" w:lineRule="auto"/>
        <w:jc w:val="both"/>
        <w:rPr>
          <w:rFonts w:ascii="Palatino Linotype" w:hAnsi="Palatino Linotype" w:cs="Cambria"/>
          <w:b/>
          <w:color w:val="000000"/>
        </w:rPr>
      </w:pPr>
    </w:p>
    <w:p w14:paraId="0E3110EF" w14:textId="77777777" w:rsidR="00353A15" w:rsidRPr="00F211BD" w:rsidRDefault="00353A15" w:rsidP="00353A15">
      <w:pPr>
        <w:spacing w:line="360" w:lineRule="auto"/>
        <w:jc w:val="both"/>
        <w:rPr>
          <w:rFonts w:ascii="Palatino Linotype" w:hAnsi="Palatino Linotype" w:cs="Cambria"/>
          <w:color w:val="000000"/>
        </w:rPr>
      </w:pPr>
      <w:r w:rsidRPr="00F211BD">
        <w:rPr>
          <w:rFonts w:ascii="Palatino Linotype" w:hAnsi="Palatino Linotype" w:cs="Cambria"/>
          <w:color w:val="000000"/>
        </w:rPr>
        <w:t>No se debió analizar la solicitud de información interpretándola a partir de un criterio restrictivo, ya que  lo solicitado corresponde a información de carácter de interés público al versar sobre rendición de cuentas, que constituye una herramienta para fortalecer la democracia y credibilidad de los ciudadanos en sus autoridades, siempre y cuando éstas informen de manera clara sobre sus decisiones y justifiquen las acciones emprendidas, con el acompañamiento de mecanismos de control y sanción para quienes no se conduzcan de acuerdo a la Ley.</w:t>
      </w:r>
    </w:p>
    <w:p w14:paraId="0B634BD6" w14:textId="77777777" w:rsidR="00353A15" w:rsidRPr="00F211BD" w:rsidRDefault="00353A15" w:rsidP="00353A15">
      <w:pPr>
        <w:spacing w:line="360" w:lineRule="auto"/>
        <w:jc w:val="both"/>
        <w:rPr>
          <w:rFonts w:ascii="Palatino Linotype" w:hAnsi="Palatino Linotype" w:cs="Cambria"/>
          <w:color w:val="000000"/>
        </w:rPr>
      </w:pPr>
    </w:p>
    <w:p w14:paraId="7B610E41" w14:textId="77777777" w:rsidR="00353A15" w:rsidRPr="00F211BD" w:rsidRDefault="00353A15" w:rsidP="00353A15">
      <w:pPr>
        <w:spacing w:line="360" w:lineRule="auto"/>
        <w:jc w:val="both"/>
        <w:rPr>
          <w:rFonts w:ascii="Palatino Linotype" w:hAnsi="Palatino Linotype" w:cs="Cambria"/>
          <w:color w:val="000000"/>
        </w:rPr>
      </w:pPr>
      <w:r w:rsidRPr="00F211BD">
        <w:rPr>
          <w:rFonts w:ascii="Palatino Linotype" w:hAnsi="Palatino Linotype" w:cs="Cambria"/>
          <w:color w:val="000000"/>
        </w:rPr>
        <w:t xml:space="preserve">La transparencia, la rendición de cuentas, el orden, el control y el combate a la corrupción, son principios de actuación cotidiana con sustento legal en su aplicación, los cuales se instituyen en prácticas de gobierno que gozan de amplio reconocimiento. </w:t>
      </w:r>
    </w:p>
    <w:p w14:paraId="556CD8AF" w14:textId="77777777" w:rsidR="00353A15" w:rsidRPr="00F211BD" w:rsidRDefault="00353A15" w:rsidP="00353A15">
      <w:pPr>
        <w:spacing w:line="360" w:lineRule="auto"/>
        <w:jc w:val="both"/>
        <w:rPr>
          <w:rFonts w:ascii="Palatino Linotype" w:hAnsi="Palatino Linotype" w:cs="Cambria"/>
          <w:color w:val="000000"/>
        </w:rPr>
      </w:pPr>
    </w:p>
    <w:p w14:paraId="4BC1A231" w14:textId="77777777" w:rsidR="00D96441" w:rsidRPr="00F211BD" w:rsidRDefault="00353A15" w:rsidP="00353A15">
      <w:pPr>
        <w:autoSpaceDE w:val="0"/>
        <w:autoSpaceDN w:val="0"/>
        <w:adjustRightInd w:val="0"/>
        <w:spacing w:line="360" w:lineRule="auto"/>
        <w:ind w:right="49"/>
        <w:jc w:val="both"/>
        <w:rPr>
          <w:rFonts w:ascii="Palatino Linotype" w:eastAsia="Cambria" w:hAnsi="Palatino Linotype" w:cs="Tahoma"/>
          <w:bCs/>
          <w:iCs/>
          <w:color w:val="000000"/>
          <w:szCs w:val="22"/>
        </w:rPr>
      </w:pPr>
      <w:r w:rsidRPr="00F211BD">
        <w:rPr>
          <w:rFonts w:ascii="Palatino Linotype" w:hAnsi="Palatino Linotype" w:cs="Cambria"/>
          <w:color w:val="000000"/>
        </w:rPr>
        <w:t xml:space="preserve">La adopción de estos principios por quienes conforman la administración debe estar respaldada por el reconocimiento de la situación actual que guarda la entidad; sólo a partir de ello será posible identificar las causas y las alternativas de </w:t>
      </w:r>
      <w:r w:rsidRPr="00F211BD">
        <w:rPr>
          <w:rFonts w:ascii="Palatino Linotype" w:hAnsi="Palatino Linotype" w:cs="Cambria"/>
          <w:color w:val="000000"/>
        </w:rPr>
        <w:lastRenderedPageBreak/>
        <w:t>acción para la consolidación de la tarea mencionada. Atento a lo anterior, se expone razones suficientes para la emisión y presentación del presente Voto.</w:t>
      </w:r>
    </w:p>
    <w:p w14:paraId="5E780BDD" w14:textId="77777777" w:rsidR="00864A74" w:rsidRPr="00F211BD" w:rsidRDefault="00864A74" w:rsidP="00D96441">
      <w:pPr>
        <w:autoSpaceDE w:val="0"/>
        <w:autoSpaceDN w:val="0"/>
        <w:adjustRightInd w:val="0"/>
        <w:spacing w:line="360" w:lineRule="auto"/>
        <w:ind w:right="49"/>
        <w:jc w:val="both"/>
        <w:rPr>
          <w:rFonts w:ascii="Palatino Linotype" w:eastAsia="Cambria" w:hAnsi="Palatino Linotype" w:cs="Tahoma"/>
          <w:bCs/>
          <w:iCs/>
          <w:color w:val="000000"/>
          <w:szCs w:val="22"/>
        </w:rPr>
      </w:pPr>
    </w:p>
    <w:p w14:paraId="3E6C03DD" w14:textId="77777777" w:rsidR="00864A74" w:rsidRPr="00F211BD" w:rsidRDefault="00864A74" w:rsidP="00D96441">
      <w:pPr>
        <w:autoSpaceDE w:val="0"/>
        <w:autoSpaceDN w:val="0"/>
        <w:adjustRightInd w:val="0"/>
        <w:spacing w:line="360" w:lineRule="auto"/>
        <w:ind w:right="49"/>
        <w:jc w:val="both"/>
        <w:rPr>
          <w:rFonts w:ascii="Palatino Linotype" w:eastAsia="Cambria" w:hAnsi="Palatino Linotype" w:cs="Tahoma"/>
          <w:bCs/>
          <w:iCs/>
          <w:color w:val="000000"/>
          <w:szCs w:val="22"/>
        </w:rPr>
      </w:pPr>
    </w:p>
    <w:p w14:paraId="50DD0250" w14:textId="77777777" w:rsidR="00864A74" w:rsidRDefault="00864A74" w:rsidP="00D96441">
      <w:pPr>
        <w:autoSpaceDE w:val="0"/>
        <w:autoSpaceDN w:val="0"/>
        <w:adjustRightInd w:val="0"/>
        <w:spacing w:line="360" w:lineRule="auto"/>
        <w:ind w:right="49"/>
        <w:jc w:val="both"/>
        <w:rPr>
          <w:rFonts w:ascii="Palatino Linotype" w:hAnsi="Palatino Linotype" w:cs="Arial"/>
        </w:rPr>
      </w:pPr>
    </w:p>
    <w:p w14:paraId="49AE8669" w14:textId="77777777" w:rsidR="00CF3F65" w:rsidRDefault="00CF3F65" w:rsidP="00CF3F65">
      <w:pPr>
        <w:spacing w:line="360" w:lineRule="auto"/>
        <w:rPr>
          <w:rFonts w:ascii="Palatino Linotype" w:hAnsi="Palatino Linotype"/>
        </w:rPr>
      </w:pPr>
    </w:p>
    <w:p w14:paraId="476751B2" w14:textId="77777777" w:rsidR="00CF3F65" w:rsidRDefault="00CF3F65" w:rsidP="00CF3F65">
      <w:pPr>
        <w:spacing w:line="360" w:lineRule="auto"/>
        <w:rPr>
          <w:rFonts w:ascii="Palatino Linotype" w:hAnsi="Palatino Linotype"/>
        </w:rPr>
      </w:pPr>
    </w:p>
    <w:p w14:paraId="61B5F48D" w14:textId="77777777" w:rsidR="00CF3F65" w:rsidRDefault="00CF3F65" w:rsidP="00CF3F65">
      <w:pPr>
        <w:spacing w:line="360" w:lineRule="auto"/>
        <w:rPr>
          <w:rFonts w:ascii="Palatino Linotype" w:hAnsi="Palatino Linotype"/>
        </w:rPr>
      </w:pPr>
    </w:p>
    <w:p w14:paraId="1C73ABBA" w14:textId="77777777" w:rsidR="00CF3F65" w:rsidRDefault="00CF3F65" w:rsidP="00CF3F65">
      <w:pPr>
        <w:spacing w:line="360" w:lineRule="auto"/>
        <w:rPr>
          <w:rFonts w:ascii="Palatino Linotype" w:hAnsi="Palatino Linotype"/>
        </w:rPr>
      </w:pPr>
    </w:p>
    <w:p w14:paraId="1C8FC4A1" w14:textId="77777777" w:rsidR="00CF3F65" w:rsidRDefault="00CF3F65" w:rsidP="00CF3F65">
      <w:pPr>
        <w:spacing w:line="360" w:lineRule="auto"/>
        <w:rPr>
          <w:rFonts w:ascii="Palatino Linotype" w:hAnsi="Palatino Linotype"/>
        </w:rPr>
      </w:pPr>
    </w:p>
    <w:p w14:paraId="527727F5" w14:textId="77777777" w:rsidR="00CF3F65" w:rsidRDefault="00CF3F65" w:rsidP="00CF3F65">
      <w:pPr>
        <w:spacing w:line="360" w:lineRule="auto"/>
        <w:rPr>
          <w:rFonts w:ascii="Palatino Linotype" w:hAnsi="Palatino Linotype"/>
        </w:rPr>
      </w:pPr>
    </w:p>
    <w:p w14:paraId="4044C92E" w14:textId="77777777" w:rsidR="00CF3F65" w:rsidRDefault="00CF3F65" w:rsidP="00CF3F65">
      <w:pPr>
        <w:spacing w:line="360" w:lineRule="auto"/>
        <w:rPr>
          <w:rFonts w:ascii="Palatino Linotype" w:hAnsi="Palatino Linotype"/>
        </w:rPr>
      </w:pPr>
    </w:p>
    <w:p w14:paraId="29E6C81F"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08E6" w14:textId="77777777" w:rsidR="001B2480" w:rsidRDefault="001B2480" w:rsidP="00C80F8C">
      <w:r>
        <w:separator/>
      </w:r>
    </w:p>
  </w:endnote>
  <w:endnote w:type="continuationSeparator" w:id="0">
    <w:p w14:paraId="25BE7382" w14:textId="77777777" w:rsidR="001B2480" w:rsidRDefault="001B248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B634" w14:textId="77777777" w:rsidR="006F30F8" w:rsidRDefault="006F30F8" w:rsidP="006F30F8">
    <w:pPr>
      <w:pStyle w:val="Piedepgina"/>
      <w:ind w:firstLine="708"/>
    </w:pPr>
  </w:p>
  <w:p w14:paraId="6EB8A92D" w14:textId="77777777" w:rsidR="006F30F8" w:rsidRDefault="006F30F8" w:rsidP="006F30F8">
    <w:pPr>
      <w:pStyle w:val="Piedepgina"/>
      <w:ind w:firstLine="708"/>
    </w:pPr>
  </w:p>
  <w:p w14:paraId="3D3F1DB5" w14:textId="77777777" w:rsidR="006F30F8" w:rsidRDefault="006F30F8" w:rsidP="006F30F8">
    <w:pPr>
      <w:pStyle w:val="Piedepgina"/>
      <w:ind w:firstLine="708"/>
    </w:pPr>
  </w:p>
  <w:p w14:paraId="3963740F" w14:textId="77777777" w:rsidR="006F30F8" w:rsidRDefault="006F30F8" w:rsidP="006F30F8">
    <w:pPr>
      <w:pStyle w:val="Piedepgina"/>
      <w:ind w:firstLine="708"/>
    </w:pPr>
  </w:p>
  <w:p w14:paraId="37682BFB"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D11E7" w14:textId="77777777" w:rsidR="001B2480" w:rsidRDefault="001B2480" w:rsidP="00C80F8C">
      <w:r>
        <w:separator/>
      </w:r>
    </w:p>
  </w:footnote>
  <w:footnote w:type="continuationSeparator" w:id="0">
    <w:p w14:paraId="3E96307A" w14:textId="77777777" w:rsidR="001B2480" w:rsidRDefault="001B2480"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D253" w14:textId="77777777" w:rsidR="001112E6" w:rsidRDefault="0086437A">
    <w:pPr>
      <w:pStyle w:val="Encabezado"/>
    </w:pPr>
    <w:r>
      <w:rPr>
        <w:noProof/>
      </w:rPr>
      <w:pict w14:anchorId="53E78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8240;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9DF3" w14:textId="0B5717FB" w:rsidR="00F47FB5" w:rsidRPr="00754FF0" w:rsidRDefault="00247DC8" w:rsidP="00F47FB5">
    <w:pPr>
      <w:pStyle w:val="Encabezado"/>
      <w:tabs>
        <w:tab w:val="clear" w:pos="4252"/>
        <w:tab w:val="clear" w:pos="8504"/>
        <w:tab w:val="left" w:pos="2326"/>
      </w:tabs>
      <w:ind w:left="2835"/>
      <w:rPr>
        <w:rFonts w:ascii="Palatino Linotype" w:hAnsi="Palatino Linotype"/>
      </w:rPr>
    </w:pPr>
    <w:r>
      <w:rPr>
        <w:noProof/>
      </w:rPr>
      <w:drawing>
        <wp:anchor distT="0" distB="0" distL="114300" distR="114300" simplePos="0" relativeHeight="251656192" behindDoc="1" locked="0" layoutInCell="1" allowOverlap="1" wp14:anchorId="74CC2AAE" wp14:editId="655BBC63">
          <wp:simplePos x="0" y="0"/>
          <wp:positionH relativeFrom="column">
            <wp:posOffset>-1327785</wp:posOffset>
          </wp:positionH>
          <wp:positionV relativeFrom="paragraph">
            <wp:posOffset>-354330</wp:posOffset>
          </wp:positionV>
          <wp:extent cx="7604125" cy="9903460"/>
          <wp:effectExtent l="0" t="0" r="0" b="0"/>
          <wp:wrapNone/>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125" cy="9903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6437A" w:rsidRPr="00F211BD">
      <w:rPr>
        <w:noProof/>
      </w:rPr>
      <w:pict w14:anchorId="578E5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721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sidRPr="00754FF0">
      <w:rPr>
        <w:rFonts w:ascii="Palatino Linotype" w:hAnsi="Palatino Linotype" w:cs="Tahoma"/>
        <w:b/>
      </w:rPr>
      <w:t>Voto Particular</w:t>
    </w:r>
  </w:p>
  <w:p w14:paraId="25FD6E03" w14:textId="77777777" w:rsidR="009754A8" w:rsidRDefault="00F47FB5" w:rsidP="00864A74">
    <w:pPr>
      <w:pStyle w:val="Encabezado"/>
      <w:ind w:left="2835" w:right="-250"/>
      <w:rPr>
        <w:rFonts w:ascii="Palatino Linotype" w:hAnsi="Palatino Linotype" w:cs="Arial"/>
        <w:b/>
        <w:bCs/>
        <w:lang w:eastAsia="es-MX"/>
      </w:rPr>
    </w:pPr>
    <w:r w:rsidRPr="00754FF0">
      <w:rPr>
        <w:rFonts w:ascii="Palatino Linotype" w:hAnsi="Palatino Linotype" w:cs="Tahoma"/>
        <w:b/>
      </w:rPr>
      <w:t xml:space="preserve">Recurso de Revisión: </w:t>
    </w:r>
    <w:r w:rsidR="009754A8">
      <w:rPr>
        <w:rFonts w:ascii="Palatino Linotype" w:hAnsi="Palatino Linotype" w:cs="Arial"/>
        <w:b/>
        <w:bCs/>
        <w:lang w:eastAsia="es-MX"/>
      </w:rPr>
      <w:t>2705/INFOEM/IP/RR/2023</w:t>
    </w:r>
  </w:p>
  <w:p w14:paraId="067230CD" w14:textId="77777777" w:rsidR="00634485" w:rsidRDefault="00F47FB5" w:rsidP="00864A74">
    <w:pPr>
      <w:pStyle w:val="Encabezado"/>
      <w:ind w:left="2835" w:right="-250"/>
    </w:pPr>
    <w:r w:rsidRPr="00754FF0">
      <w:rPr>
        <w:rFonts w:ascii="Palatino Linotype" w:hAnsi="Palatino Linotype" w:cs="Tahoma"/>
        <w:b/>
      </w:rPr>
      <w:t>Sujeto Obligado:</w:t>
    </w:r>
    <w:r w:rsidRPr="00754FF0">
      <w:rPr>
        <w:rFonts w:ascii="Palatino Linotype" w:eastAsia="Palatino Linotype" w:hAnsi="Palatino Linotype" w:cs="Palatino Linotype"/>
        <w:b/>
      </w:rPr>
      <w:t xml:space="preserve"> </w:t>
    </w:r>
    <w:r w:rsidR="009754A8">
      <w:rPr>
        <w:rFonts w:ascii="Palatino Linotype" w:hAnsi="Palatino Linotype" w:cs="Arial"/>
        <w:b/>
        <w:bCs/>
      </w:rPr>
      <w:t>Ayuntamiento de Nicolás Romero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C13B" w14:textId="77777777" w:rsidR="001112E6" w:rsidRDefault="0086437A">
    <w:pPr>
      <w:pStyle w:val="Encabezado"/>
    </w:pPr>
    <w:r>
      <w:rPr>
        <w:noProof/>
      </w:rPr>
      <w:pict w14:anchorId="09D73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926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B43"/>
    <w:multiLevelType w:val="hybridMultilevel"/>
    <w:tmpl w:val="C314800C"/>
    <w:lvl w:ilvl="0" w:tplc="C0C243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D745A45"/>
    <w:multiLevelType w:val="multilevel"/>
    <w:tmpl w:val="948E8CBA"/>
    <w:lvl w:ilvl="0">
      <w:start w:val="1"/>
      <w:numFmt w:val="decimal"/>
      <w:lvlText w:val="%1."/>
      <w:lvlJc w:val="left"/>
      <w:pPr>
        <w:ind w:left="720" w:hanging="360"/>
      </w:pPr>
      <w:rPr>
        <w:rFonts w:ascii="Palatino Linotype" w:eastAsia="Palatino Linotype" w:hAnsi="Palatino Linotype" w:cs="Palatino Linotype"/>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0EC35CB"/>
    <w:multiLevelType w:val="hybridMultilevel"/>
    <w:tmpl w:val="DC1A8FC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5F723D2"/>
    <w:multiLevelType w:val="multilevel"/>
    <w:tmpl w:val="BDE6B3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D00FE9"/>
    <w:multiLevelType w:val="hybridMultilevel"/>
    <w:tmpl w:val="39AAAC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20"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10510C"/>
    <w:multiLevelType w:val="hybridMultilevel"/>
    <w:tmpl w:val="A0BAAABA"/>
    <w:lvl w:ilvl="0" w:tplc="ABA677E8">
      <w:start w:val="1"/>
      <w:numFmt w:val="decimal"/>
      <w:lvlText w:val="%1."/>
      <w:lvlJc w:val="left"/>
      <w:pPr>
        <w:ind w:left="720" w:hanging="360"/>
      </w:pPr>
      <w:rPr>
        <w:rFonts w:ascii="Palatino Linotype" w:eastAsia="Cambria"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EA4F9B"/>
    <w:multiLevelType w:val="multilevel"/>
    <w:tmpl w:val="5F1E8898"/>
    <w:lvl w:ilvl="0">
      <w:start w:val="1"/>
      <w:numFmt w:val="decimal"/>
      <w:pStyle w:val="Listaconvietas3"/>
      <w:lvlText w:val="%1."/>
      <w:lvlJc w:val="left"/>
      <w:pPr>
        <w:ind w:left="720" w:hanging="360"/>
      </w:pPr>
      <w:rPr>
        <w:rFonts w:ascii="Palatino Linotype" w:eastAsia="Palatino Linotype" w:hAnsi="Palatino Linotype" w:cs="Palatino Linotype"/>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7"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0"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99346778">
    <w:abstractNumId w:val="4"/>
  </w:num>
  <w:num w:numId="2" w16cid:durableId="1007824604">
    <w:abstractNumId w:val="37"/>
  </w:num>
  <w:num w:numId="3" w16cid:durableId="1852604144">
    <w:abstractNumId w:val="12"/>
  </w:num>
  <w:num w:numId="4" w16cid:durableId="9911849">
    <w:abstractNumId w:val="16"/>
  </w:num>
  <w:num w:numId="5" w16cid:durableId="1804155958">
    <w:abstractNumId w:val="30"/>
  </w:num>
  <w:num w:numId="6" w16cid:durableId="558519653">
    <w:abstractNumId w:val="28"/>
  </w:num>
  <w:num w:numId="7" w16cid:durableId="1407679148">
    <w:abstractNumId w:val="24"/>
  </w:num>
  <w:num w:numId="8" w16cid:durableId="1566795795">
    <w:abstractNumId w:val="33"/>
  </w:num>
  <w:num w:numId="9" w16cid:durableId="2117211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91396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966504">
    <w:abstractNumId w:val="13"/>
  </w:num>
  <w:num w:numId="12" w16cid:durableId="1063941319">
    <w:abstractNumId w:val="34"/>
  </w:num>
  <w:num w:numId="13" w16cid:durableId="926227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3058967">
    <w:abstractNumId w:val="27"/>
  </w:num>
  <w:num w:numId="15" w16cid:durableId="1648822966">
    <w:abstractNumId w:val="20"/>
  </w:num>
  <w:num w:numId="16" w16cid:durableId="5215541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7401068">
    <w:abstractNumId w:val="29"/>
  </w:num>
  <w:num w:numId="18" w16cid:durableId="1324817261">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7813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4721150">
    <w:abstractNumId w:val="22"/>
  </w:num>
  <w:num w:numId="21" w16cid:durableId="1243642154">
    <w:abstractNumId w:val="21"/>
  </w:num>
  <w:num w:numId="22" w16cid:durableId="295022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3847094">
    <w:abstractNumId w:val="11"/>
  </w:num>
  <w:num w:numId="24" w16cid:durableId="11154421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0362452">
    <w:abstractNumId w:val="6"/>
  </w:num>
  <w:num w:numId="26" w16cid:durableId="818571616">
    <w:abstractNumId w:val="35"/>
  </w:num>
  <w:num w:numId="27" w16cid:durableId="1451047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0497522">
    <w:abstractNumId w:val="25"/>
  </w:num>
  <w:num w:numId="29" w16cid:durableId="1469201855">
    <w:abstractNumId w:val="29"/>
  </w:num>
  <w:num w:numId="30" w16cid:durableId="3925119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1265318">
    <w:abstractNumId w:val="18"/>
  </w:num>
  <w:num w:numId="32" w16cid:durableId="133526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76929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835218">
    <w:abstractNumId w:val="18"/>
  </w:num>
  <w:num w:numId="35" w16cid:durableId="1050612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41038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1886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6902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247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7478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C8"/>
    <w:rsid w:val="0003360D"/>
    <w:rsid w:val="00043D11"/>
    <w:rsid w:val="000477D4"/>
    <w:rsid w:val="00053C6B"/>
    <w:rsid w:val="00055D60"/>
    <w:rsid w:val="00061126"/>
    <w:rsid w:val="000802DC"/>
    <w:rsid w:val="0008542A"/>
    <w:rsid w:val="000B37D9"/>
    <w:rsid w:val="000B3FFD"/>
    <w:rsid w:val="000C43E5"/>
    <w:rsid w:val="000C4453"/>
    <w:rsid w:val="000D656A"/>
    <w:rsid w:val="00105578"/>
    <w:rsid w:val="001112E6"/>
    <w:rsid w:val="00115E7A"/>
    <w:rsid w:val="00135555"/>
    <w:rsid w:val="0018216B"/>
    <w:rsid w:val="001960A5"/>
    <w:rsid w:val="001B2480"/>
    <w:rsid w:val="001B3D11"/>
    <w:rsid w:val="001C7B07"/>
    <w:rsid w:val="0020666A"/>
    <w:rsid w:val="00216C06"/>
    <w:rsid w:val="002378AC"/>
    <w:rsid w:val="00247DC8"/>
    <w:rsid w:val="00266831"/>
    <w:rsid w:val="00284217"/>
    <w:rsid w:val="00294490"/>
    <w:rsid w:val="002A4C3F"/>
    <w:rsid w:val="002D5B21"/>
    <w:rsid w:val="002E7D97"/>
    <w:rsid w:val="003026CE"/>
    <w:rsid w:val="00312863"/>
    <w:rsid w:val="00326EEA"/>
    <w:rsid w:val="003338BC"/>
    <w:rsid w:val="003448FB"/>
    <w:rsid w:val="00353A15"/>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B05D8"/>
    <w:rsid w:val="005B3E0F"/>
    <w:rsid w:val="005C0271"/>
    <w:rsid w:val="005C481C"/>
    <w:rsid w:val="005C4ADA"/>
    <w:rsid w:val="005C59B8"/>
    <w:rsid w:val="005D1946"/>
    <w:rsid w:val="005F3A48"/>
    <w:rsid w:val="00615B7E"/>
    <w:rsid w:val="00621357"/>
    <w:rsid w:val="00634485"/>
    <w:rsid w:val="00665800"/>
    <w:rsid w:val="0067340C"/>
    <w:rsid w:val="00676638"/>
    <w:rsid w:val="0068101D"/>
    <w:rsid w:val="00685B0E"/>
    <w:rsid w:val="006A7AB7"/>
    <w:rsid w:val="006B2674"/>
    <w:rsid w:val="006E6389"/>
    <w:rsid w:val="006F0A6E"/>
    <w:rsid w:val="006F30F8"/>
    <w:rsid w:val="00701B9E"/>
    <w:rsid w:val="0071093C"/>
    <w:rsid w:val="00736C06"/>
    <w:rsid w:val="00754FF0"/>
    <w:rsid w:val="00760037"/>
    <w:rsid w:val="007617C8"/>
    <w:rsid w:val="00762C20"/>
    <w:rsid w:val="007A0EB7"/>
    <w:rsid w:val="007A1C9F"/>
    <w:rsid w:val="007B1CFA"/>
    <w:rsid w:val="007B578D"/>
    <w:rsid w:val="007C0652"/>
    <w:rsid w:val="007C766E"/>
    <w:rsid w:val="007D35E1"/>
    <w:rsid w:val="007D4251"/>
    <w:rsid w:val="007D46B1"/>
    <w:rsid w:val="007D49CE"/>
    <w:rsid w:val="007E2D4F"/>
    <w:rsid w:val="007E70F8"/>
    <w:rsid w:val="00812F10"/>
    <w:rsid w:val="00820022"/>
    <w:rsid w:val="00820034"/>
    <w:rsid w:val="00825202"/>
    <w:rsid w:val="0083108D"/>
    <w:rsid w:val="00861117"/>
    <w:rsid w:val="00861A61"/>
    <w:rsid w:val="0086437A"/>
    <w:rsid w:val="00864A74"/>
    <w:rsid w:val="00892AFC"/>
    <w:rsid w:val="008B0A68"/>
    <w:rsid w:val="008C19BE"/>
    <w:rsid w:val="008C1F3A"/>
    <w:rsid w:val="008C2C2F"/>
    <w:rsid w:val="008C3C4B"/>
    <w:rsid w:val="008D1526"/>
    <w:rsid w:val="008F67BC"/>
    <w:rsid w:val="00956B18"/>
    <w:rsid w:val="00961995"/>
    <w:rsid w:val="009754A8"/>
    <w:rsid w:val="00975EB9"/>
    <w:rsid w:val="00997CD5"/>
    <w:rsid w:val="009D10D2"/>
    <w:rsid w:val="009E155A"/>
    <w:rsid w:val="009F0D8D"/>
    <w:rsid w:val="00A16950"/>
    <w:rsid w:val="00A303B0"/>
    <w:rsid w:val="00A53363"/>
    <w:rsid w:val="00A561C5"/>
    <w:rsid w:val="00A610D3"/>
    <w:rsid w:val="00A74BB7"/>
    <w:rsid w:val="00A7532A"/>
    <w:rsid w:val="00A81140"/>
    <w:rsid w:val="00AB78CF"/>
    <w:rsid w:val="00AC0680"/>
    <w:rsid w:val="00AE7763"/>
    <w:rsid w:val="00B014D8"/>
    <w:rsid w:val="00B05E5A"/>
    <w:rsid w:val="00B06075"/>
    <w:rsid w:val="00B343D6"/>
    <w:rsid w:val="00B53290"/>
    <w:rsid w:val="00B64CFB"/>
    <w:rsid w:val="00B703D7"/>
    <w:rsid w:val="00B7360E"/>
    <w:rsid w:val="00B8132C"/>
    <w:rsid w:val="00B868A5"/>
    <w:rsid w:val="00BB071F"/>
    <w:rsid w:val="00BB11DB"/>
    <w:rsid w:val="00BB2AD1"/>
    <w:rsid w:val="00BC1756"/>
    <w:rsid w:val="00BD07E6"/>
    <w:rsid w:val="00BD7483"/>
    <w:rsid w:val="00BF358F"/>
    <w:rsid w:val="00BF68F0"/>
    <w:rsid w:val="00BF6974"/>
    <w:rsid w:val="00BF6E14"/>
    <w:rsid w:val="00C156E5"/>
    <w:rsid w:val="00C17E9C"/>
    <w:rsid w:val="00C255B0"/>
    <w:rsid w:val="00C27236"/>
    <w:rsid w:val="00C65950"/>
    <w:rsid w:val="00C75CBC"/>
    <w:rsid w:val="00C80F8C"/>
    <w:rsid w:val="00C85F1D"/>
    <w:rsid w:val="00C8760D"/>
    <w:rsid w:val="00CE0FA6"/>
    <w:rsid w:val="00CF3F65"/>
    <w:rsid w:val="00D03369"/>
    <w:rsid w:val="00D20156"/>
    <w:rsid w:val="00D36ABC"/>
    <w:rsid w:val="00D6282D"/>
    <w:rsid w:val="00D96441"/>
    <w:rsid w:val="00DC2CB7"/>
    <w:rsid w:val="00DC3082"/>
    <w:rsid w:val="00DD45AC"/>
    <w:rsid w:val="00DD5CD5"/>
    <w:rsid w:val="00DE1629"/>
    <w:rsid w:val="00DE5C27"/>
    <w:rsid w:val="00E37AE3"/>
    <w:rsid w:val="00E429BA"/>
    <w:rsid w:val="00E73E67"/>
    <w:rsid w:val="00EF3513"/>
    <w:rsid w:val="00F05A30"/>
    <w:rsid w:val="00F211BD"/>
    <w:rsid w:val="00F47FB5"/>
    <w:rsid w:val="00F503FF"/>
    <w:rsid w:val="00F614DA"/>
    <w:rsid w:val="00F717F4"/>
    <w:rsid w:val="00F75892"/>
    <w:rsid w:val="00F9546D"/>
    <w:rsid w:val="00FA1233"/>
    <w:rsid w:val="00FA6301"/>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CDEFB4"/>
  <w14:defaultImageDpi w14:val="330"/>
  <w15:docId w15:val="{3457DDBE-29C3-478B-9929-BFAECB59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C3F"/>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1112E6"/>
    <w:pPr>
      <w:keepNext/>
      <w:keepLines/>
      <w:spacing w:before="480"/>
      <w:outlineLvl w:val="0"/>
    </w:pPr>
    <w:rPr>
      <w:rFonts w:ascii="Calibri" w:eastAsia="MS Gothic" w:hAnsi="Calibri"/>
      <w:b/>
      <w:bCs/>
      <w:color w:val="365F91"/>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Calibri" w:eastAsia="MS Gothic" w:hAnsi="Calibri"/>
      <w:b/>
      <w:bCs/>
      <w:color w:val="4F81BD"/>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Calibri" w:eastAsia="MS Gothic"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B2674"/>
    <w:pPr>
      <w:ind w:left="720"/>
      <w:contextualSpacing/>
    </w:pPr>
  </w:style>
  <w:style w:type="character" w:styleId="Hipervnculo">
    <w:name w:val="Hyperlink"/>
    <w:uiPriority w:val="99"/>
    <w:unhideWhenUsed/>
    <w:rsid w:val="001112E6"/>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Cambria" w:eastAsia="Cambria" w:hAnsi="Cambria"/>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1112E6"/>
    <w:rPr>
      <w:rFonts w:eastAsia="Cambria"/>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112E6"/>
    <w:rPr>
      <w:rFonts w:ascii="Times New Roman" w:eastAsia="Times New Roman" w:hAnsi="Times New Roman" w:cs="Times New Roman"/>
      <w:lang w:val="es-ES"/>
    </w:rPr>
  </w:style>
  <w:style w:type="character" w:customStyle="1" w:styleId="Ttulo1Car">
    <w:name w:val="Título 1 Car"/>
    <w:link w:val="Ttulo1"/>
    <w:uiPriority w:val="9"/>
    <w:rsid w:val="001112E6"/>
    <w:rPr>
      <w:rFonts w:ascii="Calibri" w:eastAsia="MS Gothic" w:hAnsi="Calibri" w:cs="Times New Roman"/>
      <w:b/>
      <w:bCs/>
      <w:color w:val="365F91"/>
      <w:sz w:val="28"/>
      <w:szCs w:val="28"/>
      <w:lang w:val="es-ES"/>
    </w:rPr>
  </w:style>
  <w:style w:type="paragraph" w:styleId="TtulodeTDC">
    <w:name w:val="Título de TDC"/>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Cambria" w:eastAsia="Cambria" w:hAnsi="Cambria"/>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Cambria" w:eastAsia="MS Mincho" w:hAnsi="Cambria"/>
      <w:sz w:val="22"/>
      <w:szCs w:val="22"/>
      <w:lang w:val="es-MX" w:eastAsia="es-MX"/>
    </w:rPr>
  </w:style>
  <w:style w:type="character" w:customStyle="1" w:styleId="Ttulo2Car">
    <w:name w:val="Título 2 Car"/>
    <w:link w:val="Ttulo2"/>
    <w:uiPriority w:val="9"/>
    <w:semiHidden/>
    <w:rsid w:val="007B1CFA"/>
    <w:rPr>
      <w:rFonts w:ascii="Calibri" w:eastAsia="MS Gothic" w:hAnsi="Calibri" w:cs="Times New Roman"/>
      <w:b/>
      <w:bCs/>
      <w:color w:val="4F81BD"/>
      <w:sz w:val="26"/>
      <w:szCs w:val="26"/>
      <w:lang w:val="es-ES"/>
    </w:rPr>
  </w:style>
  <w:style w:type="character" w:customStyle="1" w:styleId="Ttulo3Car">
    <w:name w:val="Título 3 Car"/>
    <w:link w:val="Ttulo3"/>
    <w:uiPriority w:val="9"/>
    <w:semiHidden/>
    <w:rsid w:val="007B1CFA"/>
    <w:rPr>
      <w:rFonts w:ascii="Calibri" w:eastAsia="MS Gothic" w:hAnsi="Calibri" w:cs="Times New Roman"/>
      <w:b/>
      <w:bCs/>
      <w:color w:val="4F81BD"/>
      <w:lang w:val="es-ES"/>
    </w:rPr>
  </w:style>
  <w:style w:type="paragraph" w:styleId="NormalWeb">
    <w:name w:val="Normal (Web)"/>
    <w:basedOn w:val="Normal"/>
    <w:uiPriority w:val="99"/>
    <w:unhideWhenUsed/>
    <w:rsid w:val="007B1CFA"/>
    <w:pPr>
      <w:spacing w:before="100" w:beforeAutospacing="1" w:after="100" w:afterAutospacing="1"/>
    </w:pPr>
    <w:rPr>
      <w:rFonts w:eastAsia="MS Mincho"/>
      <w:lang w:val="es-MX" w:eastAsia="es-MX"/>
    </w:rPr>
  </w:style>
  <w:style w:type="paragraph" w:customStyle="1" w:styleId="j">
    <w:name w:val="j"/>
    <w:basedOn w:val="Normal"/>
    <w:rsid w:val="007B1CFA"/>
    <w:pPr>
      <w:spacing w:before="100" w:beforeAutospacing="1" w:after="100" w:afterAutospacing="1"/>
    </w:pPr>
    <w:rPr>
      <w:rFonts w:eastAsia="Cambria"/>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Cambria" w:eastAsia="Cambria" w:hAnsi="Cambria"/>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uiPriority w:val="22"/>
    <w:qFormat/>
    <w:rsid w:val="007B1CFA"/>
    <w:rPr>
      <w:b/>
      <w:bCs/>
    </w:rPr>
  </w:style>
  <w:style w:type="character" w:styleId="nfasis">
    <w:name w:val="Emphasis"/>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sz w:val="24"/>
      <w:szCs w:val="24"/>
      <w:lang w:eastAsia="es-ES"/>
    </w:rPr>
  </w:style>
  <w:style w:type="table" w:styleId="Tablaconcuadrcula">
    <w:name w:val="Table Grid"/>
    <w:basedOn w:val="Tablanormal"/>
    <w:uiPriority w:val="39"/>
    <w:rsid w:val="004807CC"/>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sz w:val="24"/>
      <w:szCs w:val="24"/>
      <w:lang w:eastAsia="es-ES"/>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semiHidden/>
    <w:unhideWhenUsed/>
    <w:rsid w:val="00864A74"/>
    <w:pPr>
      <w:numPr>
        <w:numId w:val="36"/>
      </w:numPr>
      <w:contextualSpacing/>
    </w:pPr>
    <w:rPr>
      <w:lang w:eastAsia="es-MX"/>
    </w:rPr>
  </w:style>
  <w:style w:type="paragraph" w:customStyle="1" w:styleId="INFOEM">
    <w:name w:val="INFOEM"/>
    <w:basedOn w:val="Normal"/>
    <w:qFormat/>
    <w:rsid w:val="009754A8"/>
    <w:pPr>
      <w:spacing w:before="240" w:after="160" w:line="360" w:lineRule="auto"/>
      <w:ind w:left="851" w:right="851"/>
      <w:jc w:val="both"/>
    </w:pPr>
    <w:rPr>
      <w:rFonts w:ascii="Palatino Linotype" w:eastAsia="Calibri" w:hAnsi="Palatino Linotype"/>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8793165">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161285269">
      <w:bodyDiv w:val="1"/>
      <w:marLeft w:val="0"/>
      <w:marRight w:val="0"/>
      <w:marTop w:val="0"/>
      <w:marBottom w:val="0"/>
      <w:divBdr>
        <w:top w:val="none" w:sz="0" w:space="0" w:color="auto"/>
        <w:left w:val="none" w:sz="0" w:space="0" w:color="auto"/>
        <w:bottom w:val="none" w:sz="0" w:space="0" w:color="auto"/>
        <w:right w:val="none" w:sz="0" w:space="0" w:color="auto"/>
      </w:divBdr>
    </w:div>
    <w:div w:id="197206125">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68663976">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20502714">
      <w:bodyDiv w:val="1"/>
      <w:marLeft w:val="0"/>
      <w:marRight w:val="0"/>
      <w:marTop w:val="0"/>
      <w:marBottom w:val="0"/>
      <w:divBdr>
        <w:top w:val="none" w:sz="0" w:space="0" w:color="auto"/>
        <w:left w:val="none" w:sz="0" w:space="0" w:color="auto"/>
        <w:bottom w:val="none" w:sz="0" w:space="0" w:color="auto"/>
        <w:right w:val="none" w:sz="0" w:space="0" w:color="auto"/>
      </w:divBdr>
    </w:div>
    <w:div w:id="32174327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50762154">
      <w:bodyDiv w:val="1"/>
      <w:marLeft w:val="0"/>
      <w:marRight w:val="0"/>
      <w:marTop w:val="0"/>
      <w:marBottom w:val="0"/>
      <w:divBdr>
        <w:top w:val="none" w:sz="0" w:space="0" w:color="auto"/>
        <w:left w:val="none" w:sz="0" w:space="0" w:color="auto"/>
        <w:bottom w:val="none" w:sz="0" w:space="0" w:color="auto"/>
        <w:right w:val="none" w:sz="0" w:space="0" w:color="auto"/>
      </w:divBdr>
    </w:div>
    <w:div w:id="357898271">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76318348">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5698874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720178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82619514">
      <w:bodyDiv w:val="1"/>
      <w:marLeft w:val="0"/>
      <w:marRight w:val="0"/>
      <w:marTop w:val="0"/>
      <w:marBottom w:val="0"/>
      <w:divBdr>
        <w:top w:val="none" w:sz="0" w:space="0" w:color="auto"/>
        <w:left w:val="none" w:sz="0" w:space="0" w:color="auto"/>
        <w:bottom w:val="none" w:sz="0" w:space="0" w:color="auto"/>
        <w:right w:val="none" w:sz="0" w:space="0" w:color="auto"/>
      </w:divBdr>
    </w:div>
    <w:div w:id="487867220">
      <w:bodyDiv w:val="1"/>
      <w:marLeft w:val="0"/>
      <w:marRight w:val="0"/>
      <w:marTop w:val="0"/>
      <w:marBottom w:val="0"/>
      <w:divBdr>
        <w:top w:val="none" w:sz="0" w:space="0" w:color="auto"/>
        <w:left w:val="none" w:sz="0" w:space="0" w:color="auto"/>
        <w:bottom w:val="none" w:sz="0" w:space="0" w:color="auto"/>
        <w:right w:val="none" w:sz="0" w:space="0" w:color="auto"/>
      </w:divBdr>
    </w:div>
    <w:div w:id="52579590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51253222">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5934052">
      <w:bodyDiv w:val="1"/>
      <w:marLeft w:val="0"/>
      <w:marRight w:val="0"/>
      <w:marTop w:val="0"/>
      <w:marBottom w:val="0"/>
      <w:divBdr>
        <w:top w:val="none" w:sz="0" w:space="0" w:color="auto"/>
        <w:left w:val="none" w:sz="0" w:space="0" w:color="auto"/>
        <w:bottom w:val="none" w:sz="0" w:space="0" w:color="auto"/>
        <w:right w:val="none" w:sz="0" w:space="0" w:color="auto"/>
      </w:divBdr>
    </w:div>
    <w:div w:id="738596081">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65492758">
      <w:bodyDiv w:val="1"/>
      <w:marLeft w:val="0"/>
      <w:marRight w:val="0"/>
      <w:marTop w:val="0"/>
      <w:marBottom w:val="0"/>
      <w:divBdr>
        <w:top w:val="none" w:sz="0" w:space="0" w:color="auto"/>
        <w:left w:val="none" w:sz="0" w:space="0" w:color="auto"/>
        <w:bottom w:val="none" w:sz="0" w:space="0" w:color="auto"/>
        <w:right w:val="none" w:sz="0" w:space="0" w:color="auto"/>
      </w:divBdr>
    </w:div>
    <w:div w:id="769280580">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84954174">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187948">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53370405">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998536907">
      <w:bodyDiv w:val="1"/>
      <w:marLeft w:val="0"/>
      <w:marRight w:val="0"/>
      <w:marTop w:val="0"/>
      <w:marBottom w:val="0"/>
      <w:divBdr>
        <w:top w:val="none" w:sz="0" w:space="0" w:color="auto"/>
        <w:left w:val="none" w:sz="0" w:space="0" w:color="auto"/>
        <w:bottom w:val="none" w:sz="0" w:space="0" w:color="auto"/>
        <w:right w:val="none" w:sz="0" w:space="0" w:color="auto"/>
      </w:divBdr>
    </w:div>
    <w:div w:id="102559810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0272955">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6613866">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0637622">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2966410">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01943588">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7783239">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6563373">
      <w:bodyDiv w:val="1"/>
      <w:marLeft w:val="0"/>
      <w:marRight w:val="0"/>
      <w:marTop w:val="0"/>
      <w:marBottom w:val="0"/>
      <w:divBdr>
        <w:top w:val="none" w:sz="0" w:space="0" w:color="auto"/>
        <w:left w:val="none" w:sz="0" w:space="0" w:color="auto"/>
        <w:bottom w:val="none" w:sz="0" w:space="0" w:color="auto"/>
        <w:right w:val="none" w:sz="0" w:space="0" w:color="auto"/>
      </w:divBdr>
    </w:div>
    <w:div w:id="1386642628">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4979936">
      <w:bodyDiv w:val="1"/>
      <w:marLeft w:val="0"/>
      <w:marRight w:val="0"/>
      <w:marTop w:val="0"/>
      <w:marBottom w:val="0"/>
      <w:divBdr>
        <w:top w:val="none" w:sz="0" w:space="0" w:color="auto"/>
        <w:left w:val="none" w:sz="0" w:space="0" w:color="auto"/>
        <w:bottom w:val="none" w:sz="0" w:space="0" w:color="auto"/>
        <w:right w:val="none" w:sz="0" w:space="0" w:color="auto"/>
      </w:divBdr>
    </w:div>
    <w:div w:id="1472207973">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61286507">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687319685">
      <w:bodyDiv w:val="1"/>
      <w:marLeft w:val="0"/>
      <w:marRight w:val="0"/>
      <w:marTop w:val="0"/>
      <w:marBottom w:val="0"/>
      <w:divBdr>
        <w:top w:val="none" w:sz="0" w:space="0" w:color="auto"/>
        <w:left w:val="none" w:sz="0" w:space="0" w:color="auto"/>
        <w:bottom w:val="none" w:sz="0" w:space="0" w:color="auto"/>
        <w:right w:val="none" w:sz="0" w:space="0" w:color="auto"/>
      </w:divBdr>
    </w:div>
    <w:div w:id="1743721536">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78216290">
      <w:bodyDiv w:val="1"/>
      <w:marLeft w:val="0"/>
      <w:marRight w:val="0"/>
      <w:marTop w:val="0"/>
      <w:marBottom w:val="0"/>
      <w:divBdr>
        <w:top w:val="none" w:sz="0" w:space="0" w:color="auto"/>
        <w:left w:val="none" w:sz="0" w:space="0" w:color="auto"/>
        <w:bottom w:val="none" w:sz="0" w:space="0" w:color="auto"/>
        <w:right w:val="none" w:sz="0" w:space="0" w:color="auto"/>
      </w:divBdr>
    </w:div>
    <w:div w:id="179366758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58538568">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4380546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3265662">
      <w:bodyDiv w:val="1"/>
      <w:marLeft w:val="0"/>
      <w:marRight w:val="0"/>
      <w:marTop w:val="0"/>
      <w:marBottom w:val="0"/>
      <w:divBdr>
        <w:top w:val="none" w:sz="0" w:space="0" w:color="auto"/>
        <w:left w:val="none" w:sz="0" w:space="0" w:color="auto"/>
        <w:bottom w:val="none" w:sz="0" w:space="0" w:color="auto"/>
        <w:right w:val="none" w:sz="0" w:space="0" w:color="auto"/>
      </w:divBdr>
    </w:div>
    <w:div w:id="2055960782">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em600\Desktop\ESCRITORIO\2023\2705_2023_VP_MRM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29813-840F-43DE-9625-FEAF77AE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2705_2023_VP_MRMA</Template>
  <TotalTime>1</TotalTime>
  <Pages>10</Pages>
  <Words>1969</Words>
  <Characters>10832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Infoem600</dc:creator>
  <cp:keywords/>
  <cp:lastModifiedBy>Infoem600</cp:lastModifiedBy>
  <cp:revision>1</cp:revision>
  <cp:lastPrinted>2023-10-17T18:22:00Z</cp:lastPrinted>
  <dcterms:created xsi:type="dcterms:W3CDTF">2024-02-09T00:02:00Z</dcterms:created>
  <dcterms:modified xsi:type="dcterms:W3CDTF">2024-02-09T00:03:00Z</dcterms:modified>
</cp:coreProperties>
</file>