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789120</wp:posOffset>
            </wp:positionH>
            <wp:positionV relativeFrom="page">
              <wp:posOffset>295706</wp:posOffset>
            </wp:positionV>
            <wp:extent cx="6155103" cy="9604578"/>
            <wp:effectExtent b="0" l="0" r="0" t="0"/>
            <wp:wrapNone/>
            <wp:docPr id="2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103"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spacing w:before="0" w:lineRule="auto"/>
        <w:ind w:left="4839" w:right="1316" w:firstLine="3034"/>
        <w:jc w:val="left"/>
        <w:rPr>
          <w:b w:val="1"/>
          <w:sz w:val="20"/>
          <w:szCs w:val="20"/>
        </w:rPr>
      </w:pPr>
      <w:r w:rsidDel="00000000" w:rsidR="00000000" w:rsidRPr="00000000">
        <w:rPr>
          <w:b w:val="1"/>
          <w:sz w:val="20"/>
          <w:szCs w:val="20"/>
          <w:rtl w:val="0"/>
        </w:rPr>
        <w:t xml:space="preserve">VOTO PARTICULAR RECURSOS DE REVISIÓN 00485/INFOEM/IP/RR/2023</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1"/>
        <w:spacing w:line="360" w:lineRule="auto"/>
        <w:ind w:right="1324" w:firstLine="965"/>
        <w:rPr/>
      </w:pPr>
      <w:r w:rsidDel="00000000" w:rsidR="00000000" w:rsidRPr="00000000">
        <w:rPr>
          <w:rtl w:val="0"/>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TRIGÉSIMA OCTAVA SESIÓN ORDINARIA DEL VEINTICINCO DE OCTUBRE DE DOS MIL VEINTITRÉS, EN EL RECURSO DE REVISIÓN 00485/INFOEM/IP/RR/2023.</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360" w:lineRule="auto"/>
        <w:ind w:left="965" w:right="132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 fundamento en lo dispuesto por el artículo 14, fracciones X y XI, del Reglamento del Instituto de Transparencia, Acceso a la Información Pública y Protección de Datos Personales del Estado de México, la suscrita emite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VOTO PARTICULAR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respecto a la resolución dictada en el recurso de revisión número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00485/INFOEM/IP/RR/2023</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pronunciada por el Pleno de este Instituto ante el proyecto presentado por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Comisionado José Martínez Vilchis</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el cual es al tenor siguiente:</w:t>
      </w:r>
    </w:p>
    <w:p w:rsidR="00000000" w:rsidDel="00000000" w:rsidP="00000000" w:rsidRDefault="00000000" w:rsidRPr="00000000" w14:paraId="00000009">
      <w:pPr>
        <w:pStyle w:val="Heading1"/>
        <w:numPr>
          <w:ilvl w:val="0"/>
          <w:numId w:val="2"/>
        </w:numPr>
        <w:tabs>
          <w:tab w:val="left" w:leader="none" w:pos="1744"/>
        </w:tabs>
        <w:spacing w:after="0" w:before="237" w:line="240" w:lineRule="auto"/>
        <w:ind w:left="1744" w:right="0" w:hanging="352.00000000000017"/>
        <w:jc w:val="both"/>
        <w:rPr/>
      </w:pPr>
      <w:r w:rsidDel="00000000" w:rsidR="00000000" w:rsidRPr="00000000">
        <w:rPr>
          <w:rtl w:val="0"/>
        </w:rPr>
        <w:t xml:space="preserve">Antecedentes.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spacing w:before="1" w:line="362" w:lineRule="auto"/>
        <w:ind w:left="965" w:right="1321" w:firstLine="0"/>
        <w:jc w:val="both"/>
        <w:rPr>
          <w:sz w:val="24"/>
          <w:szCs w:val="24"/>
        </w:rPr>
      </w:pPr>
      <w:r w:rsidDel="00000000" w:rsidR="00000000" w:rsidRPr="00000000">
        <w:rPr>
          <w:sz w:val="24"/>
          <w:szCs w:val="24"/>
          <w:rtl w:val="0"/>
        </w:rPr>
        <w:t xml:space="preserve">En el asunto que nos ocupa, la parte </w:t>
      </w:r>
      <w:r w:rsidDel="00000000" w:rsidR="00000000" w:rsidRPr="00000000">
        <w:rPr>
          <w:b w:val="1"/>
          <w:sz w:val="24"/>
          <w:szCs w:val="24"/>
          <w:rtl w:val="0"/>
        </w:rPr>
        <w:t xml:space="preserve">Recurrente </w:t>
      </w:r>
      <w:r w:rsidDel="00000000" w:rsidR="00000000" w:rsidRPr="00000000">
        <w:rPr>
          <w:sz w:val="24"/>
          <w:szCs w:val="24"/>
          <w:rtl w:val="0"/>
        </w:rPr>
        <w:t xml:space="preserve">solicitó al </w:t>
      </w:r>
      <w:r w:rsidDel="00000000" w:rsidR="00000000" w:rsidRPr="00000000">
        <w:rPr>
          <w:b w:val="1"/>
          <w:sz w:val="24"/>
          <w:szCs w:val="24"/>
          <w:rtl w:val="0"/>
        </w:rPr>
        <w:t xml:space="preserve">Sujeto Obligado</w:t>
      </w:r>
      <w:r w:rsidDel="00000000" w:rsidR="00000000" w:rsidRPr="00000000">
        <w:rPr>
          <w:sz w:val="24"/>
          <w:szCs w:val="24"/>
          <w:rtl w:val="0"/>
        </w:rPr>
        <w:t xml:space="preserve">, le proporcionara la siguiente información:</w:t>
      </w:r>
    </w:p>
    <w:p w:rsidR="00000000" w:rsidDel="00000000" w:rsidP="00000000" w:rsidRDefault="00000000" w:rsidRPr="00000000" w14:paraId="0000000C">
      <w:pPr>
        <w:spacing w:before="233" w:lineRule="auto"/>
        <w:ind w:left="1817" w:right="2316" w:firstLine="0"/>
        <w:jc w:val="both"/>
        <w:rPr>
          <w:i w:val="1"/>
          <w:sz w:val="22"/>
          <w:szCs w:val="22"/>
        </w:rPr>
      </w:pPr>
      <w:r w:rsidDel="00000000" w:rsidR="00000000" w:rsidRPr="00000000">
        <w:rPr>
          <w:i w:val="1"/>
          <w:sz w:val="22"/>
          <w:szCs w:val="22"/>
          <w:rtl w:val="0"/>
        </w:rPr>
        <w:t xml:space="preserve">“Copia de cada uno de los expedientes de los servidores públicos que laboran en cada una de las regidurías, asi como copia de los expedientes de cada una de las personas que laboran en el área de recursos humanos del DIF, AGUA, MUJER,Y DEPORTE correspondiente a la administración actual.”(Sic)</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spacing w:before="0" w:lineRule="auto"/>
        <w:ind w:left="0" w:right="1325" w:firstLine="0"/>
        <w:jc w:val="right"/>
        <w:rPr>
          <w:rFonts w:ascii="Arial" w:cs="Arial" w:eastAsia="Arial" w:hAnsi="Arial"/>
          <w:b w:val="1"/>
          <w:sz w:val="20"/>
          <w:szCs w:val="20"/>
        </w:rPr>
        <w:sectPr>
          <w:pgSz w:h="15840" w:w="12240" w:orient="portrait"/>
          <w:pgMar w:bottom="0" w:top="460" w:left="1020" w:right="0" w:header="360" w:footer="360"/>
          <w:pgNumType w:start="1"/>
        </w:sectPr>
      </w:pPr>
      <w:r w:rsidDel="00000000" w:rsidR="00000000" w:rsidRPr="00000000">
        <w:rPr>
          <w:rFonts w:ascii="Arial" w:cs="Arial" w:eastAsia="Arial" w:hAnsi="Arial"/>
          <w:b w:val="1"/>
          <w:sz w:val="20"/>
          <w:szCs w:val="20"/>
          <w:rtl w:val="0"/>
        </w:rPr>
        <w:t xml:space="preserve">1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11</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789120</wp:posOffset>
            </wp:positionH>
            <wp:positionV relativeFrom="page">
              <wp:posOffset>295706</wp:posOffset>
            </wp:positionV>
            <wp:extent cx="6155103" cy="9604578"/>
            <wp:effectExtent b="0" l="0" r="0" t="0"/>
            <wp:wrapNone/>
            <wp:docPr id="2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103"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spacing w:before="0" w:lineRule="auto"/>
        <w:ind w:left="4839" w:right="1316" w:firstLine="3034"/>
        <w:jc w:val="left"/>
        <w:rPr>
          <w:b w:val="1"/>
          <w:sz w:val="20"/>
          <w:szCs w:val="20"/>
        </w:rPr>
      </w:pPr>
      <w:r w:rsidDel="00000000" w:rsidR="00000000" w:rsidRPr="00000000">
        <w:rPr>
          <w:b w:val="1"/>
          <w:sz w:val="20"/>
          <w:szCs w:val="20"/>
          <w:rtl w:val="0"/>
        </w:rPr>
        <w:t xml:space="preserve">VOTO PARTICULAR RECURSOS DE REVISIÓN 00485/INFOEM/IP/RR/2023</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360" w:lineRule="auto"/>
        <w:ind w:left="965" w:right="137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atención a la solicitud,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se declaró parcialmente incompetente respecto de la documentación relativa al Organismo de Agua y Saneamiento de Toluca ni al Sistema Municipal para el Desarrollo Integral de la Familia de Toluca.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360" w:lineRule="auto"/>
        <w:ind w:left="965" w:right="137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Y, a través de la Dirección General de Administración hizo entrega de ciento diecisiete expedientes correspondientes al personal adscrito a las Regidurías en versión pública; señaló que el Instituto Municipal de la Mujer de Toluca proporciona la información solicitada en versión pública; y que el Instituto Municipal de Cultura Física y Deporte de Toluca remitió el expediente de la persona que labora en el área de recursos humanos de la Coordinación de Administración y Finanzas en versión pública; así como del Acta de la Trigésima Primera Sesión Extraordinaria 2023 del Comité de Transparencia celebrada el trece de enero de dos mil veintitrés, en la cual se clasificaron parcialmente los datos personales en las altas ante el ISSEMYM, solicitudes de empleo, currículos, comprobantes de estudio, constancias de no inhabilitación, formatos únicos de personal (FUP), certificados de competencia laboral y constancias de situación fiscal mediante el acuerdo AT/CT/01/2023; y se clasificó como información confidencial en su totalidad de credenciales para votar, actas de nacimiento, certificados médicos, comprobantes de domicilio, CURP, RFC, cartillas militares y certificados de no deudor alimentario mediante el acuerdo AT/CT/02/2023.</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362" w:lineRule="auto"/>
        <w:ind w:left="965" w:right="137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Una vez conocida la respuesta la parte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interpuso el recurso de revisión que se resolvió, manifestando como motivo de inconformidad:</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spacing w:before="0" w:lineRule="auto"/>
        <w:ind w:left="0" w:right="1325" w:firstLine="0"/>
        <w:jc w:val="right"/>
        <w:rPr>
          <w:rFonts w:ascii="Arial" w:cs="Arial" w:eastAsia="Arial" w:hAnsi="Arial"/>
          <w:b w:val="1"/>
          <w:sz w:val="20"/>
          <w:szCs w:val="20"/>
        </w:rPr>
        <w:sectPr>
          <w:type w:val="nextPage"/>
          <w:pgSz w:h="15840" w:w="12240" w:orient="portrait"/>
          <w:pgMar w:bottom="0" w:top="460" w:left="1020" w:right="0" w:header="360" w:footer="360"/>
        </w:sectPr>
      </w:pPr>
      <w:r w:rsidDel="00000000" w:rsidR="00000000" w:rsidRPr="00000000">
        <w:rPr>
          <w:rFonts w:ascii="Arial" w:cs="Arial" w:eastAsia="Arial" w:hAnsi="Arial"/>
          <w:b w:val="1"/>
          <w:sz w:val="20"/>
          <w:szCs w:val="20"/>
          <w:rtl w:val="0"/>
        </w:rPr>
        <w:t xml:space="preserve">2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11</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789120</wp:posOffset>
            </wp:positionH>
            <wp:positionV relativeFrom="page">
              <wp:posOffset>295706</wp:posOffset>
            </wp:positionV>
            <wp:extent cx="6155103" cy="9604578"/>
            <wp:effectExtent b="0" l="0" r="0" t="0"/>
            <wp:wrapNone/>
            <wp:docPr id="3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103"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spacing w:before="0" w:lineRule="auto"/>
        <w:ind w:left="4839" w:right="1316" w:firstLine="3034"/>
        <w:jc w:val="left"/>
        <w:rPr>
          <w:b w:val="1"/>
          <w:sz w:val="20"/>
          <w:szCs w:val="20"/>
        </w:rPr>
      </w:pPr>
      <w:r w:rsidDel="00000000" w:rsidR="00000000" w:rsidRPr="00000000">
        <w:rPr>
          <w:b w:val="1"/>
          <w:sz w:val="20"/>
          <w:szCs w:val="20"/>
          <w:rtl w:val="0"/>
        </w:rPr>
        <w:t xml:space="preserve">VOTO PARTICULAR RECURSOS DE REVISIÓN 00485/INFOEM/IP/RR/2023</w:t>
      </w:r>
    </w:p>
    <w:p w:rsidR="00000000" w:rsidDel="00000000" w:rsidP="00000000" w:rsidRDefault="00000000" w:rsidRPr="00000000" w14:paraId="0000002A">
      <w:pPr>
        <w:spacing w:before="270" w:lineRule="auto"/>
        <w:ind w:left="1817" w:right="2314" w:firstLine="0"/>
        <w:jc w:val="both"/>
        <w:rPr>
          <w:i w:val="1"/>
          <w:sz w:val="22"/>
          <w:szCs w:val="22"/>
        </w:rPr>
      </w:pPr>
      <w:r w:rsidDel="00000000" w:rsidR="00000000" w:rsidRPr="00000000">
        <w:rPr>
          <w:i w:val="1"/>
          <w:sz w:val="22"/>
          <w:szCs w:val="22"/>
          <w:rtl w:val="0"/>
        </w:rPr>
        <w:t xml:space="preserve">“AL LEER EL ACTA PROPORCIONADA MENCIONAN Y ARGUMENTAN QUE SE DEBEN PROTEGER LOS DATOS PERSONALES, ENTONCES PORQUE DEJAN A LA VISTA CALIFICACIONES, HUELLAS DACTILARES Y DEMAS DATOS PERSONALES DE SERVIDORES PUBLICOS, CONSIDERO QUE DEBEN ARRASTRAR UN POCO MAS EL LAPEZ PARA QUE NO SE DEJEN ESTOS DATOS Y SE VULNERE LA PRIVACIDAD DE LOS DATOS PERSONALES. ASIMISMO LA INFORMACION SE ENCUENTRA ENCOMPLETA” (sic)</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362" w:lineRule="auto"/>
        <w:ind w:left="965" w:right="132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mediante informe justificado ratificó las respuestas proporcionadas por los servidores públicos habilitados.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360" w:lineRule="auto"/>
        <w:ind w:left="965" w:right="1324"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las cosas, una vez analizadas las constancias que obran en el expediente electrónico del SAIMEX, la ponencia que resolvió determinó que los motivos de inconformidad de la parte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son parcialmente fundados, por lo que ordena la entrega de la siguiente información:</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72"/>
        </w:tabs>
        <w:spacing w:after="0" w:before="239" w:line="240" w:lineRule="auto"/>
        <w:ind w:left="1672" w:right="0" w:hanging="424.00000000000006"/>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Los expedientes laborales proporcionados en respuesta en correcta versión pública.</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73"/>
        </w:tabs>
        <w:spacing w:after="0" w:before="51" w:line="276" w:lineRule="auto"/>
        <w:ind w:left="1673" w:right="1329" w:hanging="425"/>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Los certificados de no deudor alimentario que fueron clasificados en su totalidad como confidenciales en versión pública.</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pStyle w:val="Heading1"/>
        <w:numPr>
          <w:ilvl w:val="0"/>
          <w:numId w:val="2"/>
        </w:numPr>
        <w:tabs>
          <w:tab w:val="left" w:leader="none" w:pos="1529"/>
        </w:tabs>
        <w:spacing w:after="0" w:before="0" w:line="240" w:lineRule="auto"/>
        <w:ind w:left="1529" w:right="0" w:hanging="280.99999999999994"/>
        <w:jc w:val="both"/>
        <w:rPr/>
      </w:pPr>
      <w:r w:rsidDel="00000000" w:rsidR="00000000" w:rsidRPr="00000000">
        <w:rPr>
          <w:rtl w:val="0"/>
        </w:rPr>
        <w:t xml:space="preserve">Razones del Voto Particular.</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spacing w:before="0" w:line="357" w:lineRule="auto"/>
        <w:ind w:left="965" w:right="1325" w:firstLine="0"/>
        <w:jc w:val="both"/>
        <w:rPr>
          <w:b w:val="1"/>
          <w:sz w:val="24"/>
          <w:szCs w:val="24"/>
        </w:rPr>
      </w:pPr>
      <w:r w:rsidDel="00000000" w:rsidR="00000000" w:rsidRPr="00000000">
        <w:rPr>
          <w:sz w:val="24"/>
          <w:szCs w:val="24"/>
          <w:rtl w:val="0"/>
        </w:rPr>
        <w:t xml:space="preserve">Para iniciar la emisión del presente voto, conviene mencionar, que de manera respetuosa, la suscrita </w:t>
      </w:r>
      <w:r w:rsidDel="00000000" w:rsidR="00000000" w:rsidRPr="00000000">
        <w:rPr>
          <w:b w:val="1"/>
          <w:sz w:val="24"/>
          <w:szCs w:val="24"/>
          <w:rtl w:val="0"/>
        </w:rPr>
        <w:t xml:space="preserve">no comparte las consideraciones que fueron vertidas en la presente resolución</w:t>
      </w:r>
      <w:r w:rsidDel="00000000" w:rsidR="00000000" w:rsidRPr="00000000">
        <w:rPr>
          <w:sz w:val="24"/>
          <w:szCs w:val="24"/>
          <w:rtl w:val="0"/>
        </w:rPr>
        <w:t xml:space="preserve">, en </w:t>
      </w:r>
      <w:r w:rsidDel="00000000" w:rsidR="00000000" w:rsidRPr="00000000">
        <w:rPr>
          <w:b w:val="1"/>
          <w:sz w:val="24"/>
          <w:szCs w:val="24"/>
          <w:rtl w:val="0"/>
        </w:rPr>
        <w:t xml:space="preserve">virtud de lo siguiente: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spacing w:before="0" w:lineRule="auto"/>
        <w:ind w:left="0" w:right="1325" w:firstLine="0"/>
        <w:jc w:val="right"/>
        <w:rPr>
          <w:rFonts w:ascii="Arial" w:cs="Arial" w:eastAsia="Arial" w:hAnsi="Arial"/>
          <w:b w:val="1"/>
          <w:sz w:val="20"/>
          <w:szCs w:val="20"/>
        </w:rPr>
        <w:sectPr>
          <w:type w:val="nextPage"/>
          <w:pgSz w:h="15840" w:w="12240" w:orient="portrait"/>
          <w:pgMar w:bottom="0" w:top="460" w:left="1020" w:right="0" w:header="360" w:footer="360"/>
        </w:sectPr>
      </w:pPr>
      <w:r w:rsidDel="00000000" w:rsidR="00000000" w:rsidRPr="00000000">
        <w:rPr>
          <w:rFonts w:ascii="Arial" w:cs="Arial" w:eastAsia="Arial" w:hAnsi="Arial"/>
          <w:b w:val="1"/>
          <w:sz w:val="20"/>
          <w:szCs w:val="20"/>
          <w:rtl w:val="0"/>
        </w:rPr>
        <w:t xml:space="preserve">3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11</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789120</wp:posOffset>
            </wp:positionH>
            <wp:positionV relativeFrom="page">
              <wp:posOffset>295706</wp:posOffset>
            </wp:positionV>
            <wp:extent cx="6155103" cy="9604578"/>
            <wp:effectExtent b="0" l="0" r="0" t="0"/>
            <wp:wrapNone/>
            <wp:docPr id="3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103"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spacing w:before="0" w:lineRule="auto"/>
        <w:ind w:left="4839" w:right="1316" w:firstLine="3034"/>
        <w:jc w:val="left"/>
        <w:rPr>
          <w:b w:val="1"/>
          <w:sz w:val="20"/>
          <w:szCs w:val="20"/>
        </w:rPr>
      </w:pPr>
      <w:r w:rsidDel="00000000" w:rsidR="00000000" w:rsidRPr="00000000">
        <w:rPr>
          <w:b w:val="1"/>
          <w:sz w:val="20"/>
          <w:szCs w:val="20"/>
          <w:rtl w:val="0"/>
        </w:rPr>
        <w:t xml:space="preserve">VOTO PARTICULAR RECURSOS DE REVISIÓN 00485/INFOEM/IP/RR/2023</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360" w:lineRule="auto"/>
        <w:ind w:left="965" w:right="1322"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En primer lugar,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cuanto hace a las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fotografías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que obran en documentos que dan cuenta del cumplimiento de funciones, requisitos legales o que acredita a las personas como servidores públicos, la ponencia que resolvió aseveró que son de acceso público, bajo los siguientes argumentos:</w:t>
      </w:r>
    </w:p>
    <w:p w:rsidR="00000000" w:rsidDel="00000000" w:rsidP="00000000" w:rsidRDefault="00000000" w:rsidRPr="00000000" w14:paraId="00000043">
      <w:pPr>
        <w:spacing w:before="0" w:lineRule="auto"/>
        <w:ind w:left="1817" w:right="2312" w:firstLine="0"/>
        <w:jc w:val="both"/>
        <w:rPr>
          <w:i w:val="1"/>
          <w:sz w:val="22"/>
          <w:szCs w:val="22"/>
        </w:rPr>
      </w:pPr>
      <w:r w:rsidDel="00000000" w:rsidR="00000000" w:rsidRPr="00000000">
        <w:rPr>
          <w:i w:val="1"/>
          <w:sz w:val="22"/>
          <w:szCs w:val="22"/>
          <w:rtl w:val="0"/>
        </w:rPr>
        <w:t xml:space="preserve">“…En ese tenor, se debe señalar que </w:t>
      </w:r>
      <w:r w:rsidDel="00000000" w:rsidR="00000000" w:rsidRPr="00000000">
        <w:rPr>
          <w:b w:val="1"/>
          <w:i w:val="1"/>
          <w:sz w:val="22"/>
          <w:szCs w:val="22"/>
          <w:rtl w:val="0"/>
        </w:rPr>
        <w:t xml:space="preserve">los servidores públicos tienen un espectro menor de protección a sus datos personales en comparación con cualquier otra persona física, debido al interés público que revisten sus funciones, </w:t>
      </w:r>
      <w:r w:rsidDel="00000000" w:rsidR="00000000" w:rsidRPr="00000000">
        <w:rPr>
          <w:i w:val="1"/>
          <w:sz w:val="22"/>
          <w:szCs w:val="22"/>
          <w:rtl w:val="0"/>
        </w:rPr>
        <w:t xml:space="preserve">por lo que sus actividades se encuentran sujetas a un escrutinio público mayor, </w:t>
      </w:r>
      <w:r w:rsidDel="00000000" w:rsidR="00000000" w:rsidRPr="00000000">
        <w:rPr>
          <w:b w:val="1"/>
          <w:i w:val="1"/>
          <w:sz w:val="22"/>
          <w:szCs w:val="22"/>
          <w:rtl w:val="0"/>
        </w:rPr>
        <w:t xml:space="preserve">coexistiendo un interés público de conocer su fotografía y así asociarla, en su caso, con su nombre, cargo, y función</w:t>
      </w:r>
      <w:r w:rsidDel="00000000" w:rsidR="00000000" w:rsidRPr="00000000">
        <w:rPr>
          <w:i w:val="1"/>
          <w:sz w:val="22"/>
          <w:szCs w:val="22"/>
          <w:rtl w:val="0"/>
        </w:rPr>
        <w:t xml:space="preserve">, lo que genera un beneficio mayor la divulgación de dicho dato personal que su clasificación.</w:t>
      </w:r>
    </w:p>
    <w:p w:rsidR="00000000" w:rsidDel="00000000" w:rsidP="00000000" w:rsidRDefault="00000000" w:rsidRPr="00000000" w14:paraId="00000044">
      <w:pPr>
        <w:spacing w:before="119" w:lineRule="auto"/>
        <w:ind w:left="1817" w:right="2312" w:firstLine="0"/>
        <w:jc w:val="both"/>
        <w:rPr>
          <w:i w:val="1"/>
          <w:sz w:val="22"/>
          <w:szCs w:val="22"/>
        </w:rPr>
      </w:pPr>
      <w:r w:rsidDel="00000000" w:rsidR="00000000" w:rsidRPr="00000000">
        <w:rPr>
          <w:i w:val="1"/>
          <w:sz w:val="22"/>
          <w:szCs w:val="22"/>
          <w:rtl w:val="0"/>
        </w:rPr>
        <w:t xml:space="preserve">Conforme a lo anterior, resulta necesario señalar que el Pleno de este Instituto emitió el criterio 03/2019 cuyo rubro dispone lo siguiente: “Servidores públicos con categoría de mando medio y superior. La fotografía de aquellos es de carácter público”; no obstante, </w:t>
      </w:r>
      <w:r w:rsidDel="00000000" w:rsidR="00000000" w:rsidRPr="00000000">
        <w:rPr>
          <w:b w:val="1"/>
          <w:i w:val="1"/>
          <w:sz w:val="22"/>
          <w:szCs w:val="22"/>
          <w:rtl w:val="0"/>
        </w:rPr>
        <w:t xml:space="preserve">dicho criterio fue interrumpido </w:t>
      </w:r>
      <w:r w:rsidDel="00000000" w:rsidR="00000000" w:rsidRPr="00000000">
        <w:rPr>
          <w:i w:val="1"/>
          <w:sz w:val="22"/>
          <w:szCs w:val="22"/>
          <w:rtl w:val="0"/>
        </w:rPr>
        <w:t xml:space="preserve">en términos del artículo 9, fracción XXVII del Reglamento Interior del Instituto de Transparencia, Acceso a la Información Pública y Protección de Datos Personales del Estado de México y Municipios.</w:t>
      </w:r>
    </w:p>
    <w:p w:rsidR="00000000" w:rsidDel="00000000" w:rsidP="00000000" w:rsidRDefault="00000000" w:rsidRPr="00000000" w14:paraId="00000045">
      <w:pPr>
        <w:spacing w:before="121" w:lineRule="auto"/>
        <w:ind w:left="1817" w:right="2314" w:firstLine="0"/>
        <w:jc w:val="both"/>
        <w:rPr>
          <w:i w:val="1"/>
          <w:sz w:val="22"/>
          <w:szCs w:val="22"/>
        </w:rPr>
      </w:pPr>
      <w:r w:rsidDel="00000000" w:rsidR="00000000" w:rsidRPr="00000000">
        <w:rPr>
          <w:i w:val="1"/>
          <w:sz w:val="22"/>
          <w:szCs w:val="22"/>
          <w:rtl w:val="0"/>
        </w:rPr>
        <w:t xml:space="preserve">Debido a lo anterior, </w:t>
      </w:r>
      <w:r w:rsidDel="00000000" w:rsidR="00000000" w:rsidRPr="00000000">
        <w:rPr>
          <w:b w:val="1"/>
          <w:i w:val="1"/>
          <w:sz w:val="22"/>
          <w:szCs w:val="22"/>
          <w:rtl w:val="0"/>
        </w:rPr>
        <w:t xml:space="preserve">las fotografías de servidores públicos sin importar el nivel o rango guardan la naturaleza de públicas </w:t>
      </w:r>
      <w:r w:rsidDel="00000000" w:rsidR="00000000" w:rsidRPr="00000000">
        <w:rPr>
          <w:i w:val="1"/>
          <w:sz w:val="22"/>
          <w:szCs w:val="22"/>
          <w:rtl w:val="0"/>
        </w:rPr>
        <w:t xml:space="preserve">(con excepción del personal operativo en materia de seguridad) y </w:t>
      </w:r>
      <w:r w:rsidDel="00000000" w:rsidR="00000000" w:rsidRPr="00000000">
        <w:rPr>
          <w:b w:val="1"/>
          <w:i w:val="1"/>
          <w:sz w:val="22"/>
          <w:szCs w:val="22"/>
          <w:u w:val="single"/>
          <w:rtl w:val="0"/>
        </w:rPr>
        <w:t xml:space="preserve">no procede su clasificación</w:t>
      </w:r>
      <w:r w:rsidDel="00000000" w:rsidR="00000000" w:rsidRPr="00000000">
        <w:rPr>
          <w:i w:val="1"/>
          <w:sz w:val="22"/>
          <w:szCs w:val="22"/>
          <w:rtl w:val="0"/>
        </w:rPr>
        <w:t xml:space="preserve">, en términos del artículo 143, fracción I, de la Ley de Transparencia y Acceso a la Información Pública del Estado de México y Municipios.</w:t>
      </w:r>
    </w:p>
    <w:p w:rsidR="00000000" w:rsidDel="00000000" w:rsidP="00000000" w:rsidRDefault="00000000" w:rsidRPr="00000000" w14:paraId="00000046">
      <w:pPr>
        <w:spacing w:before="120" w:lineRule="auto"/>
        <w:ind w:left="1817" w:right="2317" w:firstLine="0"/>
        <w:jc w:val="both"/>
        <w:rPr>
          <w:i w:val="1"/>
          <w:sz w:val="22"/>
          <w:szCs w:val="22"/>
        </w:rPr>
      </w:pPr>
      <w:r w:rsidDel="00000000" w:rsidR="00000000" w:rsidRPr="00000000">
        <w:rPr>
          <w:i w:val="1"/>
          <w:sz w:val="22"/>
          <w:szCs w:val="22"/>
          <w:rtl w:val="0"/>
        </w:rPr>
        <w:t xml:space="preserve">En esa tesitura, es dable que los documentos en los que se testó la fotografía de los servidores públicos se entreguen nuevamente en una correcta versión pública, es decir, dejando visible ese dato personal, en virtud de que se estima de interés público que se permita la publicidad de la imagen de esos trabajadores en los documentos que se proporcionaron en respuesta.” (sic)</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360" w:lineRule="auto"/>
        <w:ind w:left="965" w:right="1332" w:firstLine="0"/>
        <w:jc w:val="both"/>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ese sentido, no escapa de la óptica de la suscrita que por cuanto hace a la fotografía constituye la reproducción fiel de las características físicas de una persona </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spacing w:before="1" w:lineRule="auto"/>
        <w:ind w:left="0" w:right="1325" w:firstLine="0"/>
        <w:jc w:val="right"/>
        <w:rPr>
          <w:rFonts w:ascii="Arial" w:cs="Arial" w:eastAsia="Arial" w:hAnsi="Arial"/>
          <w:b w:val="1"/>
          <w:sz w:val="20"/>
          <w:szCs w:val="20"/>
        </w:rPr>
        <w:sectPr>
          <w:type w:val="nextPage"/>
          <w:pgSz w:h="15840" w:w="12240" w:orient="portrait"/>
          <w:pgMar w:bottom="0" w:top="460" w:left="1020" w:right="0" w:header="360" w:footer="360"/>
        </w:sectPr>
      </w:pPr>
      <w:r w:rsidDel="00000000" w:rsidR="00000000" w:rsidRPr="00000000">
        <w:rPr>
          <w:rFonts w:ascii="Arial" w:cs="Arial" w:eastAsia="Arial" w:hAnsi="Arial"/>
          <w:b w:val="1"/>
          <w:sz w:val="20"/>
          <w:szCs w:val="20"/>
          <w:rtl w:val="0"/>
        </w:rPr>
        <w:t xml:space="preserve">4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11</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789120</wp:posOffset>
            </wp:positionH>
            <wp:positionV relativeFrom="page">
              <wp:posOffset>295706</wp:posOffset>
            </wp:positionV>
            <wp:extent cx="6155103" cy="9604578"/>
            <wp:effectExtent b="0" l="0" r="0" t="0"/>
            <wp:wrapNone/>
            <wp:docPr id="3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103"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spacing w:before="0" w:lineRule="auto"/>
        <w:ind w:left="4839" w:right="1316" w:firstLine="3034"/>
        <w:jc w:val="left"/>
        <w:rPr>
          <w:b w:val="1"/>
          <w:sz w:val="20"/>
          <w:szCs w:val="20"/>
        </w:rPr>
      </w:pPr>
      <w:r w:rsidDel="00000000" w:rsidR="00000000" w:rsidRPr="00000000">
        <w:rPr>
          <w:b w:val="1"/>
          <w:sz w:val="20"/>
          <w:szCs w:val="20"/>
          <w:rtl w:val="0"/>
        </w:rPr>
        <w:t xml:space="preserve">VOTO PARTICULAR RECURSOS DE REVISIÓN 00485/INFOEM/IP/RR/2023</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360" w:lineRule="auto"/>
        <w:ind w:left="965" w:right="1325"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un momento determinado, además, de que representa un instrumento de identificación, proyección exterior y factor imprescindible para su propio reconocimiento como sujeto individual; por tanto, es un dato personal confidencial que debe protegerse en los documentos que lo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360" w:lineRule="auto"/>
        <w:ind w:left="965" w:right="132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Ahora bien, en materia de servidores públicos existen funciones que por su naturaleza pueden ser de un mayor interés público, es decir, aquellas que tienen un impacto directo en la vida de las personas y en el funcionamiento de la sociedad o de las instituciones públicas, ejemplo de ello pueden ser los servidores públicos cuya función implica una posición de poder que deba estar sujeta a escrutinio y rendición de cuentas ante la sociedad; otros ejemplos son los servidores públicos responsables de la administración de recursos públicos, la implementación de políticas públicas, la prestación de servicios públicos, entre otros.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965" w:right="132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lo que, dado el interés público que reviste a las funciones de las y los funcionarios que dan atención al público, así como aquellos que cuenten con la calidad de mando medio y/o superior, considero que se debe dejar visible su fotografía pues, hacer pública la imagen de éstos, puede contribuir a la transparencia y la rendición de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spacing w:before="1" w:lineRule="auto"/>
        <w:ind w:left="0" w:right="1325" w:firstLine="0"/>
        <w:jc w:val="right"/>
        <w:rPr>
          <w:rFonts w:ascii="Arial" w:cs="Arial" w:eastAsia="Arial" w:hAnsi="Arial"/>
          <w:b w:val="1"/>
          <w:sz w:val="20"/>
          <w:szCs w:val="20"/>
        </w:rPr>
        <w:sectPr>
          <w:type w:val="nextPage"/>
          <w:pgSz w:h="15840" w:w="12240" w:orient="portrait"/>
          <w:pgMar w:bottom="0" w:top="460" w:left="1020" w:right="0" w:header="360" w:footer="360"/>
        </w:sectPr>
      </w:pPr>
      <w:r w:rsidDel="00000000" w:rsidR="00000000" w:rsidRPr="00000000">
        <w:rPr>
          <w:rFonts w:ascii="Arial" w:cs="Arial" w:eastAsia="Arial" w:hAnsi="Arial"/>
          <w:b w:val="1"/>
          <w:sz w:val="20"/>
          <w:szCs w:val="20"/>
          <w:rtl w:val="0"/>
        </w:rPr>
        <w:t xml:space="preserve">5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11</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789120</wp:posOffset>
            </wp:positionH>
            <wp:positionV relativeFrom="page">
              <wp:posOffset>295706</wp:posOffset>
            </wp:positionV>
            <wp:extent cx="6155103" cy="9604578"/>
            <wp:effectExtent b="0" l="0" r="0" t="0"/>
            <wp:wrapNone/>
            <wp:docPr id="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103"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spacing w:before="0" w:lineRule="auto"/>
        <w:ind w:left="4839" w:right="1316" w:firstLine="3034"/>
        <w:jc w:val="left"/>
        <w:rPr>
          <w:b w:val="1"/>
          <w:sz w:val="20"/>
          <w:szCs w:val="20"/>
        </w:rPr>
      </w:pPr>
      <w:r w:rsidDel="00000000" w:rsidR="00000000" w:rsidRPr="00000000">
        <w:rPr>
          <w:b w:val="1"/>
          <w:sz w:val="20"/>
          <w:szCs w:val="20"/>
          <w:rtl w:val="0"/>
        </w:rPr>
        <w:t xml:space="preserve">VOTO PARTICULAR RECURSOS DE REVISIÓN 00485/INFOEM/IP/RR/2023</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 w:line="360" w:lineRule="auto"/>
        <w:ind w:left="965" w:right="1325"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cuentas, ya que permite a la ciudadanía identificar a los funcionarios que toman decisiones importantes en su nombre.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360" w:lineRule="auto"/>
        <w:ind w:left="965" w:right="132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Sin embargo, para el caso que nos ocupa se ordenó la entrega de información que, dada su propia y especial naturaleza, podría contener la fotografía de servidoras y servidores públicos que laboran para EL SUJETO OBLIGADO que no son mandos medios ni superiores y que tampoco tienen funciones de atención al público, por lo que los documentos que contengan dicho dato deberían ser entregados en versión pública testando la fotografía, pues se considera importante equilibrar el interés público con el derecho a la privacidad de las y los servidores públicos y ponderar si realmente es necesario y proporcional hacer pública su imagen, pues, en algunos casos, el interés público de hacer pública la imagen de un servidor público puede justificar la limitación de su derecho a la privacidad, pero esto debe evaluarse cuidadosamente en cada caso y no ser la regla general.</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5" w:right="132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por las razones antes expuestas no comparto este punto del estudio de la resolución dictada, y, por ende se emite el presente Voto Particular pues considero que no se debe dejar visible la fotografía de las y los servidores públicos que NO cuenten con la calidad de mando medio y/o superior,o no tengan atención al público por tanto, se estima que se actualiza la causal de clasificación establecida en el artículo 143, fracción I, de la Ley de la Ley de Transparencia y Acceso a la Información Pública del Estado de México y Municipios.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spacing w:before="0" w:lineRule="auto"/>
        <w:ind w:left="0" w:right="1325" w:firstLine="0"/>
        <w:jc w:val="right"/>
        <w:rPr>
          <w:rFonts w:ascii="Arial" w:cs="Arial" w:eastAsia="Arial" w:hAnsi="Arial"/>
          <w:b w:val="1"/>
          <w:sz w:val="20"/>
          <w:szCs w:val="20"/>
        </w:rPr>
        <w:sectPr>
          <w:type w:val="nextPage"/>
          <w:pgSz w:h="15840" w:w="12240" w:orient="portrait"/>
          <w:pgMar w:bottom="0" w:top="460" w:left="1020" w:right="0" w:header="360" w:footer="360"/>
        </w:sectPr>
      </w:pPr>
      <w:r w:rsidDel="00000000" w:rsidR="00000000" w:rsidRPr="00000000">
        <w:rPr>
          <w:rFonts w:ascii="Arial" w:cs="Arial" w:eastAsia="Arial" w:hAnsi="Arial"/>
          <w:b w:val="1"/>
          <w:sz w:val="20"/>
          <w:szCs w:val="20"/>
          <w:rtl w:val="0"/>
        </w:rPr>
        <w:t xml:space="preserve">6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11</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789120</wp:posOffset>
            </wp:positionH>
            <wp:positionV relativeFrom="page">
              <wp:posOffset>295706</wp:posOffset>
            </wp:positionV>
            <wp:extent cx="6155103" cy="9604578"/>
            <wp:effectExtent b="0" l="0" r="0" t="0"/>
            <wp:wrapNone/>
            <wp:docPr id="3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103"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spacing w:before="0" w:lineRule="auto"/>
        <w:ind w:left="4839" w:right="1316" w:firstLine="3034"/>
        <w:jc w:val="left"/>
        <w:rPr>
          <w:b w:val="1"/>
          <w:sz w:val="20"/>
          <w:szCs w:val="20"/>
        </w:rPr>
      </w:pPr>
      <w:r w:rsidDel="00000000" w:rsidR="00000000" w:rsidRPr="00000000">
        <w:rPr>
          <w:b w:val="1"/>
          <w:sz w:val="20"/>
          <w:szCs w:val="20"/>
          <w:rtl w:val="0"/>
        </w:rPr>
        <w:t xml:space="preserve">VOTO PARTICULAR RECURSOS DE REVISIÓN 00485/INFOEM/IP/RR/2023</w:t>
      </w:r>
    </w:p>
    <w:p w:rsidR="00000000" w:rsidDel="00000000" w:rsidP="00000000" w:rsidRDefault="00000000" w:rsidRPr="00000000" w14:paraId="00000073">
      <w:pPr>
        <w:pStyle w:val="Heading1"/>
        <w:spacing w:before="271" w:line="360" w:lineRule="auto"/>
        <w:ind w:right="1324" w:firstLine="965"/>
        <w:rPr/>
      </w:pPr>
      <w:r w:rsidDel="00000000" w:rsidR="00000000" w:rsidRPr="00000000">
        <w:rPr>
          <w:rtl w:val="0"/>
        </w:rPr>
        <w:t xml:space="preserve">En segundo lugar, para la emisora del voto en el presente caso, no se debió ordenar la entrega del certificado de no deudor alimentario moroso.</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360" w:lineRule="auto"/>
        <w:ind w:left="965" w:right="1325"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Lo anterior es así, en razón de que a consideración de la suscrita en cuanto a los certificados de no deudor alimentario moroso este debe ser protegido mediante su clasificación como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confidencial en su totalidad</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ello derivado a que el estar inscrito en dicho registro tiene un impacto en la imagen de un servidor público y se trata de un tema estrictamente de carácter personal e incluso de tipo familiar.</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360" w:lineRule="auto"/>
        <w:ind w:left="965" w:right="132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Se considera que la información que se ordena, en efecto, da certeza que determinado servidor público cumplió con los requisitos señalados en el artículo 32 de la Ley Orgánica Municipal del Estado de México, pero también lo es que dar a conocer esta información podría vulnerar la vida privada de los servidores públicos.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17"/>
          <w:tab w:val="left" w:leader="none" w:pos="3440"/>
          <w:tab w:val="left" w:leader="none" w:pos="5251"/>
          <w:tab w:val="left" w:leader="none" w:pos="6197"/>
          <w:tab w:val="left" w:leader="none" w:pos="7077"/>
          <w:tab w:val="left" w:leader="none" w:pos="8747"/>
        </w:tabs>
        <w:spacing w:after="0" w:before="238" w:line="360" w:lineRule="auto"/>
        <w:ind w:left="965" w:right="1326"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Más aún cuando en el Proyecto de Decreto por el que se Reforman y Adicionan Diversas Disposiciones para crear el Registro de Deudores Alimentarios del Estado de</w:t>
        <w:tab/>
        <w:t xml:space="preserve">México,</w:t>
        <w:tab/>
        <w:t xml:space="preserve">disponible</w:t>
        <w:tab/>
        <w:t xml:space="preserve">en</w:t>
        <w:tab/>
        <w:t xml:space="preserve">la</w:t>
        <w:tab/>
        <w:t xml:space="preserve">dirección</w:t>
        <w:tab/>
        <w:t xml:space="preserve">electrónica </w:t>
      </w:r>
      <w:hyperlink r:id="rId8">
        <w:r w:rsidDel="00000000" w:rsidR="00000000" w:rsidRPr="00000000">
          <w:rPr>
            <w:rFonts w:ascii="Palatino Linotype" w:cs="Palatino Linotype" w:eastAsia="Palatino Linotype" w:hAnsi="Palatino Linotype"/>
            <w:b w:val="0"/>
            <w:i w:val="0"/>
            <w:smallCaps w:val="0"/>
            <w:strike w:val="0"/>
            <w:color w:val="0000ff"/>
            <w:sz w:val="24"/>
            <w:szCs w:val="24"/>
            <w:u w:val="single"/>
            <w:shd w:fill="auto" w:val="clear"/>
            <w:vertAlign w:val="baseline"/>
            <w:rtl w:val="0"/>
          </w:rPr>
          <w:t xml:space="preserve">https://www.ipomex.org.mx/recursos/ipo/files_ipo/2014/8/11/630bc7787b59af912a96</w:t>
        </w:r>
      </w:hyperlink>
      <w:r w:rsidDel="00000000" w:rsidR="00000000" w:rsidRPr="00000000">
        <w:rPr>
          <w:rFonts w:ascii="Palatino Linotype" w:cs="Palatino Linotype" w:eastAsia="Palatino Linotype" w:hAnsi="Palatino Linotype"/>
          <w:b w:val="0"/>
          <w:i w:val="0"/>
          <w:smallCaps w:val="0"/>
          <w:strike w:val="0"/>
          <w:color w:val="0000ff"/>
          <w:sz w:val="24"/>
          <w:szCs w:val="24"/>
          <w:u w:val="none"/>
          <w:shd w:fill="auto" w:val="clear"/>
          <w:vertAlign w:val="baseline"/>
          <w:rtl w:val="0"/>
        </w:rPr>
        <w:t xml:space="preserve"> </w:t>
      </w:r>
      <w:hyperlink r:id="rId9">
        <w:r w:rsidDel="00000000" w:rsidR="00000000" w:rsidRPr="00000000">
          <w:rPr>
            <w:rFonts w:ascii="Palatino Linotype" w:cs="Palatino Linotype" w:eastAsia="Palatino Linotype" w:hAnsi="Palatino Linotype"/>
            <w:b w:val="0"/>
            <w:i w:val="0"/>
            <w:smallCaps w:val="0"/>
            <w:strike w:val="0"/>
            <w:color w:val="0000ff"/>
            <w:sz w:val="24"/>
            <w:szCs w:val="24"/>
            <w:u w:val="single"/>
            <w:shd w:fill="auto" w:val="clear"/>
            <w:vertAlign w:val="baseline"/>
            <w:rtl w:val="0"/>
          </w:rPr>
          <w:t xml:space="preserve">a9e1bca1c770.pdf#:~:text=La%20inscripci%C3%B3n%20con%20el%20car%C3%A1ct</w:t>
        </w:r>
      </w:hyperlink>
      <w:r w:rsidDel="00000000" w:rsidR="00000000" w:rsidRPr="00000000">
        <w:rPr>
          <w:rFonts w:ascii="Palatino Linotype" w:cs="Palatino Linotype" w:eastAsia="Palatino Linotype" w:hAnsi="Palatino Linotype"/>
          <w:b w:val="0"/>
          <w:i w:val="0"/>
          <w:smallCaps w:val="0"/>
          <w:strike w:val="0"/>
          <w:color w:val="0000ff"/>
          <w:sz w:val="24"/>
          <w:szCs w:val="24"/>
          <w:u w:val="none"/>
          <w:shd w:fill="auto" w:val="clear"/>
          <w:vertAlign w:val="baseline"/>
          <w:rtl w:val="0"/>
        </w:rPr>
        <w:t xml:space="preserve"> </w:t>
      </w:r>
      <w:hyperlink r:id="rId10">
        <w:r w:rsidDel="00000000" w:rsidR="00000000" w:rsidRPr="00000000">
          <w:rPr>
            <w:rFonts w:ascii="Palatino Linotype" w:cs="Palatino Linotype" w:eastAsia="Palatino Linotype" w:hAnsi="Palatino Linotype"/>
            <w:b w:val="0"/>
            <w:i w:val="0"/>
            <w:smallCaps w:val="0"/>
            <w:strike w:val="0"/>
            <w:color w:val="0000ff"/>
            <w:sz w:val="24"/>
            <w:szCs w:val="24"/>
            <w:u w:val="single"/>
            <w:shd w:fill="auto" w:val="clear"/>
            <w:vertAlign w:val="baseline"/>
            <w:rtl w:val="0"/>
          </w:rPr>
          <w:t xml:space="preserve">er,del%20Estado%20de%20M%C3%A9xico%20e</w:t>
        </w:r>
      </w:hyperlink>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pueden advertirse los objetivos de crear dicho registro:</w:t>
      </w:r>
    </w:p>
    <w:p w:rsidR="00000000" w:rsidDel="00000000" w:rsidP="00000000" w:rsidRDefault="00000000" w:rsidRPr="00000000" w14:paraId="00000077">
      <w:pPr>
        <w:spacing w:before="239" w:lineRule="auto"/>
        <w:ind w:left="1817" w:right="1749" w:firstLine="0"/>
        <w:jc w:val="left"/>
        <w:rPr>
          <w:i w:val="1"/>
          <w:sz w:val="22"/>
          <w:szCs w:val="22"/>
        </w:rPr>
      </w:pPr>
      <w:r w:rsidDel="00000000" w:rsidR="00000000" w:rsidRPr="00000000">
        <w:rPr>
          <w:i w:val="1"/>
          <w:sz w:val="22"/>
          <w:szCs w:val="22"/>
          <w:rtl w:val="0"/>
        </w:rPr>
        <w:t xml:space="preserve">“El interés superior del menor debe prevalecer en cualquier controversia de derecho familiar, situación que obliga a las autoridades a establecer las medidas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spacing w:before="0" w:lineRule="auto"/>
        <w:ind w:left="0" w:right="1325" w:firstLine="0"/>
        <w:jc w:val="right"/>
        <w:rPr>
          <w:rFonts w:ascii="Arial" w:cs="Arial" w:eastAsia="Arial" w:hAnsi="Arial"/>
          <w:b w:val="1"/>
          <w:sz w:val="20"/>
          <w:szCs w:val="20"/>
        </w:rPr>
        <w:sectPr>
          <w:type w:val="nextPage"/>
          <w:pgSz w:h="15840" w:w="12240" w:orient="portrait"/>
          <w:pgMar w:bottom="0" w:top="460" w:left="1020" w:right="0" w:header="360" w:footer="360"/>
        </w:sectPr>
      </w:pPr>
      <w:r w:rsidDel="00000000" w:rsidR="00000000" w:rsidRPr="00000000">
        <w:rPr>
          <w:rFonts w:ascii="Arial" w:cs="Arial" w:eastAsia="Arial" w:hAnsi="Arial"/>
          <w:b w:val="1"/>
          <w:sz w:val="20"/>
          <w:szCs w:val="20"/>
          <w:rtl w:val="0"/>
        </w:rPr>
        <w:t xml:space="preserve">7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11</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789120</wp:posOffset>
            </wp:positionH>
            <wp:positionV relativeFrom="page">
              <wp:posOffset>295706</wp:posOffset>
            </wp:positionV>
            <wp:extent cx="6155103" cy="9604578"/>
            <wp:effectExtent b="0" l="0" r="0" t="0"/>
            <wp:wrapNone/>
            <wp:docPr id="3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103"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spacing w:before="0" w:lineRule="auto"/>
        <w:ind w:left="4839" w:right="1316" w:firstLine="3034"/>
        <w:jc w:val="left"/>
        <w:rPr>
          <w:b w:val="1"/>
          <w:sz w:val="20"/>
          <w:szCs w:val="20"/>
        </w:rPr>
      </w:pPr>
      <w:r w:rsidDel="00000000" w:rsidR="00000000" w:rsidRPr="00000000">
        <w:rPr>
          <w:b w:val="1"/>
          <w:sz w:val="20"/>
          <w:szCs w:val="20"/>
          <w:rtl w:val="0"/>
        </w:rPr>
        <w:t xml:space="preserve">VOTO PARTICULAR RECURSOS DE REVISIÓN 00485/INFOEM/IP/RR/2023</w:t>
      </w:r>
    </w:p>
    <w:p w:rsidR="00000000" w:rsidDel="00000000" w:rsidP="00000000" w:rsidRDefault="00000000" w:rsidRPr="00000000" w14:paraId="00000086">
      <w:pPr>
        <w:spacing w:before="270" w:lineRule="auto"/>
        <w:ind w:left="1817" w:right="2318" w:firstLine="0"/>
        <w:jc w:val="both"/>
        <w:rPr>
          <w:i w:val="1"/>
          <w:sz w:val="22"/>
          <w:szCs w:val="22"/>
        </w:rPr>
      </w:pPr>
      <w:r w:rsidDel="00000000" w:rsidR="00000000" w:rsidRPr="00000000">
        <w:rPr>
          <w:i w:val="1"/>
          <w:sz w:val="22"/>
          <w:szCs w:val="22"/>
          <w:rtl w:val="0"/>
        </w:rPr>
        <w:t xml:space="preserve">necesarias para asegurar el cumplimiento del pago de la pensión alimenticia decretada a su favor.</w:t>
      </w:r>
    </w:p>
    <w:p w:rsidR="00000000" w:rsidDel="00000000" w:rsidP="00000000" w:rsidRDefault="00000000" w:rsidRPr="00000000" w14:paraId="00000087">
      <w:pPr>
        <w:spacing w:before="122" w:lineRule="auto"/>
        <w:ind w:left="1817" w:right="2314" w:firstLine="0"/>
        <w:jc w:val="both"/>
        <w:rPr>
          <w:i w:val="1"/>
          <w:sz w:val="22"/>
          <w:szCs w:val="22"/>
        </w:rPr>
      </w:pPr>
      <w:r w:rsidDel="00000000" w:rsidR="00000000" w:rsidRPr="00000000">
        <w:rPr>
          <w:i w:val="1"/>
          <w:sz w:val="22"/>
          <w:szCs w:val="22"/>
          <w:rtl w:val="0"/>
        </w:rPr>
        <w:t xml:space="preserve">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rsidR="00000000" w:rsidDel="00000000" w:rsidP="00000000" w:rsidRDefault="00000000" w:rsidRPr="00000000" w14:paraId="00000088">
      <w:pPr>
        <w:spacing w:before="118" w:lineRule="auto"/>
        <w:ind w:left="1817" w:right="2316" w:firstLine="0"/>
        <w:jc w:val="both"/>
        <w:rPr>
          <w:i w:val="1"/>
          <w:sz w:val="22"/>
          <w:szCs w:val="22"/>
        </w:rPr>
      </w:pPr>
      <w:r w:rsidDel="00000000" w:rsidR="00000000" w:rsidRPr="00000000">
        <w:rPr>
          <w:i w:val="1"/>
          <w:sz w:val="22"/>
          <w:szCs w:val="22"/>
          <w:rtl w:val="0"/>
        </w:rPr>
        <w:t xml:space="preserve">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eluden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rsidR="00000000" w:rsidDel="00000000" w:rsidP="00000000" w:rsidRDefault="00000000" w:rsidRPr="00000000" w14:paraId="00000089">
      <w:pPr>
        <w:spacing w:before="120" w:lineRule="auto"/>
        <w:ind w:left="1817" w:right="2312" w:firstLine="0"/>
        <w:jc w:val="both"/>
        <w:rPr>
          <w:i w:val="1"/>
          <w:sz w:val="22"/>
          <w:szCs w:val="22"/>
        </w:rPr>
      </w:pPr>
      <w:r w:rsidDel="00000000" w:rsidR="00000000" w:rsidRPr="00000000">
        <w:rPr>
          <w:i w:val="1"/>
          <w:sz w:val="22"/>
          <w:szCs w:val="22"/>
          <w:rtl w:val="0"/>
        </w:rPr>
        <w:t xml:space="preserve">Los alimentos tienen carácter preferente a favor de los hijos, sin que pueda eximirse el deudor alimentario de su cumplimiento cuando esté en posibilidades de hacerlo. En el Estado de México, 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rsidR="00000000" w:rsidDel="00000000" w:rsidP="00000000" w:rsidRDefault="00000000" w:rsidRPr="00000000" w14:paraId="0000008A">
      <w:pPr>
        <w:spacing w:before="121" w:lineRule="auto"/>
        <w:ind w:left="1817" w:right="2314" w:firstLine="0"/>
        <w:jc w:val="both"/>
        <w:rPr>
          <w:i w:val="1"/>
          <w:sz w:val="22"/>
          <w:szCs w:val="22"/>
        </w:rPr>
      </w:pPr>
      <w:r w:rsidDel="00000000" w:rsidR="00000000" w:rsidRPr="00000000">
        <w:rPr>
          <w:i w:val="1"/>
          <w:sz w:val="22"/>
          <w:szCs w:val="22"/>
          <w:rtl w:val="0"/>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spacing w:before="1" w:lineRule="auto"/>
        <w:ind w:left="0" w:right="1325" w:firstLine="0"/>
        <w:jc w:val="right"/>
        <w:rPr>
          <w:rFonts w:ascii="Arial" w:cs="Arial" w:eastAsia="Arial" w:hAnsi="Arial"/>
          <w:b w:val="1"/>
          <w:sz w:val="20"/>
          <w:szCs w:val="20"/>
        </w:rPr>
        <w:sectPr>
          <w:type w:val="nextPage"/>
          <w:pgSz w:h="15840" w:w="12240" w:orient="portrait"/>
          <w:pgMar w:bottom="0" w:top="460" w:left="1020" w:right="0" w:header="360" w:footer="360"/>
        </w:sectPr>
      </w:pPr>
      <w:r w:rsidDel="00000000" w:rsidR="00000000" w:rsidRPr="00000000">
        <w:rPr>
          <w:rFonts w:ascii="Arial" w:cs="Arial" w:eastAsia="Arial" w:hAnsi="Arial"/>
          <w:b w:val="1"/>
          <w:sz w:val="20"/>
          <w:szCs w:val="20"/>
          <w:rtl w:val="0"/>
        </w:rPr>
        <w:t xml:space="preserve">8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11</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789120</wp:posOffset>
            </wp:positionH>
            <wp:positionV relativeFrom="page">
              <wp:posOffset>295706</wp:posOffset>
            </wp:positionV>
            <wp:extent cx="6155103" cy="9604578"/>
            <wp:effectExtent b="0" l="0" r="0" t="0"/>
            <wp:wrapNone/>
            <wp:docPr id="3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103"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spacing w:before="0" w:lineRule="auto"/>
        <w:ind w:left="4839" w:right="1316" w:firstLine="3034"/>
        <w:jc w:val="left"/>
        <w:rPr>
          <w:b w:val="1"/>
          <w:sz w:val="20"/>
          <w:szCs w:val="20"/>
        </w:rPr>
      </w:pPr>
      <w:r w:rsidDel="00000000" w:rsidR="00000000" w:rsidRPr="00000000">
        <w:rPr>
          <w:b w:val="1"/>
          <w:sz w:val="20"/>
          <w:szCs w:val="20"/>
          <w:rtl w:val="0"/>
        </w:rPr>
        <w:t xml:space="preserve">VOTO PARTICULAR RECURSOS DE REVISIÓN 00485/INFOEM/IP/RR/2023</w:t>
      </w:r>
    </w:p>
    <w:p w:rsidR="00000000" w:rsidDel="00000000" w:rsidP="00000000" w:rsidRDefault="00000000" w:rsidRPr="00000000" w14:paraId="00000098">
      <w:pPr>
        <w:spacing w:before="270" w:line="242" w:lineRule="auto"/>
        <w:ind w:left="1817" w:right="2316" w:firstLine="0"/>
        <w:jc w:val="both"/>
        <w:rPr>
          <w:b w:val="1"/>
          <w:i w:val="1"/>
          <w:sz w:val="22"/>
          <w:szCs w:val="22"/>
        </w:rPr>
      </w:pPr>
      <w:r w:rsidDel="00000000" w:rsidR="00000000" w:rsidRPr="00000000">
        <w:rPr>
          <w:i w:val="1"/>
          <w:sz w:val="22"/>
          <w:szCs w:val="22"/>
          <w:rtl w:val="0"/>
        </w:rPr>
        <w:t xml:space="preserve">México (REDAEM), </w:t>
      </w:r>
      <w:r w:rsidDel="00000000" w:rsidR="00000000" w:rsidRPr="00000000">
        <w:rPr>
          <w:b w:val="1"/>
          <w:i w:val="1"/>
          <w:sz w:val="22"/>
          <w:szCs w:val="22"/>
          <w:u w:val="single"/>
          <w:rtl w:val="0"/>
        </w:rPr>
        <w:t xml:space="preserve">con la finalidad de asegurar el cumplimiento de las</w:t>
      </w:r>
      <w:r w:rsidDel="00000000" w:rsidR="00000000" w:rsidRPr="00000000">
        <w:rPr>
          <w:b w:val="1"/>
          <w:i w:val="1"/>
          <w:sz w:val="22"/>
          <w:szCs w:val="22"/>
          <w:rtl w:val="0"/>
        </w:rPr>
        <w:t xml:space="preserve"> </w:t>
      </w:r>
      <w:r w:rsidDel="00000000" w:rsidR="00000000" w:rsidRPr="00000000">
        <w:rPr>
          <w:b w:val="1"/>
          <w:i w:val="1"/>
          <w:sz w:val="22"/>
          <w:szCs w:val="22"/>
          <w:u w:val="single"/>
          <w:rtl w:val="0"/>
        </w:rPr>
        <w:t xml:space="preserve">obligaciones alimentarias que tienen los padres para con sus menores</w:t>
      </w:r>
      <w:r w:rsidDel="00000000" w:rsidR="00000000" w:rsidRPr="00000000">
        <w:rPr>
          <w:b w:val="1"/>
          <w:i w:val="1"/>
          <w:sz w:val="22"/>
          <w:szCs w:val="22"/>
          <w:rtl w:val="0"/>
        </w:rPr>
        <w:t xml:space="preserve"> </w:t>
      </w:r>
      <w:r w:rsidDel="00000000" w:rsidR="00000000" w:rsidRPr="00000000">
        <w:rPr>
          <w:b w:val="1"/>
          <w:i w:val="1"/>
          <w:sz w:val="22"/>
          <w:szCs w:val="22"/>
          <w:u w:val="single"/>
          <w:rtl w:val="0"/>
        </w:rPr>
        <w:t xml:space="preserve">hijos.” (Sic)</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360" w:lineRule="auto"/>
        <w:ind w:left="965" w:right="1325"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solicitada de manera general como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información confidencial en su totalidad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términos del artículo 143, fracción I, de la Ley de Transparencia y Acceso a la Información Pública del Estado de México y Municipios.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360" w:lineRule="auto"/>
        <w:ind w:left="965" w:right="132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otro lado, clasificar en su totalidad esa información de igual forma, da certeza del cumplimiento del requisito, toda vez que la clasificación y la inexistencia no pueden coexistir. A efecto de robustecer lo anterior, sirve de sustento el criterio orientador 29/10 emitido por el Instituto Nacional de Transparencia, Acceso a la Información y Protección de Datos Personales, INAI, el cual refiere lo siguiente:</w:t>
      </w:r>
    </w:p>
    <w:p w:rsidR="00000000" w:rsidDel="00000000" w:rsidP="00000000" w:rsidRDefault="00000000" w:rsidRPr="00000000" w14:paraId="0000009B">
      <w:pPr>
        <w:spacing w:before="239" w:line="360" w:lineRule="auto"/>
        <w:ind w:left="965" w:right="1326" w:firstLine="0"/>
        <w:jc w:val="both"/>
        <w:rPr>
          <w:i w:val="1"/>
          <w:sz w:val="24"/>
          <w:szCs w:val="24"/>
        </w:rPr>
      </w:pPr>
      <w:r w:rsidDel="00000000" w:rsidR="00000000" w:rsidRPr="00000000">
        <w:rPr>
          <w:i w:val="1"/>
          <w:sz w:val="24"/>
          <w:szCs w:val="24"/>
          <w:rtl w:val="0"/>
        </w:rPr>
        <w:t xml:space="preserve">“La clasificación y la inexistencia de información son conceptos que no pueden coexistir. La inexistencia implica necesariamente que la información no se encuentra en los archivos de la</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spacing w:before="1" w:lineRule="auto"/>
        <w:ind w:left="0" w:right="1325" w:firstLine="0"/>
        <w:jc w:val="right"/>
        <w:rPr>
          <w:rFonts w:ascii="Arial" w:cs="Arial" w:eastAsia="Arial" w:hAnsi="Arial"/>
          <w:b w:val="1"/>
          <w:sz w:val="20"/>
          <w:szCs w:val="20"/>
        </w:rPr>
        <w:sectPr>
          <w:type w:val="nextPage"/>
          <w:pgSz w:h="15840" w:w="12240" w:orient="portrait"/>
          <w:pgMar w:bottom="0" w:top="460" w:left="1020" w:right="0" w:header="360" w:footer="360"/>
        </w:sectPr>
      </w:pPr>
      <w:r w:rsidDel="00000000" w:rsidR="00000000" w:rsidRPr="00000000">
        <w:rPr>
          <w:rFonts w:ascii="Arial" w:cs="Arial" w:eastAsia="Arial" w:hAnsi="Arial"/>
          <w:b w:val="1"/>
          <w:sz w:val="20"/>
          <w:szCs w:val="20"/>
          <w:rtl w:val="0"/>
        </w:rPr>
        <w:t xml:space="preserve">9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11</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789120</wp:posOffset>
            </wp:positionH>
            <wp:positionV relativeFrom="page">
              <wp:posOffset>295706</wp:posOffset>
            </wp:positionV>
            <wp:extent cx="6155103" cy="9604578"/>
            <wp:effectExtent b="0" l="0" r="0" t="0"/>
            <wp:wrapNone/>
            <wp:docPr id="3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103"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spacing w:before="0" w:lineRule="auto"/>
        <w:ind w:left="4839" w:right="1316" w:firstLine="3034"/>
        <w:jc w:val="left"/>
        <w:rPr>
          <w:b w:val="1"/>
          <w:sz w:val="20"/>
          <w:szCs w:val="20"/>
        </w:rPr>
      </w:pPr>
      <w:r w:rsidDel="00000000" w:rsidR="00000000" w:rsidRPr="00000000">
        <w:rPr>
          <w:b w:val="1"/>
          <w:sz w:val="20"/>
          <w:szCs w:val="20"/>
          <w:rtl w:val="0"/>
        </w:rPr>
        <w:t xml:space="preserve">VOTO PARTICULAR RECURSOS DE REVISIÓN 00485/INFOEM/IP/RR/2023</w:t>
      </w:r>
    </w:p>
    <w:p w:rsidR="00000000" w:rsidDel="00000000" w:rsidP="00000000" w:rsidRDefault="00000000" w:rsidRPr="00000000" w14:paraId="000000A8">
      <w:pPr>
        <w:spacing w:before="273" w:line="360" w:lineRule="auto"/>
        <w:ind w:left="965" w:right="1321" w:firstLine="0"/>
        <w:jc w:val="both"/>
        <w:rPr>
          <w:i w:val="1"/>
          <w:sz w:val="24"/>
          <w:szCs w:val="24"/>
        </w:rPr>
      </w:pPr>
      <w:r w:rsidDel="00000000" w:rsidR="00000000" w:rsidRPr="00000000">
        <w:rPr>
          <w:i w:val="1"/>
          <w:sz w:val="24"/>
          <w:szCs w:val="24"/>
          <w:rtl w:val="0"/>
        </w:rPr>
        <w:t xml:space="preserve">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 (Énfasis añadido)</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965" w:right="1321"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Lo anterior expone razones suficientes para la emisión y presentación del presente Voto Particular, relacionado con la resolución del Recurso de Revisión referido.</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spacing w:before="0" w:lineRule="auto"/>
        <w:ind w:left="0" w:right="1325" w:firstLine="0"/>
        <w:jc w:val="right"/>
        <w:rPr>
          <w:rFonts w:ascii="Arial" w:cs="Arial" w:eastAsia="Arial" w:hAnsi="Arial"/>
          <w:b w:val="1"/>
          <w:sz w:val="20"/>
          <w:szCs w:val="20"/>
        </w:rPr>
        <w:sectPr>
          <w:type w:val="nextPage"/>
          <w:pgSz w:h="15840" w:w="12240" w:orient="portrait"/>
          <w:pgMar w:bottom="0" w:top="460" w:left="1020" w:right="0" w:header="360" w:footer="360"/>
        </w:sectPr>
      </w:pPr>
      <w:r w:rsidDel="00000000" w:rsidR="00000000" w:rsidRPr="00000000">
        <w:rPr>
          <w:rFonts w:ascii="Arial" w:cs="Arial" w:eastAsia="Arial" w:hAnsi="Arial"/>
          <w:b w:val="1"/>
          <w:sz w:val="20"/>
          <w:szCs w:val="20"/>
          <w:rtl w:val="0"/>
        </w:rPr>
        <w:t xml:space="preserve">10 </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b w:val="1"/>
          <w:sz w:val="20"/>
          <w:szCs w:val="20"/>
          <w:rtl w:val="0"/>
        </w:rPr>
        <w:t xml:space="preserve">11</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0</wp:posOffset>
                </wp:positionH>
                <wp:positionV relativeFrom="page">
                  <wp:posOffset>9250253</wp:posOffset>
                </wp:positionV>
                <wp:extent cx="7379334" cy="808355"/>
                <wp:effectExtent b="0" l="0" r="0" t="0"/>
                <wp:wrapNone/>
                <wp:docPr id="27" name=""/>
                <a:graphic>
                  <a:graphicData uri="http://schemas.microsoft.com/office/word/2010/wordprocessingGroup">
                    <wpg:wgp>
                      <wpg:cNvGrpSpPr/>
                      <wpg:grpSpPr>
                        <a:xfrm>
                          <a:off x="1656325" y="3375800"/>
                          <a:ext cx="7379334" cy="808355"/>
                          <a:chOff x="1656325" y="3375800"/>
                          <a:chExt cx="7379350" cy="808375"/>
                        </a:xfrm>
                      </wpg:grpSpPr>
                      <wpg:grpSp>
                        <wpg:cNvGrpSpPr/>
                        <wpg:grpSpPr>
                          <a:xfrm>
                            <a:off x="1656333" y="3375823"/>
                            <a:ext cx="7379325" cy="808350"/>
                            <a:chOff x="0" y="0"/>
                            <a:chExt cx="7379325" cy="808350"/>
                          </a:xfrm>
                        </wpg:grpSpPr>
                        <wps:wsp>
                          <wps:cNvSpPr/>
                          <wps:cNvPr id="3" name="Shape 3"/>
                          <wps:spPr>
                            <a:xfrm>
                              <a:off x="0" y="0"/>
                              <a:ext cx="7379325" cy="808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1">
                              <a:alphaModFix/>
                            </a:blip>
                            <a:srcRect b="0" l="0" r="0" t="0"/>
                            <a:stretch/>
                          </pic:blipFill>
                          <pic:spPr>
                            <a:xfrm>
                              <a:off x="0" y="92627"/>
                              <a:ext cx="7379208" cy="715518"/>
                            </a:xfrm>
                            <a:prstGeom prst="rect">
                              <a:avLst/>
                            </a:prstGeom>
                            <a:noFill/>
                            <a:ln>
                              <a:noFill/>
                            </a:ln>
                          </pic:spPr>
                        </pic:pic>
                        <wps:wsp>
                          <wps:cNvSpPr/>
                          <wps:cNvPr id="5" name="Shape 5"/>
                          <wps:spPr>
                            <a:xfrm>
                              <a:off x="6045200" y="0"/>
                              <a:ext cx="929640" cy="135255"/>
                            </a:xfrm>
                            <a:prstGeom prst="rect">
                              <a:avLst/>
                            </a:prstGeom>
                            <a:noFill/>
                            <a:ln>
                              <a:noFill/>
                            </a:ln>
                          </wps:spPr>
                          <wps:txbx>
                            <w:txbxContent>
                              <w:p w:rsidR="00000000" w:rsidDel="00000000" w:rsidP="00000000" w:rsidRDefault="00000000" w:rsidRPr="00000000">
                                <w:pPr>
                                  <w:spacing w:after="0" w:before="0" w:line="212.0000123977661"/>
                                  <w:ind w:left="0" w:right="0" w:firstLine="0"/>
                                  <w:jc w:val="left"/>
                                  <w:textDirection w:val="btLr"/>
                                </w:pPr>
                                <w:r w:rsidDel="00000000" w:rsidR="00000000" w:rsidRPr="00000000">
                                  <w:rPr>
                                    <w:rFonts w:ascii="Palatino Linotype" w:cs="Palatino Linotype" w:eastAsia="Palatino Linotype" w:hAnsi="Palatino Linotype"/>
                                    <w:b w:val="0"/>
                                    <w:i w:val="0"/>
                                    <w:smallCaps w:val="0"/>
                                    <w:strike w:val="0"/>
                                    <w:color w:val="000000"/>
                                    <w:sz w:val="21"/>
                                    <w:vertAlign w:val="baseline"/>
                                  </w:rPr>
                                  <w:t xml:space="preserve">Página 11 de 11</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0</wp:posOffset>
                </wp:positionH>
                <wp:positionV relativeFrom="page">
                  <wp:posOffset>9250253</wp:posOffset>
                </wp:positionV>
                <wp:extent cx="7379334" cy="808355"/>
                <wp:effectExtent b="0" l="0" r="0" t="0"/>
                <wp:wrapNone/>
                <wp:docPr id="27"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7379334" cy="808355"/>
                        </a:xfrm>
                        <a:prstGeom prst="rect"/>
                        <a:ln/>
                      </pic:spPr>
                    </pic:pic>
                  </a:graphicData>
                </a:graphic>
              </wp:anchor>
            </w:drawing>
          </mc:Fallback>
        </mc:AlternateConten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486757" cy="700944"/>
            <wp:effectExtent b="0" l="0" r="0" t="0"/>
            <wp:docPr id="35"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1486757" cy="700944"/>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E">
      <w:pPr>
        <w:spacing w:before="0" w:lineRule="auto"/>
        <w:ind w:left="0" w:right="345" w:firstLine="0"/>
        <w:jc w:val="center"/>
        <w:rPr>
          <w:sz w:val="18"/>
          <w:szCs w:val="18"/>
        </w:rPr>
      </w:pPr>
      <w:r w:rsidDel="00000000" w:rsidR="00000000" w:rsidRPr="00000000">
        <w:rPr>
          <w:rtl w:val="0"/>
        </w:rPr>
      </w:r>
    </w:p>
    <w:sectPr>
      <w:type w:val="nextPage"/>
      <w:pgSz w:h="15840" w:w="12240" w:orient="portrait"/>
      <w:pgMar w:bottom="0" w:top="620" w:left="1020" w:right="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673" w:hanging="425"/>
      </w:pPr>
      <w:rPr>
        <w:rFonts w:ascii="Palatino Linotype" w:cs="Palatino Linotype" w:eastAsia="Palatino Linotype" w:hAnsi="Palatino Linotype"/>
        <w:b w:val="0"/>
        <w:i w:val="1"/>
        <w:sz w:val="24"/>
        <w:szCs w:val="24"/>
      </w:rPr>
    </w:lvl>
    <w:lvl w:ilvl="1">
      <w:start w:val="0"/>
      <w:numFmt w:val="bullet"/>
      <w:lvlText w:val="•"/>
      <w:lvlJc w:val="left"/>
      <w:pPr>
        <w:ind w:left="2634" w:hanging="425"/>
      </w:pPr>
      <w:rPr/>
    </w:lvl>
    <w:lvl w:ilvl="2">
      <w:start w:val="0"/>
      <w:numFmt w:val="bullet"/>
      <w:lvlText w:val="•"/>
      <w:lvlJc w:val="left"/>
      <w:pPr>
        <w:ind w:left="3588" w:hanging="425"/>
      </w:pPr>
      <w:rPr/>
    </w:lvl>
    <w:lvl w:ilvl="3">
      <w:start w:val="0"/>
      <w:numFmt w:val="bullet"/>
      <w:lvlText w:val="•"/>
      <w:lvlJc w:val="left"/>
      <w:pPr>
        <w:ind w:left="4542" w:hanging="425"/>
      </w:pPr>
      <w:rPr/>
    </w:lvl>
    <w:lvl w:ilvl="4">
      <w:start w:val="0"/>
      <w:numFmt w:val="bullet"/>
      <w:lvlText w:val="•"/>
      <w:lvlJc w:val="left"/>
      <w:pPr>
        <w:ind w:left="5496" w:hanging="425"/>
      </w:pPr>
      <w:rPr/>
    </w:lvl>
    <w:lvl w:ilvl="5">
      <w:start w:val="0"/>
      <w:numFmt w:val="bullet"/>
      <w:lvlText w:val="•"/>
      <w:lvlJc w:val="left"/>
      <w:pPr>
        <w:ind w:left="6450" w:hanging="425"/>
      </w:pPr>
      <w:rPr/>
    </w:lvl>
    <w:lvl w:ilvl="6">
      <w:start w:val="0"/>
      <w:numFmt w:val="bullet"/>
      <w:lvlText w:val="•"/>
      <w:lvlJc w:val="left"/>
      <w:pPr>
        <w:ind w:left="7404" w:hanging="425"/>
      </w:pPr>
      <w:rPr/>
    </w:lvl>
    <w:lvl w:ilvl="7">
      <w:start w:val="0"/>
      <w:numFmt w:val="bullet"/>
      <w:lvlText w:val="•"/>
      <w:lvlJc w:val="left"/>
      <w:pPr>
        <w:ind w:left="8358" w:hanging="425"/>
      </w:pPr>
      <w:rPr/>
    </w:lvl>
    <w:lvl w:ilvl="8">
      <w:start w:val="0"/>
      <w:numFmt w:val="bullet"/>
      <w:lvlText w:val="•"/>
      <w:lvlJc w:val="left"/>
      <w:pPr>
        <w:ind w:left="9312" w:hanging="425"/>
      </w:pPr>
      <w:rPr/>
    </w:lvl>
  </w:abstractNum>
  <w:abstractNum w:abstractNumId="2">
    <w:lvl w:ilvl="0">
      <w:start w:val="1"/>
      <w:numFmt w:val="upperRoman"/>
      <w:lvlText w:val="%1."/>
      <w:lvlJc w:val="left"/>
      <w:pPr>
        <w:ind w:left="1745" w:hanging="353"/>
      </w:pPr>
      <w:rPr>
        <w:rFonts w:ascii="Palatino Linotype" w:cs="Palatino Linotype" w:eastAsia="Palatino Linotype" w:hAnsi="Palatino Linotype"/>
        <w:b w:val="1"/>
        <w:i w:val="0"/>
        <w:sz w:val="24"/>
        <w:szCs w:val="24"/>
      </w:rPr>
    </w:lvl>
    <w:lvl w:ilvl="1">
      <w:start w:val="0"/>
      <w:numFmt w:val="bullet"/>
      <w:lvlText w:val="•"/>
      <w:lvlJc w:val="left"/>
      <w:pPr>
        <w:ind w:left="2688" w:hanging="353"/>
      </w:pPr>
      <w:rPr/>
    </w:lvl>
    <w:lvl w:ilvl="2">
      <w:start w:val="0"/>
      <w:numFmt w:val="bullet"/>
      <w:lvlText w:val="•"/>
      <w:lvlJc w:val="left"/>
      <w:pPr>
        <w:ind w:left="3636" w:hanging="353"/>
      </w:pPr>
      <w:rPr/>
    </w:lvl>
    <w:lvl w:ilvl="3">
      <w:start w:val="0"/>
      <w:numFmt w:val="bullet"/>
      <w:lvlText w:val="•"/>
      <w:lvlJc w:val="left"/>
      <w:pPr>
        <w:ind w:left="4584" w:hanging="353"/>
      </w:pPr>
      <w:rPr/>
    </w:lvl>
    <w:lvl w:ilvl="4">
      <w:start w:val="0"/>
      <w:numFmt w:val="bullet"/>
      <w:lvlText w:val="•"/>
      <w:lvlJc w:val="left"/>
      <w:pPr>
        <w:ind w:left="5532" w:hanging="352.9999999999991"/>
      </w:pPr>
      <w:rPr/>
    </w:lvl>
    <w:lvl w:ilvl="5">
      <w:start w:val="0"/>
      <w:numFmt w:val="bullet"/>
      <w:lvlText w:val="•"/>
      <w:lvlJc w:val="left"/>
      <w:pPr>
        <w:ind w:left="6480" w:hanging="353"/>
      </w:pPr>
      <w:rPr/>
    </w:lvl>
    <w:lvl w:ilvl="6">
      <w:start w:val="0"/>
      <w:numFmt w:val="bullet"/>
      <w:lvlText w:val="•"/>
      <w:lvlJc w:val="left"/>
      <w:pPr>
        <w:ind w:left="7428" w:hanging="353"/>
      </w:pPr>
      <w:rPr/>
    </w:lvl>
    <w:lvl w:ilvl="7">
      <w:start w:val="0"/>
      <w:numFmt w:val="bullet"/>
      <w:lvlText w:val="•"/>
      <w:lvlJc w:val="left"/>
      <w:pPr>
        <w:ind w:left="8376" w:hanging="352.9999999999991"/>
      </w:pPr>
      <w:rPr/>
    </w:lvl>
    <w:lvl w:ilvl="8">
      <w:start w:val="0"/>
      <w:numFmt w:val="bullet"/>
      <w:lvlText w:val="•"/>
      <w:lvlJc w:val="left"/>
      <w:pPr>
        <w:ind w:left="9324" w:hanging="353"/>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965"/>
      <w:jc w:val="both"/>
    </w:pPr>
    <w:rPr>
      <w:rFonts w:ascii="Palatino Linotype" w:cs="Palatino Linotype" w:eastAsia="Palatino Linotype" w:hAnsi="Palatino Linotype"/>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Palatino Linotype" w:cs="Palatino Linotype" w:eastAsia="Palatino Linotype" w:hAnsi="Palatino Linotype"/>
      <w:lang w:bidi="ar-SA" w:eastAsia="en-US" w:val="es-ES"/>
    </w:rPr>
  </w:style>
  <w:style w:type="paragraph" w:styleId="BodyText">
    <w:name w:val="Body Text"/>
    <w:basedOn w:val="Normal"/>
    <w:uiPriority w:val="1"/>
    <w:qFormat w:val="1"/>
    <w:pPr/>
    <w:rPr>
      <w:rFonts w:ascii="Palatino Linotype" w:cs="Palatino Linotype" w:eastAsia="Palatino Linotype" w:hAnsi="Palatino Linotype"/>
      <w:sz w:val="24"/>
      <w:szCs w:val="24"/>
      <w:lang w:bidi="ar-SA" w:eastAsia="en-US" w:val="es-ES"/>
    </w:rPr>
  </w:style>
  <w:style w:type="paragraph" w:styleId="Heading1">
    <w:name w:val="Heading 1"/>
    <w:basedOn w:val="Normal"/>
    <w:uiPriority w:val="1"/>
    <w:qFormat w:val="1"/>
    <w:pPr>
      <w:ind w:left="965"/>
      <w:jc w:val="both"/>
      <w:outlineLvl w:val="1"/>
    </w:pPr>
    <w:rPr>
      <w:rFonts w:ascii="Palatino Linotype" w:cs="Palatino Linotype" w:eastAsia="Palatino Linotype" w:hAnsi="Palatino Linotype"/>
      <w:b w:val="1"/>
      <w:bCs w:val="1"/>
      <w:sz w:val="24"/>
      <w:szCs w:val="24"/>
      <w:lang w:bidi="ar-SA" w:eastAsia="en-US" w:val="es-ES"/>
    </w:rPr>
  </w:style>
  <w:style w:type="paragraph" w:styleId="ListParagraph">
    <w:name w:val="List Paragraph"/>
    <w:basedOn w:val="Normal"/>
    <w:uiPriority w:val="1"/>
    <w:qFormat w:val="1"/>
    <w:pPr>
      <w:ind w:left="1529" w:hanging="425"/>
      <w:jc w:val="both"/>
    </w:pPr>
    <w:rPr>
      <w:rFonts w:ascii="Palatino Linotype" w:cs="Palatino Linotype" w:eastAsia="Palatino Linotype" w:hAnsi="Palatino Linotype"/>
      <w:lang w:bidi="ar-SA" w:eastAsia="en-US" w:val="es-ES"/>
    </w:rPr>
  </w:style>
  <w:style w:type="paragraph" w:styleId="TableParagraph">
    <w:name w:val="Table Paragraph"/>
    <w:basedOn w:val="Normal"/>
    <w:uiPriority w:val="1"/>
    <w:qFormat w:val="1"/>
    <w:pPr/>
    <w:rPr>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hyperlink" Target="https://www.ipomex.org.mx/recursos/ipo/files_ipo/2014/8/11/630bc7787b59af912a96a9e1bca1c770.pdf#%3A~%3Atext%3DLa%20inscripci%C3%B3n%20con%20el%20car%C3%A1cter%2Cdel%20Estado%20de%20M%C3%A9xico%20e" TargetMode="External"/><Relationship Id="rId13" Type="http://schemas.openxmlformats.org/officeDocument/2006/relationships/image" Target="media/image2.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pomex.org.mx/recursos/ipo/files_ipo/2014/8/11/630bc7787b59af912a96a9e1bca1c770.pdf#%3A~%3Atext%3DLa%20inscripci%C3%B3n%20con%20el%20car%C3%A1cter%2Cdel%20Estado%20de%20M%C3%A9xico%20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ipomex.org.mx/recursos/ipo/files_ipo/2014/8/11/630bc7787b59af912a96a9e1bca1c770.pdf#%3A~%3Atext%3DLa%20inscripci%C3%B3n%20con%20el%20car%C3%A1cter%2Cdel%20Estado%20de%20M%C3%A9xico%20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icvOJ2g+B4589WwMS94KLp/ZQA==">CgMxLjA4AHIhMXNEOVFNaERNTGk3Qml1MXFyTGU2RHZZTWE4WUNvSFRF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2024-08-29T23:36:10Z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 2013</vt:lpwstr>
  </property>
  <property fmtid="{D5CDD505-2E9C-101B-9397-08002B2CF9AE}" pid="4" name="LastSaved">
    <vt:filetime>2024-08-29T00:00:00Z</vt:filetime>
  </property>
  <property fmtid="{D5CDD505-2E9C-101B-9397-08002B2CF9AE}" pid="5" name="Producer">
    <vt:lpwstr>Microsoft® Word 2013; modified using iText® 5.5.13 ©2000-2018 iText Group NV (AGPL-version)</vt:lpwstr>
  </property>
</Properties>
</file>