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3CC52EB8" w:rsidR="00F47FB5" w:rsidRPr="00EE3BE9" w:rsidRDefault="00F47FB5" w:rsidP="00F47FB5">
      <w:pPr>
        <w:spacing w:line="360" w:lineRule="auto"/>
        <w:jc w:val="both"/>
        <w:rPr>
          <w:rFonts w:ascii="Palatino Linotype" w:hAnsi="Palatino Linotype" w:cs="Tahoma"/>
          <w:b/>
          <w:lang w:val="es-MX"/>
        </w:rPr>
      </w:pPr>
      <w:r w:rsidRPr="00EE3BE9">
        <w:rPr>
          <w:rFonts w:ascii="Palatino Linotype" w:hAnsi="Palatino Linotype" w:cs="Tahoma"/>
          <w:b/>
        </w:rPr>
        <w:t xml:space="preserve">VOTO PARTICULAR QUE FORMULA DE LA COMISIONADA MARÍA DEL ROSARIO MEJÍA AYALA, CON RELACIÓN A LA RESOLUCIÓN EMITIDA POR EL PLENO DEL </w:t>
      </w:r>
      <w:r w:rsidR="006E016F" w:rsidRPr="00EE3BE9">
        <w:rPr>
          <w:rFonts w:ascii="Palatino Linotype" w:hAnsi="Palatino Linotype" w:cs="Tahoma"/>
          <w:b/>
        </w:rPr>
        <w:t xml:space="preserve">INSTITUTO DE TRANSPARENCIA, ACCESO A LA INFORMACIÓN PÚBLICA Y PROTECCIÓN DE DATOS PERSONALES DEL ESTADO DE MÉXICO Y MUNICIPIOS AL RECURSO DE REVISIÓN </w:t>
      </w:r>
      <w:r w:rsidR="00965369">
        <w:rPr>
          <w:rFonts w:ascii="Palatino Linotype" w:eastAsia="Palatino Linotype" w:hAnsi="Palatino Linotype" w:cs="Palatino Linotype"/>
          <w:b/>
        </w:rPr>
        <w:t>01134/INFOEM/IP/RR/2023</w:t>
      </w:r>
      <w:r w:rsidR="006E016F" w:rsidRPr="00EE3BE9">
        <w:rPr>
          <w:rFonts w:ascii="Palatino Linotype" w:hAnsi="Palatino Linotype" w:cs="Arial"/>
          <w:b/>
          <w:bCs/>
          <w:color w:val="000000" w:themeColor="text1"/>
        </w:rPr>
        <w:t>,</w:t>
      </w:r>
      <w:r w:rsidR="006E016F" w:rsidRPr="00EE3BE9">
        <w:rPr>
          <w:rFonts w:ascii="Palatino Linotype" w:hAnsi="Palatino Linotype" w:cs="Tahoma"/>
          <w:b/>
        </w:rPr>
        <w:t xml:space="preserve"> PROMOVIDO</w:t>
      </w:r>
      <w:r w:rsidR="006E016F">
        <w:rPr>
          <w:rFonts w:ascii="Palatino Linotype" w:hAnsi="Palatino Linotype" w:cs="Tahoma"/>
          <w:b/>
        </w:rPr>
        <w:t>S</w:t>
      </w:r>
      <w:r w:rsidR="006E016F" w:rsidRPr="00EE3BE9">
        <w:rPr>
          <w:rFonts w:ascii="Palatino Linotype" w:hAnsi="Palatino Linotype" w:cs="Tahoma"/>
          <w:b/>
        </w:rPr>
        <w:t xml:space="preserve"> EN CONTRA DE</w:t>
      </w:r>
      <w:r w:rsidR="000408D1">
        <w:rPr>
          <w:rFonts w:ascii="Palatino Linotype" w:hAnsi="Palatino Linotype" w:cs="Tahoma"/>
          <w:b/>
        </w:rPr>
        <w:t xml:space="preserve">L AYUNTAMIENTO DE </w:t>
      </w:r>
      <w:r w:rsidR="00965369" w:rsidRPr="00965369">
        <w:rPr>
          <w:rFonts w:ascii="Palatino Linotype" w:hAnsi="Palatino Linotype" w:cs="Tahoma"/>
          <w:b/>
        </w:rPr>
        <w:t>NICOLÁS ROMERO</w:t>
      </w:r>
      <w:r w:rsidR="003261A0">
        <w:rPr>
          <w:rFonts w:ascii="Palatino Linotype" w:hAnsi="Palatino Linotype" w:cs="Tahoma"/>
          <w:b/>
        </w:rPr>
        <w:t>.</w:t>
      </w:r>
    </w:p>
    <w:p w14:paraId="4B300B03" w14:textId="77777777" w:rsidR="00326EEA" w:rsidRPr="00EE3BE9" w:rsidRDefault="00326EEA" w:rsidP="00CF3F65">
      <w:pPr>
        <w:spacing w:line="360" w:lineRule="auto"/>
        <w:jc w:val="both"/>
        <w:rPr>
          <w:rFonts w:ascii="Palatino Linotype" w:hAnsi="Palatino Linotype" w:cs="Arial"/>
          <w:b/>
        </w:rPr>
      </w:pPr>
    </w:p>
    <w:p w14:paraId="51A10ACA" w14:textId="77777777" w:rsidR="007B1CFA" w:rsidRPr="00EE3BE9"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EE3BE9">
        <w:rPr>
          <w:rFonts w:ascii="Palatino Linotype" w:hAnsi="Palatino Linotype"/>
          <w:color w:val="000000" w:themeColor="text1"/>
          <w:sz w:val="24"/>
          <w:szCs w:val="24"/>
        </w:rPr>
        <w:t>Consideraciones Generales.</w:t>
      </w:r>
      <w:bookmarkEnd w:id="0"/>
    </w:p>
    <w:p w14:paraId="2A27C14C" w14:textId="77777777" w:rsidR="007B1CFA" w:rsidRPr="00EE3BE9" w:rsidRDefault="007B1CFA" w:rsidP="00CF3F65">
      <w:pPr>
        <w:spacing w:line="360" w:lineRule="auto"/>
        <w:rPr>
          <w:rFonts w:ascii="Palatino Linotype" w:hAnsi="Palatino Linotype"/>
        </w:rPr>
      </w:pPr>
    </w:p>
    <w:p w14:paraId="60F0E591" w14:textId="0CF1A988" w:rsidR="00530898" w:rsidRPr="00EE3BE9" w:rsidRDefault="00CF3F65" w:rsidP="008F67BC">
      <w:pPr>
        <w:spacing w:line="360" w:lineRule="auto"/>
        <w:jc w:val="both"/>
        <w:rPr>
          <w:rFonts w:ascii="Palatino Linotype" w:eastAsia="Palatino Linotype" w:hAnsi="Palatino Linotype" w:cs="Palatino Linotype"/>
          <w:b/>
        </w:rPr>
      </w:pPr>
      <w:r w:rsidRPr="00EE3BE9">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w:t>
      </w:r>
      <w:r w:rsidRPr="000408D1">
        <w:rPr>
          <w:rFonts w:ascii="Palatino Linotype" w:hAnsi="Palatino Linotype" w:cs="Arial"/>
          <w:b/>
        </w:rPr>
        <w:t>Voto Particular</w:t>
      </w:r>
      <w:r w:rsidRPr="00EE3BE9">
        <w:rPr>
          <w:rFonts w:ascii="Palatino Linotype" w:hAnsi="Palatino Linotype" w:cs="Arial"/>
        </w:rPr>
        <w:t>, por no compartir en su totalidad las consideraciones</w:t>
      </w:r>
      <w:r w:rsidR="00EF3513" w:rsidRPr="00EE3BE9">
        <w:rPr>
          <w:rFonts w:ascii="Palatino Linotype" w:hAnsi="Palatino Linotype" w:cs="Arial"/>
        </w:rPr>
        <w:t xml:space="preserve"> que sustentan la Resolución de</w:t>
      </w:r>
      <w:r w:rsidR="000408D1">
        <w:rPr>
          <w:rFonts w:ascii="Palatino Linotype" w:hAnsi="Palatino Linotype" w:cs="Arial"/>
        </w:rPr>
        <w:t>l</w:t>
      </w:r>
      <w:r w:rsidR="006A7AB7" w:rsidRPr="00EE3BE9">
        <w:rPr>
          <w:rFonts w:ascii="Palatino Linotype" w:hAnsi="Palatino Linotype" w:cs="Arial"/>
        </w:rPr>
        <w:t xml:space="preserve"> </w:t>
      </w:r>
      <w:r w:rsidRPr="00EE3BE9">
        <w:rPr>
          <w:rFonts w:ascii="Palatino Linotype" w:hAnsi="Palatino Linotype" w:cs="Arial"/>
        </w:rPr>
        <w:t>Recurso</w:t>
      </w:r>
      <w:r w:rsidR="000408D1">
        <w:rPr>
          <w:rFonts w:ascii="Palatino Linotype" w:hAnsi="Palatino Linotype" w:cs="Arial"/>
        </w:rPr>
        <w:t xml:space="preserve"> </w:t>
      </w:r>
      <w:r w:rsidRPr="00EE3BE9">
        <w:rPr>
          <w:rFonts w:ascii="Palatino Linotype" w:hAnsi="Palatino Linotype" w:cs="Arial"/>
        </w:rPr>
        <w:t xml:space="preserve">de Revisión </w:t>
      </w:r>
      <w:r w:rsidR="00965369">
        <w:rPr>
          <w:rFonts w:ascii="Palatino Linotype" w:hAnsi="Palatino Linotype"/>
          <w:b/>
        </w:rPr>
        <w:t>01134</w:t>
      </w:r>
      <w:r w:rsidR="00181AA2" w:rsidRPr="00806900">
        <w:rPr>
          <w:rFonts w:ascii="Palatino Linotype" w:hAnsi="Palatino Linotype"/>
          <w:b/>
        </w:rPr>
        <w:t>/INFOEM/IP/RR/2</w:t>
      </w:r>
      <w:r w:rsidR="00965369">
        <w:rPr>
          <w:rFonts w:ascii="Palatino Linotype" w:hAnsi="Palatino Linotype"/>
          <w:b/>
        </w:rPr>
        <w:t>023</w:t>
      </w:r>
      <w:r w:rsidR="007B578D" w:rsidRPr="00EE3BE9">
        <w:rPr>
          <w:rFonts w:ascii="Palatino Linotype" w:hAnsi="Palatino Linotype" w:cs="Arial"/>
          <w:bCs/>
          <w:lang w:eastAsia="es-MX"/>
        </w:rPr>
        <w:t xml:space="preserve">, </w:t>
      </w:r>
      <w:r w:rsidR="008B0A68" w:rsidRPr="00EE3BE9">
        <w:rPr>
          <w:rFonts w:ascii="Palatino Linotype" w:hAnsi="Palatino Linotype" w:cs="Arial"/>
        </w:rPr>
        <w:t xml:space="preserve">presentado conforme al criterio mayoritario del Pleno, </w:t>
      </w:r>
      <w:r w:rsidRPr="00EE3BE9">
        <w:rPr>
          <w:rFonts w:ascii="Palatino Linotype" w:hAnsi="Palatino Linotype" w:cs="Arial"/>
        </w:rPr>
        <w:t>promovido</w:t>
      </w:r>
      <w:r w:rsidR="00181AA2">
        <w:rPr>
          <w:rFonts w:ascii="Palatino Linotype" w:hAnsi="Palatino Linotype" w:cs="Arial"/>
        </w:rPr>
        <w:t>s</w:t>
      </w:r>
      <w:r w:rsidRPr="00EE3BE9">
        <w:rPr>
          <w:rFonts w:ascii="Palatino Linotype" w:hAnsi="Palatino Linotype" w:cs="Arial"/>
        </w:rPr>
        <w:t xml:space="preserve"> en contra de</w:t>
      </w:r>
      <w:r w:rsidR="0068101D" w:rsidRPr="00EE3BE9">
        <w:rPr>
          <w:rFonts w:ascii="Palatino Linotype" w:hAnsi="Palatino Linotype" w:cs="Arial"/>
        </w:rPr>
        <w:t xml:space="preserve">l </w:t>
      </w:r>
      <w:r w:rsidR="000408D1">
        <w:rPr>
          <w:rFonts w:ascii="Palatino Linotype" w:hAnsi="Palatino Linotype" w:cs="Tahoma"/>
          <w:b/>
        </w:rPr>
        <w:t xml:space="preserve">Ayuntamiento de </w:t>
      </w:r>
      <w:r w:rsidR="00965369" w:rsidRPr="00965369">
        <w:rPr>
          <w:rFonts w:ascii="Palatino Linotype" w:hAnsi="Palatino Linotype" w:cs="Tahoma"/>
          <w:b/>
        </w:rPr>
        <w:t>Nicolás Romero</w:t>
      </w:r>
      <w:r w:rsidR="00965369">
        <w:rPr>
          <w:rFonts w:ascii="Palatino Linotype" w:hAnsi="Palatino Linotype" w:cs="Tahoma"/>
          <w:b/>
        </w:rPr>
        <w:t>.</w:t>
      </w:r>
    </w:p>
    <w:p w14:paraId="66D32CD4" w14:textId="77777777" w:rsidR="00EF3513" w:rsidRPr="00EE3BE9" w:rsidRDefault="00EF3513" w:rsidP="008F67BC">
      <w:pPr>
        <w:spacing w:line="360" w:lineRule="auto"/>
        <w:jc w:val="both"/>
        <w:rPr>
          <w:rFonts w:ascii="Palatino Linotype" w:eastAsia="Palatino Linotype" w:hAnsi="Palatino Linotype" w:cs="Palatino Linotype"/>
          <w:b/>
        </w:rPr>
      </w:pPr>
    </w:p>
    <w:p w14:paraId="2CD2271C" w14:textId="0B4E7206" w:rsidR="00BF358F" w:rsidRDefault="00EF3513" w:rsidP="00BF358F">
      <w:pPr>
        <w:spacing w:line="360" w:lineRule="auto"/>
        <w:jc w:val="both"/>
        <w:rPr>
          <w:rFonts w:ascii="Palatino Linotype" w:hAnsi="Palatino Linotype" w:cs="Arial"/>
        </w:rPr>
      </w:pPr>
      <w:r w:rsidRPr="00EE3BE9">
        <w:rPr>
          <w:rFonts w:ascii="Palatino Linotype" w:eastAsia="Calibri" w:hAnsi="Palatino Linotype"/>
          <w:bCs/>
        </w:rPr>
        <w:t>El</w:t>
      </w:r>
      <w:r w:rsidRPr="00EE3BE9">
        <w:rPr>
          <w:rFonts w:ascii="Palatino Linotype" w:eastAsia="Calibri" w:hAnsi="Palatino Linotype"/>
          <w:b/>
        </w:rPr>
        <w:t xml:space="preserve"> RECURRENTE </w:t>
      </w:r>
      <w:r w:rsidR="000408D1">
        <w:rPr>
          <w:rFonts w:ascii="Palatino Linotype" w:eastAsia="Palatino Linotype" w:hAnsi="Palatino Linotype" w:cs="Palatino Linotype"/>
        </w:rPr>
        <w:t>presentó vía Sistema de Acceso a la Información Mexiquense (</w:t>
      </w:r>
      <w:r w:rsidR="000408D1">
        <w:rPr>
          <w:rFonts w:ascii="Palatino Linotype" w:eastAsia="Palatino Linotype" w:hAnsi="Palatino Linotype" w:cs="Palatino Linotype"/>
          <w:b/>
        </w:rPr>
        <w:t>SAIMEX)</w:t>
      </w:r>
      <w:r w:rsidR="000408D1">
        <w:rPr>
          <w:rFonts w:ascii="Palatino Linotype" w:eastAsia="Palatino Linotype" w:hAnsi="Palatino Linotype" w:cs="Palatino Linotype"/>
        </w:rPr>
        <w:t>, la solicitud de información pública,</w:t>
      </w:r>
      <w:r w:rsidR="000408D1">
        <w:rPr>
          <w:rFonts w:ascii="Palatino Linotype" w:eastAsia="Palatino Linotype" w:hAnsi="Palatino Linotype" w:cs="Palatino Linotype"/>
          <w:b/>
        </w:rPr>
        <w:t xml:space="preserve"> </w:t>
      </w:r>
      <w:r w:rsidR="000408D1">
        <w:rPr>
          <w:rFonts w:ascii="Palatino Linotype" w:eastAsia="Palatino Linotype" w:hAnsi="Palatino Linotype" w:cs="Palatino Linotype"/>
        </w:rPr>
        <w:t xml:space="preserve">mediante la </w:t>
      </w:r>
      <w:r w:rsidR="00965369">
        <w:rPr>
          <w:rFonts w:ascii="Palatino Linotype" w:eastAsia="Palatino Linotype" w:hAnsi="Palatino Linotype" w:cs="Palatino Linotype"/>
        </w:rPr>
        <w:t>cual solicitó lo</w:t>
      </w:r>
      <w:r w:rsidR="000408D1">
        <w:rPr>
          <w:rFonts w:ascii="Palatino Linotype" w:eastAsia="Palatino Linotype" w:hAnsi="Palatino Linotype" w:cs="Palatino Linotype"/>
        </w:rPr>
        <w:t xml:space="preserve"> siguiente información:</w:t>
      </w:r>
    </w:p>
    <w:p w14:paraId="2B211D26" w14:textId="77777777" w:rsidR="008D566B" w:rsidRDefault="008D566B" w:rsidP="00BF358F">
      <w:pPr>
        <w:spacing w:line="360" w:lineRule="auto"/>
        <w:jc w:val="both"/>
        <w:rPr>
          <w:rFonts w:ascii="Palatino Linotype" w:hAnsi="Palatino Linotype" w:cs="Arial"/>
        </w:rPr>
      </w:pPr>
    </w:p>
    <w:p w14:paraId="5B791377" w14:textId="61CFA283" w:rsidR="00965369" w:rsidRPr="00965369" w:rsidRDefault="00965369" w:rsidP="00965369">
      <w:pPr>
        <w:spacing w:line="360" w:lineRule="auto"/>
        <w:ind w:left="851" w:right="616"/>
        <w:jc w:val="both"/>
        <w:rPr>
          <w:rFonts w:ascii="Palatino Linotype" w:hAnsi="Palatino Linotype" w:cs="Arial"/>
          <w:i/>
        </w:rPr>
      </w:pPr>
      <w:r w:rsidRPr="00965369">
        <w:rPr>
          <w:rFonts w:ascii="Palatino Linotype" w:hAnsi="Palatino Linotype" w:cs="Arial"/>
          <w:i/>
        </w:rPr>
        <w:lastRenderedPageBreak/>
        <w:t xml:space="preserve">“solicito información sobre los procedimientos administrativos relacionados con los tesoreros municipales de los año 2015 a la fecha” (Sic) </w:t>
      </w:r>
    </w:p>
    <w:p w14:paraId="1B7894DE" w14:textId="77777777" w:rsidR="0067381F" w:rsidRPr="00EE3BE9" w:rsidRDefault="0067381F" w:rsidP="00B64C7A">
      <w:pPr>
        <w:pStyle w:val="Prrafodelista"/>
        <w:tabs>
          <w:tab w:val="left" w:pos="567"/>
        </w:tabs>
        <w:spacing w:line="360" w:lineRule="auto"/>
        <w:ind w:left="0"/>
        <w:jc w:val="both"/>
        <w:rPr>
          <w:rFonts w:ascii="Palatino Linotype" w:eastAsia="Calibri" w:hAnsi="Palatino Linotype" w:cs="Arial"/>
          <w:color w:val="000000" w:themeColor="text1"/>
        </w:rPr>
      </w:pPr>
    </w:p>
    <w:p w14:paraId="74379E94" w14:textId="7C75E0B6" w:rsidR="000408D1" w:rsidRDefault="000408D1" w:rsidP="000408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otorgó, a través del SAIM</w:t>
      </w:r>
      <w:r w:rsidR="00965369">
        <w:rPr>
          <w:rFonts w:ascii="Palatino Linotype" w:eastAsia="Palatino Linotype" w:hAnsi="Palatino Linotype" w:cs="Palatino Linotype"/>
        </w:rPr>
        <w:t xml:space="preserve">EX, respuesta a la solicitud </w:t>
      </w:r>
      <w:r>
        <w:rPr>
          <w:rFonts w:ascii="Palatino Linotype" w:eastAsia="Palatino Linotype" w:hAnsi="Palatino Linotype" w:cs="Palatino Linotype"/>
        </w:rPr>
        <w:t xml:space="preserve">de acceso a la información </w:t>
      </w:r>
      <w:r w:rsidR="00965369">
        <w:rPr>
          <w:rFonts w:ascii="Palatino Linotype" w:eastAsia="Palatino Linotype" w:hAnsi="Palatino Linotype" w:cs="Palatino Linotype"/>
        </w:rPr>
        <w:t>en el siguiente sentido:</w:t>
      </w:r>
    </w:p>
    <w:p w14:paraId="2DDB4DB6" w14:textId="77777777" w:rsidR="008D566B" w:rsidRDefault="008D566B" w:rsidP="008D566B">
      <w:pPr>
        <w:pStyle w:val="Prrafodelista"/>
        <w:tabs>
          <w:tab w:val="left" w:pos="0"/>
        </w:tabs>
        <w:spacing w:line="360" w:lineRule="auto"/>
        <w:ind w:left="0" w:right="49"/>
        <w:jc w:val="both"/>
        <w:rPr>
          <w:rFonts w:ascii="Palatino Linotype" w:hAnsi="Palatino Linotype" w:cs="Arial"/>
          <w:i/>
          <w:color w:val="000000" w:themeColor="text1"/>
        </w:rPr>
      </w:pPr>
    </w:p>
    <w:p w14:paraId="13AC5228" w14:textId="77777777" w:rsidR="00965369" w:rsidRPr="00965369" w:rsidRDefault="00965369" w:rsidP="00965369">
      <w:pPr>
        <w:spacing w:line="360" w:lineRule="auto"/>
        <w:ind w:left="851" w:right="616"/>
        <w:jc w:val="both"/>
        <w:rPr>
          <w:rFonts w:ascii="Palatino Linotype" w:hAnsi="Palatino Linotype" w:cs="Arial"/>
          <w:i/>
          <w:sz w:val="22"/>
        </w:rPr>
      </w:pPr>
      <w:r w:rsidRPr="0096536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D87FFA" w14:textId="77777777" w:rsidR="00965369" w:rsidRPr="00965369" w:rsidRDefault="00965369" w:rsidP="00965369">
      <w:pPr>
        <w:spacing w:line="360" w:lineRule="auto"/>
        <w:ind w:left="851" w:right="616"/>
        <w:jc w:val="both"/>
        <w:rPr>
          <w:rFonts w:ascii="Palatino Linotype" w:hAnsi="Palatino Linotype" w:cs="Arial"/>
          <w:i/>
          <w:sz w:val="22"/>
        </w:rPr>
      </w:pPr>
      <w:r w:rsidRPr="00965369">
        <w:rPr>
          <w:rFonts w:ascii="Palatino Linotype" w:hAnsi="Palatino Linotype" w:cs="Arial"/>
          <w:i/>
          <w:sz w:val="22"/>
        </w:rPr>
        <w:t>Por lo que respecta a su solicitud se informa que este Órgano de Control Interno a atendido en tiempo y forma los procedimientos administrativos relacionados con Tesoreros Municipales desde el año 2015 a la fecha</w:t>
      </w:r>
    </w:p>
    <w:p w14:paraId="10B2838C" w14:textId="77777777" w:rsidR="00965369" w:rsidRPr="00965369" w:rsidRDefault="00965369" w:rsidP="00965369">
      <w:pPr>
        <w:spacing w:line="360" w:lineRule="auto"/>
        <w:ind w:left="851" w:right="616"/>
        <w:jc w:val="both"/>
        <w:rPr>
          <w:rFonts w:ascii="Palatino Linotype" w:hAnsi="Palatino Linotype" w:cs="Arial"/>
          <w:i/>
          <w:sz w:val="22"/>
        </w:rPr>
      </w:pPr>
      <w:r w:rsidRPr="00965369">
        <w:rPr>
          <w:rFonts w:ascii="Palatino Linotype" w:hAnsi="Palatino Linotype" w:cs="Arial"/>
          <w:i/>
          <w:sz w:val="22"/>
        </w:rPr>
        <w:t>ATENTAMENTE</w:t>
      </w:r>
    </w:p>
    <w:p w14:paraId="2B6D50A7" w14:textId="598B66D9" w:rsidR="00965369" w:rsidRPr="00965369" w:rsidRDefault="00965369" w:rsidP="00965369">
      <w:pPr>
        <w:spacing w:line="360" w:lineRule="auto"/>
        <w:ind w:left="851" w:right="616"/>
        <w:jc w:val="both"/>
        <w:rPr>
          <w:rFonts w:ascii="Palatino Linotype" w:hAnsi="Palatino Linotype" w:cs="Arial"/>
          <w:i/>
          <w:sz w:val="22"/>
        </w:rPr>
      </w:pPr>
      <w:r w:rsidRPr="00965369">
        <w:rPr>
          <w:rFonts w:ascii="Palatino Linotype" w:hAnsi="Palatino Linotype" w:cs="Arial"/>
          <w:i/>
          <w:sz w:val="22"/>
        </w:rPr>
        <w:t xml:space="preserve">LIC. ALFONSO HERNANDEZ GASCA” (Sic) </w:t>
      </w:r>
    </w:p>
    <w:p w14:paraId="21CD9393" w14:textId="057A630F" w:rsidR="009C666B" w:rsidRPr="00FA79C9" w:rsidRDefault="009C666B" w:rsidP="00FA79C9">
      <w:pPr>
        <w:spacing w:line="360" w:lineRule="auto"/>
        <w:jc w:val="both"/>
        <w:rPr>
          <w:rFonts w:ascii="Palatino Linotype" w:hAnsi="Palatino Linotype" w:cs="Arial"/>
        </w:rPr>
      </w:pPr>
    </w:p>
    <w:p w14:paraId="31ADA56D" w14:textId="77777777" w:rsidR="000408D1" w:rsidRDefault="000408D1" w:rsidP="000408D1">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recurso de revisión, en el cual manifestó, lo siguiente:</w:t>
      </w:r>
    </w:p>
    <w:p w14:paraId="2D345CDE" w14:textId="77777777" w:rsidR="00187962" w:rsidRPr="00EC694E" w:rsidRDefault="00187962" w:rsidP="00187962">
      <w:pPr>
        <w:spacing w:line="360" w:lineRule="auto"/>
        <w:ind w:right="141"/>
        <w:jc w:val="both"/>
        <w:rPr>
          <w:rFonts w:ascii="Palatino Linotype" w:hAnsi="Palatino Linotype" w:cs="Arial"/>
          <w:bCs/>
        </w:rPr>
      </w:pPr>
    </w:p>
    <w:p w14:paraId="534BA7AD" w14:textId="59510E94" w:rsidR="00965369" w:rsidRPr="00965369" w:rsidRDefault="00965369" w:rsidP="00965369">
      <w:pPr>
        <w:spacing w:line="360" w:lineRule="auto"/>
        <w:ind w:left="851" w:right="616"/>
        <w:jc w:val="both"/>
        <w:rPr>
          <w:rFonts w:ascii="Palatino Linotype" w:hAnsi="Palatino Linotype"/>
          <w:b/>
          <w:sz w:val="22"/>
        </w:rPr>
      </w:pPr>
      <w:r w:rsidRPr="00965369">
        <w:rPr>
          <w:rFonts w:ascii="Palatino Linotype" w:hAnsi="Palatino Linotype"/>
          <w:b/>
          <w:sz w:val="22"/>
        </w:rPr>
        <w:t xml:space="preserve">Acto impugnado: </w:t>
      </w:r>
      <w:r w:rsidRPr="00965369">
        <w:rPr>
          <w:rFonts w:ascii="Palatino Linotype" w:hAnsi="Palatino Linotype"/>
          <w:b/>
          <w:sz w:val="22"/>
        </w:rPr>
        <w:tab/>
      </w:r>
    </w:p>
    <w:p w14:paraId="186C828C" w14:textId="77777777" w:rsidR="00965369" w:rsidRPr="00965369" w:rsidRDefault="00965369" w:rsidP="00965369">
      <w:pPr>
        <w:spacing w:line="360" w:lineRule="auto"/>
        <w:ind w:left="851" w:right="616"/>
        <w:jc w:val="both"/>
        <w:rPr>
          <w:rFonts w:ascii="Palatino Linotype" w:hAnsi="Palatino Linotype"/>
          <w:i/>
          <w:sz w:val="22"/>
        </w:rPr>
      </w:pPr>
      <w:r w:rsidRPr="00965369">
        <w:rPr>
          <w:rFonts w:ascii="Palatino Linotype" w:hAnsi="Palatino Linotype"/>
          <w:i/>
          <w:sz w:val="22"/>
        </w:rPr>
        <w:t>“No anexa la documentación solicitada” (Sic)</w:t>
      </w:r>
    </w:p>
    <w:p w14:paraId="15D90184" w14:textId="77777777" w:rsidR="00965369" w:rsidRPr="00965369" w:rsidRDefault="00965369" w:rsidP="00965369">
      <w:pPr>
        <w:spacing w:line="360" w:lineRule="auto"/>
        <w:ind w:left="851" w:right="616"/>
        <w:jc w:val="both"/>
        <w:rPr>
          <w:rFonts w:ascii="Palatino Linotype" w:hAnsi="Palatino Linotype"/>
          <w:i/>
          <w:sz w:val="22"/>
        </w:rPr>
      </w:pPr>
    </w:p>
    <w:p w14:paraId="411BD176" w14:textId="15A93669" w:rsidR="00965369" w:rsidRPr="00965369" w:rsidRDefault="00965369" w:rsidP="00965369">
      <w:pPr>
        <w:spacing w:line="360" w:lineRule="auto"/>
        <w:ind w:left="851" w:right="616"/>
        <w:jc w:val="both"/>
        <w:rPr>
          <w:rFonts w:ascii="Palatino Linotype" w:hAnsi="Palatino Linotype"/>
          <w:sz w:val="22"/>
        </w:rPr>
      </w:pPr>
      <w:r w:rsidRPr="00965369">
        <w:rPr>
          <w:rFonts w:ascii="Palatino Linotype" w:hAnsi="Palatino Linotype"/>
          <w:b/>
          <w:sz w:val="22"/>
        </w:rPr>
        <w:t>Razones o motivos de inconformidad</w:t>
      </w:r>
      <w:r w:rsidRPr="00965369">
        <w:rPr>
          <w:rFonts w:ascii="Palatino Linotype" w:hAnsi="Palatino Linotype"/>
          <w:sz w:val="22"/>
        </w:rPr>
        <w:t>:</w:t>
      </w:r>
    </w:p>
    <w:p w14:paraId="35A7CA67" w14:textId="633F71A9" w:rsidR="008D566B" w:rsidRPr="00965369" w:rsidRDefault="00965369" w:rsidP="00965369">
      <w:pPr>
        <w:spacing w:line="360" w:lineRule="auto"/>
        <w:ind w:left="851" w:right="616"/>
        <w:jc w:val="both"/>
        <w:rPr>
          <w:rFonts w:ascii="Palatino Linotype" w:hAnsi="Palatino Linotype"/>
          <w:sz w:val="22"/>
        </w:rPr>
      </w:pPr>
      <w:bookmarkStart w:id="1" w:name="_heading=h.30j0zll" w:colFirst="0" w:colLast="0"/>
      <w:bookmarkEnd w:id="1"/>
      <w:r w:rsidRPr="00965369">
        <w:rPr>
          <w:rFonts w:ascii="Palatino Linotype" w:hAnsi="Palatino Linotype"/>
          <w:i/>
          <w:sz w:val="22"/>
        </w:rPr>
        <w:t xml:space="preserve"> “No anexa la documentación solicitada”</w:t>
      </w:r>
      <w:r w:rsidRPr="00965369">
        <w:rPr>
          <w:rFonts w:ascii="Palatino Linotype" w:hAnsi="Palatino Linotype"/>
          <w:b/>
          <w:i/>
          <w:sz w:val="22"/>
        </w:rPr>
        <w:t xml:space="preserve"> </w:t>
      </w:r>
      <w:r w:rsidRPr="00965369">
        <w:rPr>
          <w:rFonts w:ascii="Palatino Linotype" w:hAnsi="Palatino Linotype"/>
          <w:i/>
          <w:sz w:val="22"/>
        </w:rPr>
        <w:t>(Sic)</w:t>
      </w:r>
    </w:p>
    <w:p w14:paraId="631A94E2" w14:textId="5D106387" w:rsidR="00FA79C9" w:rsidRPr="00EE3BE9" w:rsidRDefault="000408D1" w:rsidP="009C666B">
      <w:pPr>
        <w:spacing w:line="360" w:lineRule="auto"/>
        <w:ind w:right="141"/>
        <w:jc w:val="both"/>
        <w:rPr>
          <w:rFonts w:ascii="Palatino Linotype" w:hAnsi="Palatino Linotype" w:cs="Arial"/>
          <w:lang w:val="es-MX"/>
        </w:rPr>
      </w:pPr>
      <w:r>
        <w:rPr>
          <w:rFonts w:ascii="Palatino Linotype" w:eastAsia="Palatino Linotype" w:hAnsi="Palatino Linotype" w:cs="Palatino Linotype"/>
        </w:rPr>
        <w:lastRenderedPageBreak/>
        <w:t>Previo estudio,</w:t>
      </w:r>
      <w:r>
        <w:rPr>
          <w:rFonts w:ascii="Palatino Linotype" w:eastAsia="Palatino Linotype" w:hAnsi="Palatino Linotype" w:cs="Palatino Linotype"/>
          <w:b/>
        </w:rPr>
        <w:t xml:space="preserve"> </w:t>
      </w:r>
      <w:r>
        <w:rPr>
          <w:rFonts w:ascii="Palatino Linotype" w:eastAsia="Palatino Linotype" w:hAnsi="Palatino Linotype" w:cs="Palatino Linotype"/>
        </w:rPr>
        <w:t>la resolución determinó</w:t>
      </w:r>
      <w:r>
        <w:rPr>
          <w:rFonts w:ascii="Palatino Linotype" w:eastAsia="Palatino Linotype" w:hAnsi="Palatino Linotype" w:cs="Palatino Linotype"/>
          <w:b/>
        </w:rPr>
        <w:t xml:space="preserve"> REVOCAR</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 xml:space="preserve">Ayuntamiento de </w:t>
      </w:r>
      <w:r w:rsidR="00965369">
        <w:rPr>
          <w:rFonts w:ascii="Palatino Linotype" w:eastAsia="Palatino Linotype" w:hAnsi="Palatino Linotype" w:cs="Palatino Linotype"/>
          <w:b/>
        </w:rPr>
        <w:t>Nicolás Romero</w:t>
      </w:r>
      <w:r>
        <w:rPr>
          <w:rFonts w:ascii="Palatino Linotype" w:eastAsia="Palatino Linotype" w:hAnsi="Palatino Linotype" w:cs="Palatino Linotype"/>
        </w:rPr>
        <w:t xml:space="preserve"> y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entregar, vía Sistema de Acceso a la Información Pública Mexiquense (SAIMEX), en versión pública</w:t>
      </w:r>
      <w:r>
        <w:rPr>
          <w:rFonts w:ascii="Palatino Linotype" w:eastAsia="Palatino Linotype" w:hAnsi="Palatino Linotype" w:cs="Palatino Linotype"/>
          <w:color w:val="000000"/>
        </w:rPr>
        <w:t>, la siguiente información:</w:t>
      </w:r>
    </w:p>
    <w:p w14:paraId="280C415A" w14:textId="77777777" w:rsidR="0067381F" w:rsidRDefault="0067381F" w:rsidP="000408D1">
      <w:pPr>
        <w:jc w:val="both"/>
        <w:rPr>
          <w:rFonts w:ascii="Palatino Linotype" w:hAnsi="Palatino Linotype" w:cs="Arial"/>
          <w:lang w:val="es-419"/>
        </w:rPr>
      </w:pPr>
    </w:p>
    <w:p w14:paraId="605FBF41" w14:textId="77777777" w:rsidR="00965369" w:rsidRDefault="00965369" w:rsidP="00965369">
      <w:pPr>
        <w:spacing w:line="360" w:lineRule="auto"/>
        <w:ind w:left="851" w:right="616"/>
        <w:jc w:val="both"/>
        <w:rPr>
          <w:rFonts w:ascii="Palatino Linotype" w:hAnsi="Palatino Linotype" w:cs="Arial"/>
          <w:b/>
          <w:i/>
          <w:sz w:val="22"/>
        </w:rPr>
      </w:pPr>
      <w:r w:rsidRPr="00965369">
        <w:rPr>
          <w:rFonts w:ascii="Palatino Linotype" w:hAnsi="Palatino Linotype" w:cs="Arial"/>
          <w:b/>
          <w:i/>
          <w:sz w:val="22"/>
        </w:rPr>
        <w:t>De los servidores públicos que se ostentaron como Tesoreros Municipales del 1 de enero del 2015 al 3 de febrero de 2023:</w:t>
      </w:r>
    </w:p>
    <w:p w14:paraId="427700D7" w14:textId="77777777" w:rsidR="00965369" w:rsidRPr="00965369" w:rsidRDefault="00965369" w:rsidP="00965369">
      <w:pPr>
        <w:spacing w:line="360" w:lineRule="auto"/>
        <w:ind w:left="851" w:right="616"/>
        <w:jc w:val="both"/>
        <w:rPr>
          <w:rFonts w:ascii="Palatino Linotype" w:hAnsi="Palatino Linotype" w:cs="Arial"/>
          <w:b/>
          <w:i/>
          <w:sz w:val="22"/>
        </w:rPr>
      </w:pPr>
    </w:p>
    <w:p w14:paraId="54390FE2" w14:textId="77777777" w:rsidR="00965369" w:rsidRPr="00965369" w:rsidRDefault="00965369" w:rsidP="00965369">
      <w:pPr>
        <w:numPr>
          <w:ilvl w:val="0"/>
          <w:numId w:val="47"/>
        </w:numPr>
        <w:spacing w:line="360" w:lineRule="auto"/>
        <w:ind w:left="851" w:right="616" w:firstLine="0"/>
        <w:jc w:val="both"/>
        <w:rPr>
          <w:rFonts w:ascii="Palatino Linotype" w:hAnsi="Palatino Linotype" w:cs="Arial"/>
          <w:i/>
          <w:sz w:val="22"/>
        </w:rPr>
      </w:pPr>
      <w:r w:rsidRPr="00965369">
        <w:rPr>
          <w:rFonts w:ascii="Palatino Linotype" w:hAnsi="Palatino Linotype" w:cs="Arial"/>
          <w:i/>
          <w:sz w:val="22"/>
        </w:rPr>
        <w:t xml:space="preserve">Acuerdo emitido por el Comité de Transparencia, a través del cual se clasifique como confidencial el pronunciamiento en sentido afirmativo o negativo en términos de los artículos 49, fracción II, 132, fracción II, 143, fracción I y 149 de la Ley de Transparencia y Acceso a la Información Pública del Estado de México y Municipios; respecto de los procedimientos administrativos relacionados con los Tesoreros Municipales, </w:t>
      </w:r>
      <w:r w:rsidRPr="00965369">
        <w:rPr>
          <w:rFonts w:ascii="Palatino Linotype" w:hAnsi="Palatino Linotype" w:cs="Arial"/>
          <w:b/>
          <w:i/>
          <w:sz w:val="22"/>
          <w:u w:val="single"/>
        </w:rPr>
        <w:t>que se encuentren en trámite, así como de los procedimientos concluidos por faltas administrativas graves absolutorias y por faltas administrativas no graves condenatorias o absolutorias</w:t>
      </w:r>
      <w:r w:rsidRPr="00965369">
        <w:rPr>
          <w:rFonts w:ascii="Palatino Linotype" w:hAnsi="Palatino Linotype" w:cs="Arial"/>
          <w:i/>
          <w:sz w:val="22"/>
        </w:rPr>
        <w:t>, instaurados, de ser el caso, en su contra, del primero de enero del año dos mil quince al tres de febrero del dos mil veintitrés.</w:t>
      </w:r>
    </w:p>
    <w:p w14:paraId="2C2320D4" w14:textId="77777777" w:rsidR="00965369" w:rsidRPr="00965369" w:rsidRDefault="00965369" w:rsidP="00965369">
      <w:pPr>
        <w:spacing w:line="360" w:lineRule="auto"/>
        <w:ind w:left="851" w:right="616"/>
        <w:jc w:val="both"/>
        <w:rPr>
          <w:rFonts w:ascii="Palatino Linotype" w:hAnsi="Palatino Linotype" w:cs="Arial"/>
          <w:i/>
          <w:sz w:val="22"/>
        </w:rPr>
      </w:pPr>
    </w:p>
    <w:p w14:paraId="5AAF22AE" w14:textId="77777777" w:rsidR="00965369" w:rsidRPr="00965369" w:rsidRDefault="00965369" w:rsidP="00965369">
      <w:pPr>
        <w:spacing w:line="360" w:lineRule="auto"/>
        <w:ind w:left="851" w:right="616"/>
        <w:jc w:val="both"/>
        <w:rPr>
          <w:rFonts w:ascii="Palatino Linotype" w:hAnsi="Palatino Linotype" w:cs="Arial"/>
          <w:i/>
          <w:sz w:val="22"/>
        </w:rPr>
      </w:pPr>
      <w:r w:rsidRPr="00965369">
        <w:rPr>
          <w:rFonts w:ascii="Palatino Linotype" w:hAnsi="Palatino Linotype" w:cs="Arial"/>
          <w:i/>
          <w:sz w:val="22"/>
        </w:rPr>
        <w:t xml:space="preserve">2. Versión pública del documento que dé cuenta de cuenta de </w:t>
      </w:r>
      <w:r w:rsidRPr="00965369">
        <w:rPr>
          <w:rFonts w:ascii="Palatino Linotype" w:hAnsi="Palatino Linotype" w:cs="Arial"/>
          <w:b/>
          <w:i/>
          <w:sz w:val="22"/>
          <w:u w:val="single"/>
        </w:rPr>
        <w:t>los procedimientos administrativos en trámite relacionados con actos de corrupción</w:t>
      </w:r>
      <w:r w:rsidRPr="00965369">
        <w:rPr>
          <w:rFonts w:ascii="Palatino Linotype" w:hAnsi="Palatino Linotype" w:cs="Arial"/>
          <w:i/>
          <w:sz w:val="22"/>
        </w:rPr>
        <w:t xml:space="preserve">, de conformidad con el artículo 142 de la Ley de la materia; instaurados, de ser el caso, en su contra, del primero de enero del año dos mil quince al tres de febrero del dos mil veintitrés. </w:t>
      </w:r>
    </w:p>
    <w:p w14:paraId="0BD259DC" w14:textId="77777777" w:rsidR="00965369" w:rsidRPr="00965369" w:rsidRDefault="00965369" w:rsidP="00965369">
      <w:pPr>
        <w:spacing w:line="360" w:lineRule="auto"/>
        <w:ind w:left="851" w:right="616"/>
        <w:jc w:val="both"/>
        <w:rPr>
          <w:rFonts w:ascii="Palatino Linotype" w:hAnsi="Palatino Linotype" w:cs="Arial"/>
          <w:i/>
          <w:sz w:val="22"/>
        </w:rPr>
      </w:pPr>
    </w:p>
    <w:p w14:paraId="1FCE0EF0" w14:textId="77777777" w:rsidR="00965369" w:rsidRDefault="00965369" w:rsidP="00965369">
      <w:pPr>
        <w:spacing w:line="360" w:lineRule="auto"/>
        <w:ind w:left="851" w:right="616"/>
        <w:jc w:val="both"/>
        <w:rPr>
          <w:rFonts w:ascii="Palatino Linotype" w:hAnsi="Palatino Linotype" w:cs="Arial"/>
          <w:i/>
          <w:sz w:val="22"/>
        </w:rPr>
      </w:pPr>
      <w:r w:rsidRPr="00965369">
        <w:rPr>
          <w:rFonts w:ascii="Palatino Linotype" w:hAnsi="Palatino Linotype" w:cs="Arial"/>
          <w:i/>
          <w:sz w:val="22"/>
        </w:rPr>
        <w:t xml:space="preserve">3. Versión pública del documento que dé cuenta de los procedimientos concluidos, por faltas administrativas graves condenatorias, instaurados, de ser el caso, en su contra, del primero de enero del año dos mil quince al tres de febrero del dos mil veintitrés. </w:t>
      </w:r>
    </w:p>
    <w:p w14:paraId="2E589451" w14:textId="77777777" w:rsidR="00965369" w:rsidRPr="00965369" w:rsidRDefault="00965369" w:rsidP="00965369">
      <w:pPr>
        <w:spacing w:line="360" w:lineRule="auto"/>
        <w:ind w:left="851" w:right="616"/>
        <w:jc w:val="both"/>
        <w:rPr>
          <w:rFonts w:ascii="Palatino Linotype" w:hAnsi="Palatino Linotype" w:cs="Arial"/>
          <w:i/>
          <w:sz w:val="22"/>
        </w:rPr>
      </w:pPr>
    </w:p>
    <w:p w14:paraId="3F1FC1A3" w14:textId="77777777" w:rsidR="00965369" w:rsidRPr="00965369" w:rsidRDefault="00965369" w:rsidP="00965369">
      <w:pPr>
        <w:spacing w:line="360" w:lineRule="auto"/>
        <w:ind w:left="851" w:right="616"/>
        <w:jc w:val="both"/>
        <w:rPr>
          <w:rFonts w:ascii="Palatino Linotype" w:hAnsi="Palatino Linotype" w:cs="Arial"/>
          <w:i/>
          <w:sz w:val="22"/>
        </w:rPr>
      </w:pPr>
      <w:r w:rsidRPr="00965369">
        <w:rPr>
          <w:rFonts w:ascii="Palatino Linotype" w:hAnsi="Palatino Linotype" w:cs="Arial"/>
          <w:i/>
          <w:sz w:val="22"/>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Pr="00965369">
        <w:rPr>
          <w:rFonts w:ascii="Palatino Linotype" w:hAnsi="Palatino Linotype" w:cs="Arial"/>
          <w:b/>
          <w:i/>
          <w:sz w:val="22"/>
        </w:rPr>
        <w:t>la parte Recurrente</w:t>
      </w:r>
      <w:r w:rsidRPr="00965369">
        <w:rPr>
          <w:rFonts w:ascii="Palatino Linotype" w:hAnsi="Palatino Linotype" w:cs="Arial"/>
          <w:i/>
          <w:sz w:val="22"/>
        </w:rPr>
        <w:t>.</w:t>
      </w:r>
    </w:p>
    <w:p w14:paraId="405469C0" w14:textId="77777777" w:rsidR="00965369" w:rsidRPr="00965369" w:rsidRDefault="00965369" w:rsidP="00965369">
      <w:pPr>
        <w:spacing w:line="360" w:lineRule="auto"/>
        <w:ind w:left="851" w:right="616"/>
        <w:jc w:val="both"/>
        <w:rPr>
          <w:rFonts w:ascii="Palatino Linotype" w:hAnsi="Palatino Linotype" w:cs="Arial"/>
          <w:i/>
          <w:sz w:val="22"/>
        </w:rPr>
      </w:pPr>
    </w:p>
    <w:p w14:paraId="0169B4EF" w14:textId="77777777" w:rsidR="00965369" w:rsidRPr="00965369" w:rsidRDefault="00965369" w:rsidP="00965369">
      <w:pPr>
        <w:spacing w:line="360" w:lineRule="auto"/>
        <w:ind w:left="851" w:right="616"/>
        <w:jc w:val="both"/>
        <w:rPr>
          <w:rFonts w:ascii="Palatino Linotype" w:hAnsi="Palatino Linotype" w:cs="Arial"/>
          <w:i/>
          <w:sz w:val="22"/>
        </w:rPr>
      </w:pPr>
      <w:bookmarkStart w:id="2" w:name="_heading=h.1fob9te" w:colFirst="0" w:colLast="0"/>
      <w:bookmarkEnd w:id="2"/>
      <w:r w:rsidRPr="00965369">
        <w:rPr>
          <w:rFonts w:ascii="Palatino Linotype" w:hAnsi="Palatino Linotype" w:cs="Arial"/>
          <w:i/>
          <w:sz w:val="22"/>
        </w:rPr>
        <w:t xml:space="preserve">En el supuesto que la información ordenada en los puntos 2 y 3, no obre en los archivos del </w:t>
      </w:r>
      <w:r w:rsidRPr="00965369">
        <w:rPr>
          <w:rFonts w:ascii="Palatino Linotype" w:hAnsi="Palatino Linotype" w:cs="Arial"/>
          <w:b/>
          <w:i/>
          <w:sz w:val="22"/>
        </w:rPr>
        <w:t xml:space="preserve">Sujeto Obligado, </w:t>
      </w:r>
      <w:r w:rsidRPr="00965369">
        <w:rPr>
          <w:rFonts w:ascii="Palatino Linotype" w:hAnsi="Palatino Linotype" w:cs="Arial"/>
          <w:i/>
          <w:sz w:val="22"/>
        </w:rPr>
        <w:t xml:space="preserve">por no haberse generado, bastará con que así se haga del conocimiento de </w:t>
      </w:r>
      <w:r w:rsidRPr="00965369">
        <w:rPr>
          <w:rFonts w:ascii="Palatino Linotype" w:hAnsi="Palatino Linotype" w:cs="Arial"/>
          <w:b/>
          <w:i/>
          <w:sz w:val="22"/>
        </w:rPr>
        <w:t>la parte</w:t>
      </w:r>
      <w:r w:rsidRPr="00965369">
        <w:rPr>
          <w:rFonts w:ascii="Palatino Linotype" w:hAnsi="Palatino Linotype" w:cs="Arial"/>
          <w:i/>
          <w:sz w:val="22"/>
        </w:rPr>
        <w:t xml:space="preserve"> </w:t>
      </w:r>
      <w:r w:rsidRPr="00965369">
        <w:rPr>
          <w:rFonts w:ascii="Palatino Linotype" w:hAnsi="Palatino Linotype" w:cs="Arial"/>
          <w:b/>
          <w:i/>
          <w:sz w:val="22"/>
        </w:rPr>
        <w:t>Recurrente</w:t>
      </w:r>
      <w:r w:rsidRPr="00965369">
        <w:rPr>
          <w:rFonts w:ascii="Palatino Linotype" w:hAnsi="Palatino Linotype" w:cs="Arial"/>
          <w:i/>
          <w:sz w:val="22"/>
        </w:rPr>
        <w:t>, en términos del artículo 19, párrafo segundo de la Ley de Transparencia y Acceso a la Información Pública del Estado de México y Municipios.</w:t>
      </w:r>
    </w:p>
    <w:p w14:paraId="151BD436" w14:textId="77777777" w:rsidR="000408D1" w:rsidRPr="00EE3BE9" w:rsidRDefault="000408D1" w:rsidP="000408D1">
      <w:pPr>
        <w:jc w:val="both"/>
        <w:rPr>
          <w:rFonts w:ascii="Palatino Linotype" w:hAnsi="Palatino Linotype" w:cs="Arial"/>
          <w:lang w:val="es-419"/>
        </w:rPr>
      </w:pPr>
    </w:p>
    <w:p w14:paraId="2D01B157" w14:textId="2EB76956" w:rsidR="00FA79C9" w:rsidRPr="00FA79C9" w:rsidRDefault="00187962" w:rsidP="00FA79C9">
      <w:pPr>
        <w:tabs>
          <w:tab w:val="left" w:pos="709"/>
        </w:tabs>
        <w:spacing w:line="360" w:lineRule="auto"/>
        <w:jc w:val="both"/>
        <w:rPr>
          <w:rFonts w:ascii="Palatino Linotype" w:hAnsi="Palatino Linotype"/>
        </w:rPr>
      </w:pPr>
      <w:r w:rsidRPr="00EE3BE9">
        <w:rPr>
          <w:rFonts w:ascii="Palatino Linotype" w:eastAsia="Palatino Linotype" w:hAnsi="Palatino Linotype" w:cs="Palatino Linotype"/>
        </w:rPr>
        <w:t>En ese sentido, dentro del estudio se i</w:t>
      </w:r>
      <w:r w:rsidR="000408D1">
        <w:rPr>
          <w:rFonts w:ascii="Palatino Linotype" w:eastAsia="Palatino Linotype" w:hAnsi="Palatino Linotype" w:cs="Palatino Linotype"/>
        </w:rPr>
        <w:t>ndica q</w:t>
      </w:r>
      <w:r w:rsidR="00FA79C9">
        <w:rPr>
          <w:rFonts w:ascii="Palatino Linotype" w:eastAsia="Palatino Linotype" w:hAnsi="Palatino Linotype" w:cs="Palatino Linotype"/>
        </w:rPr>
        <w:t>ue</w:t>
      </w:r>
      <w:r w:rsidR="00FA79C9" w:rsidRPr="00FA79C9">
        <w:rPr>
          <w:rFonts w:ascii="Palatino Linotype" w:hAnsi="Palatino Linotype"/>
        </w:rPr>
        <w:t xml:space="preserve">, para el caso de los </w:t>
      </w:r>
      <w:r w:rsidR="00FA79C9" w:rsidRPr="000408D1">
        <w:rPr>
          <w:rFonts w:ascii="Palatino Linotype" w:hAnsi="Palatino Linotype"/>
          <w:b/>
        </w:rPr>
        <w:t>procedimientos de sanciones graves absolutorias</w:t>
      </w:r>
      <w:r w:rsidR="00FA79C9" w:rsidRPr="00FA79C9">
        <w:rPr>
          <w:rFonts w:ascii="Palatino Linotype" w:hAnsi="Palatino Linotype"/>
        </w:rPr>
        <w:t xml:space="preserve">, concluidos, se procederá a su acceso en versión pública, </w:t>
      </w:r>
      <w:r w:rsidR="00FA79C9" w:rsidRPr="00FA79C9">
        <w:rPr>
          <w:rFonts w:ascii="Palatino Linotype" w:hAnsi="Palatino Linotype"/>
          <w:b/>
        </w:rPr>
        <w:t>protegiendo el nombre, cargo y área de adscripción del Servidor Público absuelto y aquellos datos personales que hagan identificable a una persona</w:t>
      </w:r>
      <w:r w:rsidR="00FA79C9" w:rsidRPr="00FA79C9">
        <w:rPr>
          <w:rFonts w:ascii="Palatino Linotype" w:hAnsi="Palatino Linotype"/>
        </w:rPr>
        <w:t>, toda vez que</w:t>
      </w:r>
      <w:r w:rsidR="00FE71A1">
        <w:rPr>
          <w:rFonts w:ascii="Palatino Linotype" w:hAnsi="Palatino Linotype"/>
        </w:rPr>
        <w:t xml:space="preserve"> se estima que</w:t>
      </w:r>
      <w:r w:rsidR="00FA79C9" w:rsidRPr="00FA79C9">
        <w:rPr>
          <w:rFonts w:ascii="Palatino Linotype" w:hAnsi="Palatino Linotype"/>
        </w:rPr>
        <w:t xml:space="preserve"> la información solicitada, se relaciona con servidores públicos </w:t>
      </w:r>
      <w:r w:rsidR="00FA79C9" w:rsidRPr="00FA79C9">
        <w:rPr>
          <w:rFonts w:ascii="Palatino Linotype" w:hAnsi="Palatino Linotype"/>
        </w:rPr>
        <w:lastRenderedPageBreak/>
        <w:t>en específico, los cuales al no haber recibido alguna sanción por posibles responsabilidades, se procede a clasificar como confidencial el nombre y cargo del servidor público, al poder causar un perjuicio a la vida privada de estos.</w:t>
      </w:r>
    </w:p>
    <w:p w14:paraId="34FD1865" w14:textId="77777777" w:rsidR="00FA79C9" w:rsidRPr="00FA79C9" w:rsidRDefault="00FA79C9" w:rsidP="00FA79C9">
      <w:pPr>
        <w:tabs>
          <w:tab w:val="left" w:pos="709"/>
        </w:tabs>
        <w:spacing w:line="360" w:lineRule="auto"/>
        <w:jc w:val="both"/>
        <w:rPr>
          <w:rFonts w:ascii="Palatino Linotype" w:hAnsi="Palatino Linotype"/>
          <w:b/>
        </w:rPr>
      </w:pPr>
    </w:p>
    <w:p w14:paraId="6C9DA099" w14:textId="708A8106" w:rsidR="00FA79C9" w:rsidRPr="00FA79C9" w:rsidRDefault="00FE71A1" w:rsidP="00FA79C9">
      <w:pPr>
        <w:tabs>
          <w:tab w:val="left" w:pos="709"/>
        </w:tabs>
        <w:spacing w:line="360" w:lineRule="auto"/>
        <w:jc w:val="both"/>
        <w:rPr>
          <w:rFonts w:ascii="Palatino Linotype" w:hAnsi="Palatino Linotype"/>
        </w:rPr>
      </w:pPr>
      <w:r>
        <w:rPr>
          <w:rFonts w:ascii="Palatino Linotype" w:hAnsi="Palatino Linotype"/>
        </w:rPr>
        <w:t>Bajo este contexto, se consideró</w:t>
      </w:r>
      <w:r w:rsidR="00FA79C9" w:rsidRPr="00FA79C9">
        <w:rPr>
          <w:rFonts w:ascii="Palatino Linotype" w:hAnsi="Palatino Linotype"/>
        </w:rPr>
        <w:t xml:space="preserve"> que en el supuesto de que la información se encuentre en alguno de los supuestos antes establecidos, el Sujeto Obligado deberá clasificar la información, emitiendo en su caso el acuerdo correspondiente</w:t>
      </w:r>
      <w:r w:rsidR="00FA79C9" w:rsidRPr="00FA79C9">
        <w:rPr>
          <w:rFonts w:ascii="Palatino Linotype" w:hAnsi="Palatino Linotype"/>
          <w:b/>
        </w:rPr>
        <w:t xml:space="preserve">, </w:t>
      </w:r>
      <w:r w:rsidR="00FA79C9" w:rsidRPr="00FA79C9">
        <w:rPr>
          <w:rFonts w:ascii="Palatino Linotype" w:hAnsi="Palatino Linotype"/>
        </w:rPr>
        <w:t>tomando en consideración que, de proporcionar el nombre de los servidores públicos relacionados al procedimiento de responsabilidades administrativas por faltas no graves, podría afectar su</w:t>
      </w:r>
      <w:r w:rsidR="008D566B">
        <w:rPr>
          <w:rFonts w:ascii="Palatino Linotype" w:hAnsi="Palatino Linotype"/>
        </w:rPr>
        <w:t xml:space="preserve"> honor, buen nombre y su imagen, </w:t>
      </w:r>
      <w:r w:rsidR="00181AA2">
        <w:rPr>
          <w:rFonts w:ascii="Palatino Linotype" w:hAnsi="Palatino Linotype"/>
        </w:rPr>
        <w:t>así</w:t>
      </w:r>
      <w:r w:rsidR="008D566B">
        <w:rPr>
          <w:rFonts w:ascii="Palatino Linotype" w:hAnsi="Palatino Linotype"/>
        </w:rPr>
        <w:t xml:space="preserve"> como </w:t>
      </w:r>
      <w:r w:rsidR="008D566B" w:rsidRPr="00B94898">
        <w:rPr>
          <w:rFonts w:ascii="Palatino Linotype" w:eastAsia="Palatino Linotype" w:hAnsi="Palatino Linotype" w:cs="Palatino Linotype"/>
          <w:color w:val="000000"/>
          <w:sz w:val="23"/>
          <w:szCs w:val="23"/>
        </w:rPr>
        <w:t>la clasificación  del nombre, cargo, presunta falta cometida, y área de adscripción del Servidor Público absuelto de una falta grave</w:t>
      </w:r>
      <w:r w:rsidR="00181AA2">
        <w:rPr>
          <w:rFonts w:ascii="Palatino Linotype" w:eastAsia="Palatino Linotype" w:hAnsi="Palatino Linotype" w:cs="Palatino Linotype"/>
          <w:color w:val="000000"/>
          <w:sz w:val="23"/>
          <w:szCs w:val="23"/>
        </w:rPr>
        <w:t>.</w:t>
      </w:r>
    </w:p>
    <w:p w14:paraId="7626F97A" w14:textId="77777777" w:rsidR="00FA79C9" w:rsidRPr="00FA79C9" w:rsidRDefault="00FA79C9" w:rsidP="00FA79C9">
      <w:pPr>
        <w:tabs>
          <w:tab w:val="left" w:pos="709"/>
        </w:tabs>
        <w:spacing w:line="360" w:lineRule="auto"/>
        <w:jc w:val="both"/>
        <w:rPr>
          <w:rFonts w:ascii="Palatino Linotype" w:hAnsi="Palatino Linotype"/>
        </w:rPr>
      </w:pPr>
    </w:p>
    <w:p w14:paraId="503DACBD" w14:textId="630A4F30" w:rsidR="00FA79C9" w:rsidRPr="00FA79C9" w:rsidRDefault="00FA79C9" w:rsidP="00FA79C9">
      <w:pPr>
        <w:tabs>
          <w:tab w:val="left" w:pos="709"/>
        </w:tabs>
        <w:spacing w:line="360" w:lineRule="auto"/>
        <w:jc w:val="both"/>
        <w:rPr>
          <w:rFonts w:ascii="Palatino Linotype" w:hAnsi="Palatino Linotype"/>
        </w:rPr>
      </w:pPr>
      <w:r w:rsidRPr="00FA79C9">
        <w:rPr>
          <w:rFonts w:ascii="Palatino Linotype" w:hAnsi="Palatino Linotype"/>
        </w:rPr>
        <w:t xml:space="preserve">Al respecto, </w:t>
      </w:r>
      <w:r w:rsidR="00FE71A1">
        <w:rPr>
          <w:rFonts w:ascii="Palatino Linotype" w:hAnsi="Palatino Linotype"/>
        </w:rPr>
        <w:t xml:space="preserve"> se citó el siguiente Criterio de </w:t>
      </w:r>
      <w:r w:rsidRPr="00FA79C9">
        <w:rPr>
          <w:rFonts w:ascii="Palatino Linotype" w:hAnsi="Palatino Linotype"/>
        </w:rPr>
        <w:t xml:space="preserve">la Suprema Corte de Justicia de la Nación </w:t>
      </w:r>
      <w:r w:rsidR="00FE71A1">
        <w:rPr>
          <w:rFonts w:ascii="Palatino Linotype" w:hAnsi="Palatino Linotype"/>
        </w:rPr>
        <w:t xml:space="preserve">que </w:t>
      </w:r>
      <w:r w:rsidRPr="00FA79C9">
        <w:rPr>
          <w:rFonts w:ascii="Palatino Linotype" w:hAnsi="Palatino Linotype"/>
        </w:rPr>
        <w:t>reconoc</w:t>
      </w:r>
      <w:r w:rsidR="00FE71A1">
        <w:rPr>
          <w:rFonts w:ascii="Palatino Linotype" w:hAnsi="Palatino Linotype"/>
        </w:rPr>
        <w:t>e</w:t>
      </w:r>
      <w:r w:rsidRPr="00FA79C9">
        <w:rPr>
          <w:rFonts w:ascii="Palatino Linotype" w:hAnsi="Palatino Linotype"/>
        </w:rPr>
        <w:t xml:space="preserve"> como derechos fundamentales de las personas, el derecho a la intimidad y a la propia imagen, </w:t>
      </w:r>
      <w:r w:rsidR="00FE71A1">
        <w:rPr>
          <w:rFonts w:ascii="Palatino Linotype" w:hAnsi="Palatino Linotype"/>
        </w:rPr>
        <w:t>como se observa</w:t>
      </w:r>
      <w:r w:rsidRPr="00FA79C9">
        <w:rPr>
          <w:rFonts w:ascii="Palatino Linotype" w:hAnsi="Palatino Linotype"/>
        </w:rPr>
        <w:t>:</w:t>
      </w:r>
    </w:p>
    <w:p w14:paraId="6918AC65" w14:textId="77777777" w:rsidR="00FA79C9" w:rsidRPr="00FA79C9" w:rsidRDefault="00FA79C9" w:rsidP="00FA79C9">
      <w:pPr>
        <w:tabs>
          <w:tab w:val="left" w:pos="709"/>
        </w:tabs>
        <w:spacing w:line="360" w:lineRule="auto"/>
        <w:jc w:val="both"/>
        <w:rPr>
          <w:rFonts w:ascii="Palatino Linotype" w:hAnsi="Palatino Linotype"/>
        </w:rPr>
      </w:pPr>
    </w:p>
    <w:p w14:paraId="729A8172" w14:textId="77777777" w:rsidR="00FA79C9" w:rsidRPr="000408D1" w:rsidRDefault="00FA79C9" w:rsidP="000408D1">
      <w:pPr>
        <w:tabs>
          <w:tab w:val="left" w:pos="709"/>
        </w:tabs>
        <w:ind w:left="567" w:right="616"/>
        <w:jc w:val="both"/>
        <w:rPr>
          <w:rFonts w:ascii="Palatino Linotype" w:hAnsi="Palatino Linotype"/>
          <w:i/>
          <w:sz w:val="22"/>
        </w:rPr>
      </w:pPr>
      <w:r w:rsidRPr="000408D1">
        <w:rPr>
          <w:rFonts w:ascii="Palatino Linotype" w:hAnsi="Palatino Linotype"/>
          <w:i/>
          <w:sz w:val="22"/>
        </w:rPr>
        <w:t>“</w:t>
      </w:r>
      <w:r w:rsidRPr="000408D1">
        <w:rPr>
          <w:rFonts w:ascii="Palatino Linotype" w:hAnsi="Palatino Linotype"/>
          <w:b/>
          <w:bCs/>
          <w:i/>
          <w:sz w:val="22"/>
        </w:rPr>
        <w:t>DERECHOS A LA INTIMIDAD, PROPIA IMAGEN, IDENTIDAD PERSONAL Y SEXUAL. CONSTITUYEN DERECHOS DE DEFENSA Y GARANTÍA ESENCIAL PARA LA CONDICIÓN HUMANA</w:t>
      </w:r>
      <w:r w:rsidRPr="000408D1">
        <w:rPr>
          <w:rFonts w:ascii="Palatino Linotype" w:hAnsi="Palatino Linotype"/>
          <w:i/>
          <w:sz w:val="22"/>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w:t>
      </w:r>
      <w:r w:rsidRPr="000408D1">
        <w:rPr>
          <w:rFonts w:ascii="Palatino Linotype" w:hAnsi="Palatino Linotype"/>
          <w:i/>
          <w:sz w:val="22"/>
        </w:rPr>
        <w:lastRenderedPageBreak/>
        <w:t>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2C64DBB1" w14:textId="77777777" w:rsidR="00FA79C9" w:rsidRPr="00FA79C9" w:rsidRDefault="00FA79C9" w:rsidP="00FA79C9">
      <w:pPr>
        <w:tabs>
          <w:tab w:val="left" w:pos="709"/>
        </w:tabs>
        <w:spacing w:line="360" w:lineRule="auto"/>
        <w:jc w:val="both"/>
        <w:rPr>
          <w:rFonts w:ascii="Palatino Linotype" w:hAnsi="Palatino Linotype"/>
        </w:rPr>
      </w:pPr>
      <w:r w:rsidRPr="00FA79C9">
        <w:rPr>
          <w:rFonts w:ascii="Palatino Linotype" w:hAnsi="Palatino Linotype"/>
        </w:rPr>
        <w:t xml:space="preserve"> </w:t>
      </w:r>
    </w:p>
    <w:p w14:paraId="344CD0B8" w14:textId="2205F3AD" w:rsidR="00FA79C9" w:rsidRDefault="00FA79C9" w:rsidP="00FA79C9">
      <w:pPr>
        <w:tabs>
          <w:tab w:val="left" w:pos="709"/>
        </w:tabs>
        <w:spacing w:line="360" w:lineRule="auto"/>
        <w:jc w:val="both"/>
        <w:rPr>
          <w:rFonts w:ascii="Palatino Linotype" w:hAnsi="Palatino Linotype"/>
        </w:rPr>
      </w:pPr>
      <w:r w:rsidRPr="00FA79C9">
        <w:rPr>
          <w:rFonts w:ascii="Palatino Linotype" w:hAnsi="Palatino Linotype"/>
        </w:rPr>
        <w:t xml:space="preserve">En ese sentido, se </w:t>
      </w:r>
      <w:r w:rsidR="00FE71A1">
        <w:rPr>
          <w:rFonts w:ascii="Palatino Linotype" w:hAnsi="Palatino Linotype"/>
        </w:rPr>
        <w:t>hizo</w:t>
      </w:r>
      <w:r w:rsidRPr="00FA79C9">
        <w:rPr>
          <w:rFonts w:ascii="Palatino Linotype" w:hAnsi="Palatino Linotype"/>
        </w:rPr>
        <w:t xml:space="preserve"> notar </w:t>
      </w:r>
      <w:r w:rsidR="00FE71A1">
        <w:rPr>
          <w:rFonts w:ascii="Palatino Linotype" w:hAnsi="Palatino Linotype"/>
        </w:rPr>
        <w:t xml:space="preserve">que </w:t>
      </w:r>
      <w:r w:rsidRPr="00FA79C9">
        <w:rPr>
          <w:rFonts w:ascii="Palatino Linotype" w:hAnsi="Palatino Linotype"/>
        </w:rPr>
        <w:t>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023BE8AF" w14:textId="77777777" w:rsidR="000408D1" w:rsidRPr="00FA79C9" w:rsidRDefault="000408D1" w:rsidP="00FA79C9">
      <w:pPr>
        <w:tabs>
          <w:tab w:val="left" w:pos="709"/>
        </w:tabs>
        <w:spacing w:line="360" w:lineRule="auto"/>
        <w:jc w:val="both"/>
        <w:rPr>
          <w:rFonts w:ascii="Palatino Linotype" w:hAnsi="Palatino Linotype"/>
        </w:rPr>
      </w:pPr>
    </w:p>
    <w:p w14:paraId="6EF9F487" w14:textId="22CEAF02" w:rsidR="00FA79C9" w:rsidRPr="00825EBC" w:rsidRDefault="00FE71A1" w:rsidP="00FA79C9">
      <w:pPr>
        <w:tabs>
          <w:tab w:val="left" w:pos="709"/>
        </w:tabs>
        <w:spacing w:line="360" w:lineRule="auto"/>
        <w:jc w:val="both"/>
        <w:rPr>
          <w:rFonts w:ascii="Palatino Linotype" w:hAnsi="Palatino Linotype"/>
        </w:rPr>
      </w:pPr>
      <w:r>
        <w:rPr>
          <w:rFonts w:ascii="Palatino Linotype" w:hAnsi="Palatino Linotype"/>
        </w:rPr>
        <w:t>Luego entonces se consideró,</w:t>
      </w:r>
      <w:r w:rsidR="00FA79C9" w:rsidRPr="00FA79C9">
        <w:rPr>
          <w:rFonts w:ascii="Palatino Linotype" w:hAnsi="Palatino Linotype"/>
        </w:rPr>
        <w:t xml:space="preserv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w:t>
      </w:r>
      <w:r w:rsidR="00FA79C9" w:rsidRPr="00FA79C9">
        <w:rPr>
          <w:rFonts w:ascii="Palatino Linotype" w:hAnsi="Palatino Linotype"/>
        </w:rPr>
        <w:lastRenderedPageBreak/>
        <w:t>buena imagen, pues como se precisó la afectación es para el propio servidor público, situación que no afecta a terceros.</w:t>
      </w:r>
    </w:p>
    <w:p w14:paraId="0A927C6B" w14:textId="77777777" w:rsidR="003F0929" w:rsidRPr="00EE3BE9" w:rsidRDefault="003F0929" w:rsidP="003F0929">
      <w:pPr>
        <w:spacing w:line="360" w:lineRule="auto"/>
        <w:jc w:val="both"/>
        <w:rPr>
          <w:rFonts w:ascii="Palatino Linotype" w:eastAsia="Palatino Linotype" w:hAnsi="Palatino Linotype" w:cs="Palatino Linotype"/>
        </w:rPr>
      </w:pPr>
    </w:p>
    <w:p w14:paraId="5050A793" w14:textId="7A7C103F" w:rsidR="005C4513" w:rsidRPr="00EE3BE9" w:rsidRDefault="00EE3BE9" w:rsidP="005C4513">
      <w:pPr>
        <w:pStyle w:val="Prrafodelista"/>
        <w:tabs>
          <w:tab w:val="left" w:pos="851"/>
        </w:tabs>
        <w:spacing w:line="360" w:lineRule="auto"/>
        <w:ind w:left="0" w:right="49"/>
        <w:jc w:val="both"/>
        <w:rPr>
          <w:rFonts w:ascii="Palatino Linotype" w:hAnsi="Palatino Linotype"/>
        </w:rPr>
      </w:pPr>
      <w:r w:rsidRPr="00EE3BE9">
        <w:rPr>
          <w:rFonts w:ascii="Palatino Linotype" w:hAnsi="Palatino Linotype"/>
        </w:rPr>
        <w:t>Contexto</w:t>
      </w:r>
      <w:r w:rsidR="00187962" w:rsidRPr="00EE3BE9">
        <w:rPr>
          <w:rFonts w:ascii="Palatino Linotype" w:hAnsi="Palatino Linotype"/>
        </w:rPr>
        <w:t xml:space="preserve">, </w:t>
      </w:r>
      <w:r w:rsidRPr="00EE3BE9">
        <w:rPr>
          <w:rFonts w:ascii="Palatino Linotype" w:hAnsi="Palatino Linotype"/>
        </w:rPr>
        <w:t xml:space="preserve">que </w:t>
      </w:r>
      <w:r w:rsidR="00181AA2">
        <w:rPr>
          <w:rFonts w:ascii="Palatino Linotype" w:hAnsi="Palatino Linotype"/>
        </w:rPr>
        <w:t xml:space="preserve">corresponde a un criterio mayoritario del Pleno; sin embargo para esta Ponencia, </w:t>
      </w:r>
      <w:r w:rsidR="00187962" w:rsidRPr="00EE3BE9">
        <w:rPr>
          <w:rFonts w:ascii="Palatino Linotype" w:hAnsi="Palatino Linotype"/>
        </w:rPr>
        <w:t>n</w:t>
      </w:r>
      <w:r w:rsidR="005C4513" w:rsidRPr="00EE3BE9">
        <w:rPr>
          <w:rFonts w:ascii="Palatino Linotype" w:hAnsi="Palatino Linotype"/>
        </w:rPr>
        <w:t>o se comparte que s</w:t>
      </w:r>
      <w:r w:rsidR="000408D1">
        <w:rPr>
          <w:rFonts w:ascii="Palatino Linotype" w:hAnsi="Palatino Linotype"/>
        </w:rPr>
        <w:t xml:space="preserve">e clasifique como reservado el </w:t>
      </w:r>
      <w:r w:rsidR="005C4513" w:rsidRPr="00EE3BE9">
        <w:rPr>
          <w:rFonts w:ascii="Palatino Linotype" w:hAnsi="Palatino Linotype"/>
        </w:rPr>
        <w:t xml:space="preserve">nombre del Servidor Público, en el caso de procedimientos iniciados </w:t>
      </w:r>
      <w:r w:rsidR="00187962" w:rsidRPr="00EE3BE9">
        <w:rPr>
          <w:rFonts w:ascii="Palatino Linotype" w:hAnsi="Palatino Linotype"/>
        </w:rPr>
        <w:t>con una</w:t>
      </w:r>
      <w:r w:rsidR="005C4513" w:rsidRPr="00EE3BE9">
        <w:rPr>
          <w:rFonts w:ascii="Palatino Linotype" w:hAnsi="Palatino Linotype"/>
        </w:rPr>
        <w:t xml:space="preserve"> resolución ab</w:t>
      </w:r>
      <w:r w:rsidR="00DD7ECC">
        <w:rPr>
          <w:rFonts w:ascii="Palatino Linotype" w:hAnsi="Palatino Linotype"/>
        </w:rPr>
        <w:t xml:space="preserve">solutoria, dado que  los misma no </w:t>
      </w:r>
      <w:r w:rsidR="005C4513" w:rsidRPr="00EE3BE9">
        <w:rPr>
          <w:rFonts w:ascii="Palatino Linotype" w:hAnsi="Palatino Linotype"/>
        </w:rPr>
        <w:t>supone el incu</w:t>
      </w:r>
      <w:r w:rsidR="00776D84">
        <w:rPr>
          <w:rFonts w:ascii="Palatino Linotype" w:hAnsi="Palatino Linotype"/>
        </w:rPr>
        <w:t xml:space="preserve">mplimiento a las obligaciones o </w:t>
      </w:r>
      <w:r w:rsidR="005C4513" w:rsidRPr="00EE3BE9">
        <w:rPr>
          <w:rFonts w:ascii="Palatino Linotype" w:hAnsi="Palatino Linotype"/>
        </w:rPr>
        <w:t>al régimen disciplinario de los elementos integrantes de una institución que de conformidad con nuestra Constitución deben regirse por los principios de honestidad, lealtad, probidad, legalidad y eficacia en el desempeño de sus funciones, lo anterior con base en las siguientes consideraciones:</w:t>
      </w:r>
    </w:p>
    <w:p w14:paraId="41398366" w14:textId="77777777" w:rsidR="005C4513" w:rsidRPr="00EE3BE9" w:rsidRDefault="005C4513" w:rsidP="005C4513">
      <w:pPr>
        <w:pStyle w:val="Prrafodelista"/>
        <w:rPr>
          <w:rFonts w:ascii="Palatino Linotype" w:hAnsi="Palatino Linotype" w:cs="Tahoma"/>
        </w:rPr>
      </w:pPr>
    </w:p>
    <w:p w14:paraId="0AF04681" w14:textId="66B58F6F" w:rsidR="005C4513" w:rsidRPr="00EE3BE9" w:rsidRDefault="005C4513" w:rsidP="005C4513">
      <w:pPr>
        <w:pStyle w:val="Prrafodelista"/>
        <w:spacing w:line="360" w:lineRule="auto"/>
        <w:ind w:left="0"/>
        <w:jc w:val="both"/>
        <w:rPr>
          <w:rFonts w:ascii="Palatino Linotype" w:hAnsi="Palatino Linotype" w:cs="Tahoma"/>
        </w:rPr>
      </w:pPr>
      <w:r w:rsidRPr="00EE3BE9">
        <w:rPr>
          <w:rFonts w:ascii="Palatino Linotype" w:hAnsi="Palatino Linotype" w:cs="Tahoma"/>
        </w:rPr>
        <w:t>Bajo ese criterio, a l</w:t>
      </w:r>
      <w:r w:rsidR="00962796" w:rsidRPr="00EE3BE9">
        <w:rPr>
          <w:rFonts w:ascii="Palatino Linotype" w:hAnsi="Palatino Linotype" w:cs="Tahoma"/>
        </w:rPr>
        <w:t xml:space="preserve">os servidores públicos </w:t>
      </w:r>
      <w:r w:rsidRPr="00EE3BE9">
        <w:rPr>
          <w:rFonts w:ascii="Palatino Linotype" w:hAnsi="Palatino Linotype" w:cs="Tahoma"/>
        </w:rPr>
        <w:t>le</w:t>
      </w:r>
      <w:r w:rsidR="00962796" w:rsidRPr="00EE3BE9">
        <w:rPr>
          <w:rFonts w:ascii="Palatino Linotype" w:hAnsi="Palatino Linotype" w:cs="Tahoma"/>
        </w:rPr>
        <w:t>s</w:t>
      </w:r>
      <w:r w:rsidRPr="00EE3BE9">
        <w:rPr>
          <w:rFonts w:ascii="Palatino Linotype" w:hAnsi="Palatino Linotype" w:cs="Tahoma"/>
        </w:rPr>
        <w:t xml:space="preserv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w:t>
      </w:r>
    </w:p>
    <w:p w14:paraId="25BD6301" w14:textId="77777777" w:rsidR="005C4513" w:rsidRDefault="005C4513" w:rsidP="005C4513">
      <w:pPr>
        <w:pStyle w:val="Prrafodelista"/>
        <w:spacing w:line="360" w:lineRule="auto"/>
        <w:ind w:left="0"/>
        <w:jc w:val="both"/>
        <w:rPr>
          <w:rFonts w:ascii="Palatino Linotype" w:hAnsi="Palatino Linotype" w:cs="Tahoma"/>
        </w:rPr>
      </w:pPr>
      <w:bookmarkStart w:id="3" w:name="_Toc88136406"/>
    </w:p>
    <w:p w14:paraId="52FF5E09" w14:textId="4A515C4E"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 xml:space="preserve">Sin embargo contrario al criterio mayoritario, </w:t>
      </w:r>
      <w:r w:rsidR="00DD7ECC">
        <w:rPr>
          <w:rFonts w:ascii="Palatino Linotype" w:hAnsi="Palatino Linotype" w:cs="Tahoma"/>
        </w:rPr>
        <w:t>-</w:t>
      </w:r>
      <w:r>
        <w:rPr>
          <w:rFonts w:ascii="Palatino Linotype" w:hAnsi="Palatino Linotype" w:cs="Tahoma"/>
        </w:rPr>
        <w:t>se insiste</w:t>
      </w:r>
      <w:r w:rsidR="00DD7ECC">
        <w:rPr>
          <w:rFonts w:ascii="Palatino Linotype" w:hAnsi="Palatino Linotype" w:cs="Tahoma"/>
        </w:rPr>
        <w:t>-</w:t>
      </w:r>
      <w:r>
        <w:rPr>
          <w:rFonts w:ascii="Palatino Linotype" w:hAnsi="Palatino Linotype" w:cs="Tahoma"/>
        </w:rPr>
        <w:t xml:space="preserve"> en que </w:t>
      </w:r>
      <w:r w:rsidRPr="00EC694E">
        <w:rPr>
          <w:rFonts w:ascii="Palatino Linotype" w:hAnsi="Palatino Linotype" w:cs="Tahoma"/>
        </w:rPr>
        <w:t>no se comparte la clasificación como</w:t>
      </w:r>
      <w:r>
        <w:rPr>
          <w:rFonts w:ascii="Palatino Linotype" w:hAnsi="Palatino Linotype" w:cs="Tahoma"/>
        </w:rPr>
        <w:t xml:space="preserve"> </w:t>
      </w:r>
      <w:r w:rsidRPr="00EC694E">
        <w:rPr>
          <w:rFonts w:ascii="Palatino Linotype" w:hAnsi="Palatino Linotype" w:cs="Tahoma"/>
        </w:rPr>
        <w:t>confidencial del nombre y cargo del servidor público, ya que no se aprecia que la</w:t>
      </w:r>
      <w:r>
        <w:rPr>
          <w:rFonts w:ascii="Palatino Linotype" w:hAnsi="Palatino Linotype" w:cs="Tahoma"/>
        </w:rPr>
        <w:t xml:space="preserve"> </w:t>
      </w:r>
      <w:r w:rsidRPr="00EC694E">
        <w:rPr>
          <w:rFonts w:ascii="Palatino Linotype" w:hAnsi="Palatino Linotype" w:cs="Tahoma"/>
        </w:rPr>
        <w:t>información solicitada afecte la esfera privada del servidor público, genere una</w:t>
      </w:r>
      <w:r>
        <w:rPr>
          <w:rFonts w:ascii="Palatino Linotype" w:hAnsi="Palatino Linotype" w:cs="Tahoma"/>
        </w:rPr>
        <w:t xml:space="preserve"> </w:t>
      </w:r>
      <w:r w:rsidRPr="00EC694E">
        <w:rPr>
          <w:rFonts w:ascii="Palatino Linotype" w:hAnsi="Palatino Linotype" w:cs="Tahoma"/>
        </w:rPr>
        <w:t>percepción negativa de esta, ocasionando un perjuicio en su honor, intimidad y</w:t>
      </w:r>
      <w:r>
        <w:rPr>
          <w:rFonts w:ascii="Palatino Linotype" w:hAnsi="Palatino Linotype" w:cs="Tahoma"/>
        </w:rPr>
        <w:t xml:space="preserve"> </w:t>
      </w:r>
      <w:r w:rsidRPr="00EC694E">
        <w:rPr>
          <w:rFonts w:ascii="Palatino Linotype" w:hAnsi="Palatino Linotype" w:cs="Tahoma"/>
        </w:rPr>
        <w:t>buena imagen, o que dañe su vida privada y profesional.</w:t>
      </w:r>
    </w:p>
    <w:p w14:paraId="29C759EF" w14:textId="77777777" w:rsidR="00EC694E" w:rsidRPr="00EC694E" w:rsidRDefault="00EC694E" w:rsidP="00EC694E">
      <w:pPr>
        <w:pStyle w:val="Prrafodelista"/>
        <w:spacing w:line="360" w:lineRule="auto"/>
        <w:jc w:val="both"/>
        <w:rPr>
          <w:rFonts w:ascii="Palatino Linotype" w:hAnsi="Palatino Linotype" w:cs="Tahoma"/>
        </w:rPr>
      </w:pPr>
    </w:p>
    <w:p w14:paraId="0F768EDC" w14:textId="549DD729"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Se sostiene tal criterio, toda vez que las determinaciones en donde la conducta</w:t>
      </w:r>
      <w:r>
        <w:rPr>
          <w:rFonts w:ascii="Palatino Linotype" w:hAnsi="Palatino Linotype" w:cs="Tahoma"/>
        </w:rPr>
        <w:t xml:space="preserve"> </w:t>
      </w:r>
      <w:r w:rsidRPr="00EC694E">
        <w:rPr>
          <w:rFonts w:ascii="Palatino Linotype" w:hAnsi="Palatino Linotype" w:cs="Tahoma"/>
        </w:rPr>
        <w:t>investigada no fue contraria a derecho; en las que se logra apreciar los elementos y</w:t>
      </w:r>
      <w:r>
        <w:rPr>
          <w:rFonts w:ascii="Palatino Linotype" w:hAnsi="Palatino Linotype" w:cs="Tahoma"/>
        </w:rPr>
        <w:t xml:space="preserve"> </w:t>
      </w:r>
      <w:r w:rsidRPr="00EC694E">
        <w:rPr>
          <w:rFonts w:ascii="Palatino Linotype" w:hAnsi="Palatino Linotype" w:cs="Tahoma"/>
        </w:rPr>
        <w:t>las circunstancias que llevaron a concluir que a los servidores públicos, no les eran</w:t>
      </w:r>
      <w:r>
        <w:rPr>
          <w:rFonts w:ascii="Palatino Linotype" w:hAnsi="Palatino Linotype" w:cs="Tahoma"/>
        </w:rPr>
        <w:t xml:space="preserve"> </w:t>
      </w:r>
      <w:r w:rsidRPr="00EC694E">
        <w:rPr>
          <w:rFonts w:ascii="Palatino Linotype" w:hAnsi="Palatino Linotype" w:cs="Tahoma"/>
        </w:rPr>
        <w:t>imputables las conductas que se le atribuían, permite la rendición de cuentas del</w:t>
      </w:r>
      <w:r>
        <w:rPr>
          <w:rFonts w:ascii="Palatino Linotype" w:hAnsi="Palatino Linotype" w:cs="Tahoma"/>
        </w:rPr>
        <w:t xml:space="preserve"> </w:t>
      </w:r>
      <w:r w:rsidRPr="00EC694E">
        <w:rPr>
          <w:rFonts w:ascii="Palatino Linotype" w:hAnsi="Palatino Linotype" w:cs="Tahoma"/>
        </w:rPr>
        <w:t>servidor público, pues se podría observar, que dicho servidor público, ha cumplido</w:t>
      </w:r>
      <w:r>
        <w:rPr>
          <w:rFonts w:ascii="Palatino Linotype" w:hAnsi="Palatino Linotype" w:cs="Tahoma"/>
        </w:rPr>
        <w:t xml:space="preserve"> </w:t>
      </w:r>
      <w:r w:rsidRPr="00EC694E">
        <w:rPr>
          <w:rFonts w:ascii="Palatino Linotype" w:hAnsi="Palatino Linotype" w:cs="Tahoma"/>
        </w:rPr>
        <w:t>con sus obligaciones y no ha cometido actos irregulares y ha actuado conforme a las</w:t>
      </w:r>
      <w:r>
        <w:rPr>
          <w:rFonts w:ascii="Palatino Linotype" w:hAnsi="Palatino Linotype" w:cs="Tahoma"/>
        </w:rPr>
        <w:t xml:space="preserve"> </w:t>
      </w:r>
      <w:r w:rsidRPr="00EC694E">
        <w:rPr>
          <w:rFonts w:ascii="Palatino Linotype" w:hAnsi="Palatino Linotype" w:cs="Tahoma"/>
        </w:rPr>
        <w:t>normatividad aplicable.</w:t>
      </w:r>
    </w:p>
    <w:p w14:paraId="171AB7DC" w14:textId="77777777" w:rsidR="00EC694E" w:rsidRPr="00EC694E" w:rsidRDefault="00EC694E" w:rsidP="00EC694E">
      <w:pPr>
        <w:spacing w:line="360" w:lineRule="auto"/>
        <w:jc w:val="both"/>
        <w:rPr>
          <w:rFonts w:ascii="Palatino Linotype" w:hAnsi="Palatino Linotype" w:cs="Tahoma"/>
        </w:rPr>
      </w:pPr>
    </w:p>
    <w:p w14:paraId="6020B195" w14:textId="3C3AC7FA"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Lo anterior tomando en consideración la trascendencia de las conductas</w:t>
      </w:r>
      <w:r>
        <w:rPr>
          <w:rFonts w:ascii="Palatino Linotype" w:hAnsi="Palatino Linotype" w:cs="Tahoma"/>
        </w:rPr>
        <w:t xml:space="preserve"> </w:t>
      </w:r>
      <w:r w:rsidRPr="00EC694E">
        <w:rPr>
          <w:rFonts w:ascii="Palatino Linotype" w:hAnsi="Palatino Linotype" w:cs="Tahoma"/>
        </w:rPr>
        <w:t>investigadas en tales procedimientos, toda vez que resultan relevantes por su</w:t>
      </w:r>
      <w:r>
        <w:rPr>
          <w:rFonts w:ascii="Palatino Linotype" w:hAnsi="Palatino Linotype" w:cs="Tahoma"/>
        </w:rPr>
        <w:t xml:space="preserve">  </w:t>
      </w:r>
      <w:r w:rsidRPr="00EC694E">
        <w:rPr>
          <w:rFonts w:ascii="Palatino Linotype" w:hAnsi="Palatino Linotype" w:cs="Tahoma"/>
        </w:rPr>
        <w:t>impacto social o consecuencias jurídicas ya que de conformidad con lo establecido</w:t>
      </w:r>
      <w:r>
        <w:rPr>
          <w:rFonts w:ascii="Palatino Linotype" w:hAnsi="Palatino Linotype" w:cs="Tahoma"/>
        </w:rPr>
        <w:t xml:space="preserve">  </w:t>
      </w:r>
      <w:r w:rsidRPr="00EC694E">
        <w:rPr>
          <w:rFonts w:ascii="Palatino Linotype" w:hAnsi="Palatino Linotype" w:cs="Tahoma"/>
        </w:rPr>
        <w:t>por el artículo 52 de la Ley de Responsabilidades Administrativas del Estado de</w:t>
      </w:r>
      <w:r>
        <w:rPr>
          <w:rFonts w:ascii="Palatino Linotype" w:hAnsi="Palatino Linotype" w:cs="Tahoma"/>
        </w:rPr>
        <w:t xml:space="preserve">  </w:t>
      </w:r>
      <w:r w:rsidRPr="00EC694E">
        <w:rPr>
          <w:rFonts w:ascii="Palatino Linotype" w:hAnsi="Palatino Linotype" w:cs="Tahoma"/>
        </w:rPr>
        <w:t>México y Municipios se consideran faltas administrativas graves de los servidores</w:t>
      </w:r>
      <w:r>
        <w:rPr>
          <w:rFonts w:ascii="Palatino Linotype" w:hAnsi="Palatino Linotype" w:cs="Tahoma"/>
        </w:rPr>
        <w:t xml:space="preserve"> </w:t>
      </w:r>
      <w:r w:rsidRPr="00EC694E">
        <w:rPr>
          <w:rFonts w:ascii="Palatino Linotype" w:hAnsi="Palatino Linotype" w:cs="Tahoma"/>
        </w:rPr>
        <w:t>públicos, mediante cualquier acto u omisión, las siguientes: el cohecho, peculado,</w:t>
      </w:r>
      <w:r>
        <w:rPr>
          <w:rFonts w:ascii="Palatino Linotype" w:hAnsi="Palatino Linotype" w:cs="Tahoma"/>
        </w:rPr>
        <w:t xml:space="preserve"> </w:t>
      </w:r>
      <w:r w:rsidRPr="00EC694E">
        <w:rPr>
          <w:rFonts w:ascii="Palatino Linotype" w:hAnsi="Palatino Linotype" w:cs="Tahoma"/>
        </w:rPr>
        <w:t>desvío de recursos públicos, utilización indebida de información, abuso de</w:t>
      </w:r>
      <w:r>
        <w:rPr>
          <w:rFonts w:ascii="Palatino Linotype" w:hAnsi="Palatino Linotype" w:cs="Tahoma"/>
        </w:rPr>
        <w:t xml:space="preserve"> </w:t>
      </w:r>
      <w:r w:rsidRPr="00EC694E">
        <w:rPr>
          <w:rFonts w:ascii="Palatino Linotype" w:hAnsi="Palatino Linotype" w:cs="Tahoma"/>
        </w:rPr>
        <w:t>funciones, cometer o tolerar conductas de hostigamiento y acoso sexual, actuar bajo</w:t>
      </w:r>
      <w:r>
        <w:rPr>
          <w:rFonts w:ascii="Palatino Linotype" w:hAnsi="Palatino Linotype" w:cs="Tahoma"/>
        </w:rPr>
        <w:t xml:space="preserve"> </w:t>
      </w:r>
      <w:r w:rsidRPr="00EC694E">
        <w:rPr>
          <w:rFonts w:ascii="Palatino Linotype" w:hAnsi="Palatino Linotype" w:cs="Tahoma"/>
        </w:rPr>
        <w:t>conflicto de interés, contratación indebida, enriquecimiento oculto u ocultamiento</w:t>
      </w:r>
      <w:r>
        <w:rPr>
          <w:rFonts w:ascii="Palatino Linotype" w:hAnsi="Palatino Linotype" w:cs="Tahoma"/>
        </w:rPr>
        <w:t xml:space="preserve"> </w:t>
      </w:r>
      <w:r w:rsidRPr="00EC694E">
        <w:rPr>
          <w:rFonts w:ascii="Palatino Linotype" w:hAnsi="Palatino Linotype" w:cs="Tahoma"/>
        </w:rPr>
        <w:t>de conflicto de interés, tráfico de influencias, encubrimiento, desacato, obstrucción</w:t>
      </w:r>
      <w:r>
        <w:rPr>
          <w:rFonts w:ascii="Palatino Linotype" w:hAnsi="Palatino Linotype" w:cs="Tahoma"/>
        </w:rPr>
        <w:t xml:space="preserve"> </w:t>
      </w:r>
      <w:r w:rsidRPr="00EC694E">
        <w:rPr>
          <w:rFonts w:ascii="Palatino Linotype" w:hAnsi="Palatino Linotype" w:cs="Tahoma"/>
        </w:rPr>
        <w:t>de la Justicia.</w:t>
      </w:r>
    </w:p>
    <w:p w14:paraId="60D4313E" w14:textId="77777777" w:rsidR="00181AA2" w:rsidRDefault="00181AA2" w:rsidP="00EC694E">
      <w:pPr>
        <w:spacing w:line="360" w:lineRule="auto"/>
        <w:jc w:val="both"/>
        <w:rPr>
          <w:rFonts w:ascii="Palatino Linotype" w:hAnsi="Palatino Linotype" w:cs="Tahoma"/>
        </w:rPr>
      </w:pPr>
    </w:p>
    <w:p w14:paraId="098152B0" w14:textId="071C7291"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Es de hacer notar que varias de las anteriores conductas se encuentran previstas en</w:t>
      </w:r>
      <w:r>
        <w:rPr>
          <w:rFonts w:ascii="Palatino Linotype" w:hAnsi="Palatino Linotype" w:cs="Tahoma"/>
        </w:rPr>
        <w:t xml:space="preserve"> </w:t>
      </w:r>
      <w:r w:rsidRPr="00EC694E">
        <w:rPr>
          <w:rFonts w:ascii="Palatino Linotype" w:hAnsi="Palatino Linotype" w:cs="Tahoma"/>
        </w:rPr>
        <w:t>la Convención de las Naciones Unidas Contra la Corrupción, y que de la misma</w:t>
      </w:r>
      <w:r>
        <w:rPr>
          <w:rFonts w:ascii="Palatino Linotype" w:hAnsi="Palatino Linotype" w:cs="Tahoma"/>
        </w:rPr>
        <w:t xml:space="preserve"> </w:t>
      </w:r>
      <w:r w:rsidRPr="00EC694E">
        <w:rPr>
          <w:rFonts w:ascii="Palatino Linotype" w:hAnsi="Palatino Linotype" w:cs="Tahoma"/>
        </w:rPr>
        <w:lastRenderedPageBreak/>
        <w:t>manera se tratan de delitos en materia de corrupción, los cuales se encuentran reglamentados por el Título Décimo del Código Penal Federal, y que van del</w:t>
      </w:r>
      <w:r>
        <w:rPr>
          <w:rFonts w:ascii="Palatino Linotype" w:hAnsi="Palatino Linotype" w:cs="Tahoma"/>
        </w:rPr>
        <w:t xml:space="preserve"> </w:t>
      </w:r>
      <w:r w:rsidRPr="00EC694E">
        <w:rPr>
          <w:rFonts w:ascii="Palatino Linotype" w:hAnsi="Palatino Linotype" w:cs="Tahoma"/>
        </w:rPr>
        <w:t>artículo 212 al artículo 224.</w:t>
      </w:r>
    </w:p>
    <w:p w14:paraId="414DDD57" w14:textId="77777777" w:rsidR="00EC694E" w:rsidRPr="00EC694E" w:rsidRDefault="00EC694E" w:rsidP="00EC694E">
      <w:pPr>
        <w:pStyle w:val="Prrafodelista"/>
        <w:spacing w:line="360" w:lineRule="auto"/>
        <w:jc w:val="both"/>
        <w:rPr>
          <w:rFonts w:ascii="Palatino Linotype" w:hAnsi="Palatino Linotype" w:cs="Tahoma"/>
        </w:rPr>
      </w:pPr>
    </w:p>
    <w:p w14:paraId="70F265A8" w14:textId="1C498A92"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La palabra “corrupción” es definida por la Real Academia Española como la “acción</w:t>
      </w:r>
      <w:r>
        <w:rPr>
          <w:rFonts w:ascii="Palatino Linotype" w:hAnsi="Palatino Linotype" w:cs="Tahoma"/>
        </w:rPr>
        <w:t xml:space="preserve"> </w:t>
      </w:r>
      <w:r w:rsidRPr="00EC694E">
        <w:rPr>
          <w:rFonts w:ascii="Palatino Linotype" w:hAnsi="Palatino Linotype" w:cs="Tahoma"/>
        </w:rPr>
        <w:t>y efecto de corromper o corromperse”, o, para los efectos que nos interesan: “en las</w:t>
      </w:r>
      <w:r>
        <w:rPr>
          <w:rFonts w:ascii="Palatino Linotype" w:hAnsi="Palatino Linotype" w:cs="Tahoma"/>
        </w:rPr>
        <w:t xml:space="preserve"> </w:t>
      </w:r>
      <w:r w:rsidRPr="00EC694E">
        <w:rPr>
          <w:rFonts w:ascii="Palatino Linotype" w:hAnsi="Palatino Linotype" w:cs="Tahoma"/>
        </w:rPr>
        <w:t>organizaciones, especialmente en las públicas, práctica consistente en la utilización</w:t>
      </w:r>
      <w:r>
        <w:rPr>
          <w:rFonts w:ascii="Palatino Linotype" w:hAnsi="Palatino Linotype" w:cs="Tahoma"/>
        </w:rPr>
        <w:t xml:space="preserve"> </w:t>
      </w:r>
      <w:r w:rsidRPr="00EC694E">
        <w:rPr>
          <w:rFonts w:ascii="Palatino Linotype" w:hAnsi="Palatino Linotype" w:cs="Tahoma"/>
        </w:rPr>
        <w:t>de las funciones y medios de aquellas en provecho, económico o de otra índole, de</w:t>
      </w:r>
      <w:r>
        <w:rPr>
          <w:rFonts w:ascii="Palatino Linotype" w:hAnsi="Palatino Linotype" w:cs="Tahoma"/>
        </w:rPr>
        <w:t xml:space="preserve"> </w:t>
      </w:r>
      <w:r w:rsidRPr="00EC694E">
        <w:rPr>
          <w:rFonts w:ascii="Palatino Linotype" w:hAnsi="Palatino Linotype" w:cs="Tahoma"/>
        </w:rPr>
        <w:t>sus gestores”. Esto es, de acuerdo con la Academia Española, los actos de corrupción</w:t>
      </w:r>
      <w:r>
        <w:rPr>
          <w:rFonts w:ascii="Palatino Linotype" w:hAnsi="Palatino Linotype" w:cs="Tahoma"/>
        </w:rPr>
        <w:t xml:space="preserve"> </w:t>
      </w:r>
      <w:r w:rsidRPr="00EC694E">
        <w:rPr>
          <w:rFonts w:ascii="Palatino Linotype" w:hAnsi="Palatino Linotype" w:cs="Tahoma"/>
        </w:rPr>
        <w:t>implican un provecho de cualquier índole por parte de una persona en una</w:t>
      </w:r>
      <w:r>
        <w:rPr>
          <w:rFonts w:ascii="Palatino Linotype" w:hAnsi="Palatino Linotype" w:cs="Tahoma"/>
        </w:rPr>
        <w:t xml:space="preserve"> </w:t>
      </w:r>
      <w:r w:rsidRPr="00EC694E">
        <w:rPr>
          <w:rFonts w:ascii="Palatino Linotype" w:hAnsi="Palatino Linotype" w:cs="Tahoma"/>
        </w:rPr>
        <w:t>organización que abuse de sus funciones.</w:t>
      </w:r>
    </w:p>
    <w:p w14:paraId="21C61B57" w14:textId="77777777" w:rsidR="00EC694E" w:rsidRPr="00EC694E" w:rsidRDefault="00EC694E" w:rsidP="00EC694E">
      <w:pPr>
        <w:spacing w:line="360" w:lineRule="auto"/>
        <w:jc w:val="both"/>
        <w:rPr>
          <w:rFonts w:ascii="Palatino Linotype" w:hAnsi="Palatino Linotype" w:cs="Tahoma"/>
        </w:rPr>
      </w:pPr>
    </w:p>
    <w:p w14:paraId="4DF25273" w14:textId="274C8241"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En nuestro país, la corrupción es vista por los ciudadanos como uno de los</w:t>
      </w:r>
      <w:r>
        <w:rPr>
          <w:rFonts w:ascii="Palatino Linotype" w:hAnsi="Palatino Linotype" w:cs="Tahoma"/>
        </w:rPr>
        <w:t xml:space="preserve"> </w:t>
      </w:r>
      <w:r w:rsidRPr="00EC694E">
        <w:rPr>
          <w:rFonts w:ascii="Palatino Linotype" w:hAnsi="Palatino Linotype" w:cs="Tahoma"/>
        </w:rPr>
        <w:t>problemas más grandes.</w:t>
      </w:r>
      <w:r w:rsidR="00DD7ECC">
        <w:rPr>
          <w:rFonts w:ascii="Palatino Linotype" w:hAnsi="Palatino Linotype" w:cs="Tahoma"/>
        </w:rPr>
        <w:t xml:space="preserve"> </w:t>
      </w:r>
      <w:r w:rsidRPr="00EC694E">
        <w:rPr>
          <w:rFonts w:ascii="Palatino Linotype" w:hAnsi="Palatino Linotype" w:cs="Tahoma"/>
        </w:rPr>
        <w:t>De acuerdo con el Instituto Nacional de Estadística y Geografía (INEGI), la</w:t>
      </w:r>
      <w:r>
        <w:rPr>
          <w:rFonts w:ascii="Palatino Linotype" w:hAnsi="Palatino Linotype" w:cs="Tahoma"/>
        </w:rPr>
        <w:t xml:space="preserve"> </w:t>
      </w:r>
      <w:r w:rsidRPr="00EC694E">
        <w:rPr>
          <w:rFonts w:ascii="Palatino Linotype" w:hAnsi="Palatino Linotype" w:cs="Tahoma"/>
        </w:rPr>
        <w:t>corrupción está catalogada por la población como el segundo problema que más les</w:t>
      </w:r>
      <w:r>
        <w:rPr>
          <w:rFonts w:ascii="Palatino Linotype" w:hAnsi="Palatino Linotype" w:cs="Tahoma"/>
        </w:rPr>
        <w:t xml:space="preserve"> </w:t>
      </w:r>
      <w:r w:rsidRPr="00EC694E">
        <w:rPr>
          <w:rFonts w:ascii="Palatino Linotype" w:hAnsi="Palatino Linotype" w:cs="Tahoma"/>
        </w:rPr>
        <w:t>preocupa. En el 2015, 9 de cada 10 personas mayores de 18 años consideró que la</w:t>
      </w:r>
      <w:r>
        <w:rPr>
          <w:rFonts w:ascii="Palatino Linotype" w:hAnsi="Palatino Linotype" w:cs="Tahoma"/>
        </w:rPr>
        <w:t xml:space="preserve"> </w:t>
      </w:r>
      <w:r w:rsidRPr="00EC694E">
        <w:rPr>
          <w:rFonts w:ascii="Palatino Linotype" w:hAnsi="Palatino Linotype" w:cs="Tahoma"/>
        </w:rPr>
        <w:t>corrupción se puede observar frecuentemente en los partidos políticos y en la</w:t>
      </w:r>
      <w:r>
        <w:rPr>
          <w:rFonts w:ascii="Palatino Linotype" w:hAnsi="Palatino Linotype" w:cs="Tahoma"/>
        </w:rPr>
        <w:t xml:space="preserve"> </w:t>
      </w:r>
      <w:r w:rsidRPr="00EC694E">
        <w:rPr>
          <w:rFonts w:ascii="Palatino Linotype" w:hAnsi="Palatino Linotype" w:cs="Tahoma"/>
        </w:rPr>
        <w:t>policía, y el 12.6% de las personas que tuvieron que realizar algún trámite del</w:t>
      </w:r>
      <w:r>
        <w:rPr>
          <w:rFonts w:ascii="Palatino Linotype" w:hAnsi="Palatino Linotype" w:cs="Tahoma"/>
        </w:rPr>
        <w:t xml:space="preserve"> </w:t>
      </w:r>
      <w:r w:rsidRPr="00EC694E">
        <w:rPr>
          <w:rFonts w:ascii="Palatino Linotype" w:hAnsi="Palatino Linotype" w:cs="Tahoma"/>
        </w:rPr>
        <w:t>gobierno, consideran que fueron víctimas de algún acto de corrupción.</w:t>
      </w:r>
    </w:p>
    <w:p w14:paraId="7E8B8634" w14:textId="77777777" w:rsidR="00EC694E" w:rsidRDefault="00EC694E" w:rsidP="00EC694E">
      <w:pPr>
        <w:spacing w:line="360" w:lineRule="auto"/>
        <w:jc w:val="both"/>
        <w:rPr>
          <w:rFonts w:ascii="Palatino Linotype" w:hAnsi="Palatino Linotype" w:cs="Tahoma"/>
        </w:rPr>
      </w:pPr>
    </w:p>
    <w:p w14:paraId="2E77A01D" w14:textId="609054A2"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Esto es, la población considera que la corrupción se da en todos los niveles de</w:t>
      </w:r>
      <w:r>
        <w:rPr>
          <w:rFonts w:ascii="Palatino Linotype" w:hAnsi="Palatino Linotype" w:cs="Tahoma"/>
        </w:rPr>
        <w:t xml:space="preserve"> </w:t>
      </w:r>
      <w:r w:rsidRPr="00EC694E">
        <w:rPr>
          <w:rFonts w:ascii="Palatino Linotype" w:hAnsi="Palatino Linotype" w:cs="Tahoma"/>
        </w:rPr>
        <w:t>gobierno, y que es un problema que México tiene en gran medida, a tal grado, que</w:t>
      </w:r>
      <w:r>
        <w:rPr>
          <w:rFonts w:ascii="Palatino Linotype" w:hAnsi="Palatino Linotype" w:cs="Tahoma"/>
        </w:rPr>
        <w:t xml:space="preserve"> </w:t>
      </w:r>
      <w:r w:rsidRPr="00EC694E">
        <w:rPr>
          <w:rFonts w:ascii="Palatino Linotype" w:hAnsi="Palatino Linotype" w:cs="Tahoma"/>
        </w:rPr>
        <w:t>la gente, después de la delincuencia organizada, lo identifica como el problema más</w:t>
      </w:r>
      <w:r>
        <w:rPr>
          <w:rFonts w:ascii="Palatino Linotype" w:hAnsi="Palatino Linotype" w:cs="Tahoma"/>
        </w:rPr>
        <w:t xml:space="preserve"> </w:t>
      </w:r>
      <w:r w:rsidRPr="00EC694E">
        <w:rPr>
          <w:rFonts w:ascii="Palatino Linotype" w:hAnsi="Palatino Linotype" w:cs="Tahoma"/>
        </w:rPr>
        <w:lastRenderedPageBreak/>
        <w:t>grande que tenemos, con el 50.9% de la población señalándolo como tal. Es</w:t>
      </w:r>
      <w:r>
        <w:rPr>
          <w:rFonts w:ascii="Palatino Linotype" w:hAnsi="Palatino Linotype" w:cs="Tahoma"/>
        </w:rPr>
        <w:t xml:space="preserve"> </w:t>
      </w:r>
      <w:r w:rsidRPr="00EC694E">
        <w:rPr>
          <w:rFonts w:ascii="Palatino Linotype" w:hAnsi="Palatino Linotype" w:cs="Tahoma"/>
        </w:rPr>
        <w:t>importante también tomar en cuenta que, desde el 2011, la percepción del mal</w:t>
      </w:r>
      <w:r>
        <w:rPr>
          <w:rFonts w:ascii="Palatino Linotype" w:hAnsi="Palatino Linotype" w:cs="Tahoma"/>
        </w:rPr>
        <w:t xml:space="preserve"> </w:t>
      </w:r>
      <w:r w:rsidRPr="00EC694E">
        <w:rPr>
          <w:rFonts w:ascii="Palatino Linotype" w:hAnsi="Palatino Linotype" w:cs="Tahoma"/>
        </w:rPr>
        <w:t>desempeño del gobierno ha crecido lo cual se puede decir viene de la mano con la</w:t>
      </w:r>
      <w:r>
        <w:rPr>
          <w:rFonts w:ascii="Palatino Linotype" w:hAnsi="Palatino Linotype" w:cs="Tahoma"/>
        </w:rPr>
        <w:t xml:space="preserve"> corrupción.</w:t>
      </w:r>
    </w:p>
    <w:p w14:paraId="55627309" w14:textId="77777777" w:rsidR="002E09FD" w:rsidRPr="00EC694E" w:rsidRDefault="002E09FD" w:rsidP="00EC694E">
      <w:pPr>
        <w:spacing w:line="360" w:lineRule="auto"/>
        <w:jc w:val="both"/>
        <w:rPr>
          <w:rFonts w:ascii="Palatino Linotype" w:hAnsi="Palatino Linotype" w:cs="Tahoma"/>
        </w:rPr>
      </w:pPr>
    </w:p>
    <w:p w14:paraId="40574663" w14:textId="760EDEB4"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Y no solo eso, sino que la corrupción afecta también el sector económico del país. De</w:t>
      </w:r>
      <w:r>
        <w:rPr>
          <w:rFonts w:ascii="Palatino Linotype" w:hAnsi="Palatino Linotype" w:cs="Tahoma"/>
        </w:rPr>
        <w:t xml:space="preserve"> </w:t>
      </w:r>
      <w:r w:rsidRPr="00EC694E">
        <w:rPr>
          <w:rFonts w:ascii="Palatino Linotype" w:hAnsi="Palatino Linotype" w:cs="Tahoma"/>
        </w:rPr>
        <w:t>acuerdo con el Estudio de la OCDE sobre Integridad en México, el Instituto</w:t>
      </w:r>
      <w:r>
        <w:rPr>
          <w:rFonts w:ascii="Palatino Linotype" w:hAnsi="Palatino Linotype" w:cs="Tahoma"/>
        </w:rPr>
        <w:t xml:space="preserve"> </w:t>
      </w:r>
      <w:r w:rsidRPr="00EC694E">
        <w:rPr>
          <w:rFonts w:ascii="Palatino Linotype" w:hAnsi="Palatino Linotype" w:cs="Tahoma"/>
        </w:rPr>
        <w:t>Mexicano para la Competitividad (IMCO), estima que el 5% del Producto Interno</w:t>
      </w:r>
      <w:r>
        <w:rPr>
          <w:rFonts w:ascii="Palatino Linotype" w:hAnsi="Palatino Linotype" w:cs="Tahoma"/>
        </w:rPr>
        <w:t xml:space="preserve"> </w:t>
      </w:r>
      <w:r w:rsidRPr="00EC694E">
        <w:rPr>
          <w:rFonts w:ascii="Palatino Linotype" w:hAnsi="Palatino Linotype" w:cs="Tahoma"/>
        </w:rPr>
        <w:t>Bruto de</w:t>
      </w:r>
      <w:r>
        <w:rPr>
          <w:rFonts w:ascii="Palatino Linotype" w:hAnsi="Palatino Linotype" w:cs="Tahoma"/>
        </w:rPr>
        <w:t>l país se pierde por corrupción</w:t>
      </w:r>
      <w:r w:rsidRPr="00EC694E">
        <w:rPr>
          <w:rFonts w:ascii="Palatino Linotype" w:hAnsi="Palatino Linotype" w:cs="Tahoma"/>
        </w:rPr>
        <w:t>.</w:t>
      </w:r>
    </w:p>
    <w:p w14:paraId="2FDC4E8F" w14:textId="77777777" w:rsidR="00EC694E" w:rsidRDefault="00EC694E" w:rsidP="00EC694E">
      <w:pPr>
        <w:spacing w:line="360" w:lineRule="auto"/>
        <w:jc w:val="both"/>
        <w:rPr>
          <w:rFonts w:ascii="Palatino Linotype" w:hAnsi="Palatino Linotype" w:cs="Tahoma"/>
        </w:rPr>
      </w:pPr>
    </w:p>
    <w:p w14:paraId="0FEA709D" w14:textId="269D72AF"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En los últimos años, el índice de percepción de la corrupción en nuestro país ha ido</w:t>
      </w:r>
      <w:r>
        <w:rPr>
          <w:rFonts w:ascii="Palatino Linotype" w:hAnsi="Palatino Linotype" w:cs="Tahoma"/>
        </w:rPr>
        <w:t xml:space="preserve"> </w:t>
      </w:r>
      <w:r w:rsidRPr="00EC694E">
        <w:rPr>
          <w:rFonts w:ascii="Palatino Linotype" w:hAnsi="Palatino Linotype" w:cs="Tahoma"/>
        </w:rPr>
        <w:t>empeorando, yendo desde 34 en el 2012, a 31 en el 2015, y 29 en el 20175.</w:t>
      </w:r>
      <w:r>
        <w:rPr>
          <w:rFonts w:ascii="Palatino Linotype" w:hAnsi="Palatino Linotype" w:cs="Tahoma"/>
        </w:rPr>
        <w:t xml:space="preserve"> </w:t>
      </w:r>
      <w:r w:rsidRPr="00EC694E">
        <w:rPr>
          <w:rFonts w:ascii="Palatino Linotype" w:hAnsi="Palatino Linotype" w:cs="Tahoma"/>
        </w:rPr>
        <w:t>Como consecuencia de todo lo anterior, el 27 de mayo del 2015 se publicó en el Diario</w:t>
      </w:r>
      <w:r>
        <w:rPr>
          <w:rFonts w:ascii="Palatino Linotype" w:hAnsi="Palatino Linotype" w:cs="Tahoma"/>
        </w:rPr>
        <w:t xml:space="preserve"> </w:t>
      </w:r>
      <w:r w:rsidRPr="00EC694E">
        <w:rPr>
          <w:rFonts w:ascii="Palatino Linotype" w:hAnsi="Palatino Linotype" w:cs="Tahoma"/>
        </w:rPr>
        <w:t>Oficial de la Federación una reforma constitucional en la que se buscó hacer modificaciones en diversos ámbitos del país, con la finalidad de combatir la</w:t>
      </w:r>
      <w:r>
        <w:rPr>
          <w:rFonts w:ascii="Palatino Linotype" w:hAnsi="Palatino Linotype" w:cs="Tahoma"/>
        </w:rPr>
        <w:t xml:space="preserve"> </w:t>
      </w:r>
      <w:r w:rsidRPr="00EC694E">
        <w:rPr>
          <w:rFonts w:ascii="Palatino Linotype" w:hAnsi="Palatino Linotype" w:cs="Tahoma"/>
        </w:rPr>
        <w:t>corrupción. Ahora, en México, existe un Sistema Nacional Anticorrupción que busca</w:t>
      </w:r>
      <w:r>
        <w:rPr>
          <w:rFonts w:ascii="Palatino Linotype" w:hAnsi="Palatino Linotype" w:cs="Tahoma"/>
        </w:rPr>
        <w:t xml:space="preserve"> </w:t>
      </w:r>
      <w:r w:rsidRPr="00EC694E">
        <w:rPr>
          <w:rFonts w:ascii="Palatino Linotype" w:hAnsi="Palatino Linotype" w:cs="Tahoma"/>
        </w:rPr>
        <w:t>erradicar y prevenir estos actos que, como todos sabemos, se dan en una gran</w:t>
      </w:r>
      <w:r>
        <w:rPr>
          <w:rFonts w:ascii="Palatino Linotype" w:hAnsi="Palatino Linotype" w:cs="Tahoma"/>
        </w:rPr>
        <w:t xml:space="preserve"> </w:t>
      </w:r>
      <w:r w:rsidRPr="00EC694E">
        <w:rPr>
          <w:rFonts w:ascii="Palatino Linotype" w:hAnsi="Palatino Linotype" w:cs="Tahoma"/>
        </w:rPr>
        <w:t>medida en todos los niveles de gobierno.</w:t>
      </w:r>
    </w:p>
    <w:p w14:paraId="4EF422B9" w14:textId="77777777" w:rsidR="00EC694E" w:rsidRDefault="00EC694E" w:rsidP="00EC694E">
      <w:pPr>
        <w:spacing w:line="360" w:lineRule="auto"/>
        <w:jc w:val="both"/>
        <w:rPr>
          <w:rFonts w:ascii="Palatino Linotype" w:hAnsi="Palatino Linotype" w:cs="Tahoma"/>
        </w:rPr>
      </w:pPr>
    </w:p>
    <w:p w14:paraId="0488315C" w14:textId="77DA3C42" w:rsidR="000408D1" w:rsidRDefault="00EC694E" w:rsidP="00EC694E">
      <w:pPr>
        <w:spacing w:line="360" w:lineRule="auto"/>
        <w:jc w:val="both"/>
        <w:rPr>
          <w:rFonts w:ascii="Palatino Linotype" w:hAnsi="Palatino Linotype" w:cs="Tahoma"/>
        </w:rPr>
      </w:pPr>
      <w:r w:rsidRPr="00EC694E">
        <w:rPr>
          <w:rFonts w:ascii="Palatino Linotype" w:hAnsi="Palatino Linotype" w:cs="Tahoma"/>
        </w:rPr>
        <w:t>Además, proporcionar dicha información, no genera una afectación a su honor,</w:t>
      </w:r>
      <w:r>
        <w:rPr>
          <w:rFonts w:ascii="Palatino Linotype" w:hAnsi="Palatino Linotype" w:cs="Tahoma"/>
        </w:rPr>
        <w:t xml:space="preserve"> </w:t>
      </w:r>
      <w:r w:rsidRPr="00EC694E">
        <w:rPr>
          <w:rFonts w:ascii="Palatino Linotype" w:hAnsi="Palatino Linotype" w:cs="Tahoma"/>
        </w:rPr>
        <w:t>intimidad o buena imagen, pues contrario a esto, a través de la resolución, es posible</w:t>
      </w:r>
      <w:r>
        <w:rPr>
          <w:rFonts w:ascii="Palatino Linotype" w:hAnsi="Palatino Linotype" w:cs="Tahoma"/>
        </w:rPr>
        <w:t xml:space="preserve"> </w:t>
      </w:r>
      <w:r w:rsidRPr="00EC694E">
        <w:rPr>
          <w:rFonts w:ascii="Palatino Linotype" w:hAnsi="Palatino Linotype" w:cs="Tahoma"/>
        </w:rPr>
        <w:t>conocer que la actuación del servidor público, fue apegada a la normatividad</w:t>
      </w:r>
      <w:r>
        <w:rPr>
          <w:rFonts w:ascii="Palatino Linotype" w:hAnsi="Palatino Linotype" w:cs="Tahoma"/>
        </w:rPr>
        <w:t xml:space="preserve"> </w:t>
      </w:r>
      <w:r w:rsidRPr="00EC694E">
        <w:rPr>
          <w:rFonts w:ascii="Palatino Linotype" w:hAnsi="Palatino Linotype" w:cs="Tahoma"/>
        </w:rPr>
        <w:lastRenderedPageBreak/>
        <w:t>aplicable, esto es, que ha ejercido su cargo, de manera honesta, responsable y</w:t>
      </w:r>
      <w:r>
        <w:rPr>
          <w:rFonts w:ascii="Palatino Linotype" w:hAnsi="Palatino Linotype" w:cs="Tahoma"/>
        </w:rPr>
        <w:t xml:space="preserve"> </w:t>
      </w:r>
      <w:r w:rsidRPr="00EC694E">
        <w:rPr>
          <w:rFonts w:ascii="Palatino Linotype" w:hAnsi="Palatino Linotype" w:cs="Tahoma"/>
        </w:rPr>
        <w:t>conforme a lo establecido en las diversas disposiciones.</w:t>
      </w:r>
    </w:p>
    <w:p w14:paraId="0A46A5C4" w14:textId="77777777" w:rsidR="000408D1" w:rsidRPr="00EC694E" w:rsidRDefault="000408D1" w:rsidP="00EC694E">
      <w:pPr>
        <w:spacing w:line="360" w:lineRule="auto"/>
        <w:jc w:val="both"/>
        <w:rPr>
          <w:rFonts w:ascii="Palatino Linotype" w:hAnsi="Palatino Linotype" w:cs="Tahoma"/>
        </w:rPr>
      </w:pPr>
    </w:p>
    <w:p w14:paraId="20B39B88" w14:textId="77777777" w:rsidR="000408D1" w:rsidRDefault="00EC694E" w:rsidP="00EC694E">
      <w:pPr>
        <w:spacing w:line="360" w:lineRule="auto"/>
        <w:jc w:val="both"/>
        <w:rPr>
          <w:rFonts w:ascii="Palatino Linotype" w:hAnsi="Palatino Linotype" w:cs="Tahoma"/>
        </w:rPr>
      </w:pPr>
      <w:r w:rsidRPr="00EC694E">
        <w:rPr>
          <w:rFonts w:ascii="Palatino Linotype" w:hAnsi="Palatino Linotype" w:cs="Tahoma"/>
        </w:rPr>
        <w:t>En ese orden de ideas, dar a conocer la información relativa a las resoluciones</w:t>
      </w:r>
      <w:r>
        <w:rPr>
          <w:rFonts w:ascii="Palatino Linotype" w:hAnsi="Palatino Linotype" w:cs="Tahoma"/>
        </w:rPr>
        <w:t xml:space="preserve"> </w:t>
      </w:r>
      <w:r w:rsidRPr="00EC694E">
        <w:rPr>
          <w:rFonts w:ascii="Palatino Linotype" w:hAnsi="Palatino Linotype" w:cs="Tahoma"/>
        </w:rPr>
        <w:t>absolutorias por faltas administrativas graves, esto es, donde no se hubiera</w:t>
      </w:r>
      <w:r>
        <w:rPr>
          <w:rFonts w:ascii="Palatino Linotype" w:hAnsi="Palatino Linotype" w:cs="Tahoma"/>
        </w:rPr>
        <w:t xml:space="preserve"> </w:t>
      </w:r>
      <w:r w:rsidRPr="00EC694E">
        <w:rPr>
          <w:rFonts w:ascii="Palatino Linotype" w:hAnsi="Palatino Linotype" w:cs="Tahoma"/>
        </w:rPr>
        <w:t>determinado la responsabilidad administrativa de los servidores públicos, en caso</w:t>
      </w:r>
      <w:r>
        <w:rPr>
          <w:rFonts w:ascii="Palatino Linotype" w:hAnsi="Palatino Linotype" w:cs="Tahoma"/>
        </w:rPr>
        <w:t xml:space="preserve"> </w:t>
      </w:r>
      <w:r w:rsidRPr="00EC694E">
        <w:rPr>
          <w:rFonts w:ascii="Palatino Linotype" w:hAnsi="Palatino Linotype" w:cs="Tahoma"/>
        </w:rPr>
        <w:t>de su existencia, en relación con un servidor público no implica una vulneración a</w:t>
      </w:r>
      <w:r>
        <w:rPr>
          <w:rFonts w:ascii="Palatino Linotype" w:hAnsi="Palatino Linotype" w:cs="Tahoma"/>
        </w:rPr>
        <w:t xml:space="preserve"> </w:t>
      </w:r>
      <w:r w:rsidRPr="00EC694E">
        <w:rPr>
          <w:rFonts w:ascii="Palatino Linotype" w:hAnsi="Palatino Linotype" w:cs="Tahoma"/>
        </w:rPr>
        <w:t>su honor o intimidad, ya que dichos procedimientos determinan la falta de</w:t>
      </w:r>
      <w:r>
        <w:rPr>
          <w:rFonts w:ascii="Palatino Linotype" w:hAnsi="Palatino Linotype" w:cs="Tahoma"/>
        </w:rPr>
        <w:t xml:space="preserve"> </w:t>
      </w:r>
      <w:r w:rsidRPr="00EC694E">
        <w:rPr>
          <w:rFonts w:ascii="Palatino Linotype" w:hAnsi="Palatino Linotype" w:cs="Tahoma"/>
        </w:rPr>
        <w:t>elementos para sancionarlo.</w:t>
      </w:r>
    </w:p>
    <w:p w14:paraId="4F924DBD" w14:textId="77777777" w:rsidR="000408D1" w:rsidRDefault="000408D1" w:rsidP="00EC694E">
      <w:pPr>
        <w:spacing w:line="360" w:lineRule="auto"/>
        <w:jc w:val="both"/>
        <w:rPr>
          <w:rFonts w:ascii="Palatino Linotype" w:hAnsi="Palatino Linotype" w:cs="Tahoma"/>
        </w:rPr>
      </w:pPr>
    </w:p>
    <w:p w14:paraId="46BF6D6E" w14:textId="77777777" w:rsidR="000408D1" w:rsidRDefault="00EC694E" w:rsidP="000408D1">
      <w:pPr>
        <w:spacing w:line="360" w:lineRule="auto"/>
        <w:jc w:val="both"/>
        <w:rPr>
          <w:rFonts w:ascii="Palatino Linotype" w:hAnsi="Palatino Linotype" w:cs="Tahoma"/>
        </w:rPr>
      </w:pPr>
      <w:r w:rsidRPr="00EC694E">
        <w:rPr>
          <w:rFonts w:ascii="Palatino Linotype" w:hAnsi="Palatino Linotype" w:cs="Tahoma"/>
        </w:rPr>
        <w:t xml:space="preserve">Por otro lado, en la tesis aislada con el rubro </w:t>
      </w:r>
      <w:r w:rsidRPr="00DD7ECC">
        <w:rPr>
          <w:rFonts w:ascii="Palatino Linotype" w:hAnsi="Palatino Linotype" w:cs="Tahoma"/>
          <w:b/>
        </w:rPr>
        <w:t>DERECHO A SER INFORMADO Y DERECHO AL HONOR. ESTÁNDAR PARA DETERMINAR SU PREVALENCIA</w:t>
      </w:r>
      <w:r w:rsidRPr="00EC694E">
        <w:rPr>
          <w:rFonts w:ascii="Palatino Linotype" w:hAnsi="Palatino Linotype" w:cs="Tahoma"/>
        </w:rPr>
        <w:t>, la Suprema Corte de Justicia de la Nación ha señalado que el</w:t>
      </w:r>
      <w:r>
        <w:rPr>
          <w:rFonts w:ascii="Palatino Linotype" w:hAnsi="Palatino Linotype" w:cs="Tahoma"/>
        </w:rPr>
        <w:t xml:space="preserve"> </w:t>
      </w:r>
      <w:r w:rsidRPr="00EC694E">
        <w:rPr>
          <w:rFonts w:ascii="Palatino Linotype" w:hAnsi="Palatino Linotype" w:cs="Tahoma"/>
        </w:rPr>
        <w:t>derecho a la información no es absoluto, pues si bien el Estado tiene la obligación de</w:t>
      </w:r>
      <w:r>
        <w:rPr>
          <w:rFonts w:ascii="Palatino Linotype" w:hAnsi="Palatino Linotype" w:cs="Tahoma"/>
        </w:rPr>
        <w:t xml:space="preserve"> </w:t>
      </w:r>
      <w:r w:rsidRPr="00EC694E">
        <w:rPr>
          <w:rFonts w:ascii="Palatino Linotype" w:hAnsi="Palatino Linotype" w:cs="Tahoma"/>
        </w:rPr>
        <w:t>informar a la población sobre temas de relevancia pública, también debe proteger y garantizar el derecho al honor a la reputación de las personas; por lo que, para que</w:t>
      </w:r>
      <w:r>
        <w:rPr>
          <w:rFonts w:ascii="Palatino Linotype" w:hAnsi="Palatino Linotype" w:cs="Tahoma"/>
        </w:rPr>
        <w:t xml:space="preserve"> </w:t>
      </w:r>
      <w:r w:rsidRPr="00EC694E">
        <w:rPr>
          <w:rFonts w:ascii="Palatino Linotype" w:hAnsi="Palatino Linotype" w:cs="Tahoma"/>
        </w:rPr>
        <w:t>la autoridad pueda difundir ciertos datos, debe cerciorarse que los mismos sean de</w:t>
      </w:r>
      <w:r>
        <w:rPr>
          <w:rFonts w:ascii="Palatino Linotype" w:hAnsi="Palatino Linotype" w:cs="Tahoma"/>
        </w:rPr>
        <w:t xml:space="preserve"> </w:t>
      </w:r>
      <w:r w:rsidRPr="00EC694E">
        <w:rPr>
          <w:rFonts w:ascii="Palatino Linotype" w:hAnsi="Palatino Linotype" w:cs="Tahoma"/>
        </w:rPr>
        <w:t>relevancia pública o interés general, o bien, versen sobre personas con un impacto</w:t>
      </w:r>
      <w:r>
        <w:rPr>
          <w:rFonts w:ascii="Palatino Linotype" w:hAnsi="Palatino Linotype" w:cs="Tahoma"/>
        </w:rPr>
        <w:t xml:space="preserve"> </w:t>
      </w:r>
      <w:r w:rsidRPr="00EC694E">
        <w:rPr>
          <w:rFonts w:ascii="Palatino Linotype" w:hAnsi="Palatino Linotype" w:cs="Tahoma"/>
        </w:rPr>
        <w:t>público o social. Además, la información debe constituir una certera aproximación</w:t>
      </w:r>
      <w:r>
        <w:rPr>
          <w:rFonts w:ascii="Palatino Linotype" w:hAnsi="Palatino Linotype" w:cs="Tahoma"/>
        </w:rPr>
        <w:t xml:space="preserve"> </w:t>
      </w:r>
      <w:r w:rsidRPr="00EC694E">
        <w:rPr>
          <w:rFonts w:ascii="Palatino Linotype" w:hAnsi="Palatino Linotype" w:cs="Tahoma"/>
        </w:rPr>
        <w:t>a la realidad, lo cual puede derivar de que la autoridad emisora de la información la</w:t>
      </w:r>
      <w:r>
        <w:rPr>
          <w:rFonts w:ascii="Palatino Linotype" w:hAnsi="Palatino Linotype" w:cs="Tahoma"/>
        </w:rPr>
        <w:t xml:space="preserve"> </w:t>
      </w:r>
      <w:r w:rsidRPr="00EC694E">
        <w:rPr>
          <w:rFonts w:ascii="Palatino Linotype" w:hAnsi="Palatino Linotype" w:cs="Tahoma"/>
        </w:rPr>
        <w:t>obtenga de investigaciones, informes o estadísticas propios o de otras autoridades,</w:t>
      </w:r>
      <w:r>
        <w:rPr>
          <w:rFonts w:ascii="Palatino Linotype" w:hAnsi="Palatino Linotype" w:cs="Tahoma"/>
        </w:rPr>
        <w:t xml:space="preserve"> </w:t>
      </w:r>
      <w:r w:rsidRPr="00EC694E">
        <w:rPr>
          <w:rFonts w:ascii="Palatino Linotype" w:hAnsi="Palatino Linotype" w:cs="Tahoma"/>
        </w:rPr>
        <w:t>así como, de hechos notorios para la sociedad. Finalmente, debe carecer de toda</w:t>
      </w:r>
      <w:r>
        <w:rPr>
          <w:rFonts w:ascii="Palatino Linotype" w:hAnsi="Palatino Linotype" w:cs="Tahoma"/>
        </w:rPr>
        <w:t xml:space="preserve"> </w:t>
      </w:r>
      <w:r w:rsidRPr="00EC694E">
        <w:rPr>
          <w:rFonts w:ascii="Palatino Linotype" w:hAnsi="Palatino Linotype" w:cs="Tahoma"/>
        </w:rPr>
        <w:t>intervención de juicios o valoraciones subjetivas que no tengan como fin informar a</w:t>
      </w:r>
      <w:r>
        <w:rPr>
          <w:rFonts w:ascii="Palatino Linotype" w:hAnsi="Palatino Linotype" w:cs="Tahoma"/>
        </w:rPr>
        <w:t xml:space="preserve"> </w:t>
      </w:r>
      <w:r w:rsidRPr="00EC694E">
        <w:rPr>
          <w:rFonts w:ascii="Palatino Linotype" w:hAnsi="Palatino Linotype" w:cs="Tahoma"/>
        </w:rPr>
        <w:lastRenderedPageBreak/>
        <w:t>la sociedad, sino que pretendan establecer una postura, opinión o crítica hacia la</w:t>
      </w:r>
      <w:r>
        <w:rPr>
          <w:rFonts w:ascii="Palatino Linotype" w:hAnsi="Palatino Linotype" w:cs="Tahoma"/>
        </w:rPr>
        <w:t xml:space="preserve"> </w:t>
      </w:r>
      <w:r w:rsidRPr="00EC694E">
        <w:rPr>
          <w:rFonts w:ascii="Palatino Linotype" w:hAnsi="Palatino Linotype" w:cs="Tahoma"/>
        </w:rPr>
        <w:t>persona.</w:t>
      </w:r>
      <w:bookmarkEnd w:id="3"/>
    </w:p>
    <w:p w14:paraId="04CC2267" w14:textId="77777777" w:rsidR="000408D1" w:rsidRDefault="000408D1" w:rsidP="000408D1">
      <w:pPr>
        <w:spacing w:line="360" w:lineRule="auto"/>
        <w:jc w:val="both"/>
        <w:rPr>
          <w:rFonts w:ascii="Palatino Linotype" w:hAnsi="Palatino Linotype" w:cs="Tahoma"/>
        </w:rPr>
      </w:pPr>
    </w:p>
    <w:p w14:paraId="531965BF" w14:textId="38D60009" w:rsidR="005C4513" w:rsidRPr="00EE3BE9" w:rsidRDefault="002E09FD" w:rsidP="000408D1">
      <w:pPr>
        <w:spacing w:line="360" w:lineRule="auto"/>
        <w:jc w:val="both"/>
        <w:rPr>
          <w:rFonts w:ascii="Palatino Linotype" w:hAnsi="Palatino Linotype" w:cs="Tahoma"/>
        </w:rPr>
      </w:pPr>
      <w:r>
        <w:rPr>
          <w:rFonts w:ascii="Palatino Linotype" w:hAnsi="Palatino Linotype" w:cs="Tahoma"/>
        </w:rPr>
        <w:t>Sino más bien a que</w:t>
      </w:r>
      <w:r w:rsidR="006D5287" w:rsidRPr="00EE3BE9">
        <w:rPr>
          <w:rFonts w:ascii="Palatino Linotype" w:hAnsi="Palatino Linotype" w:cs="Tahoma"/>
        </w:rPr>
        <w:t xml:space="preserve"> el servicio público </w:t>
      </w:r>
      <w:r>
        <w:rPr>
          <w:rFonts w:ascii="Palatino Linotype" w:hAnsi="Palatino Linotype" w:cs="Tahoma"/>
        </w:rPr>
        <w:t>es</w:t>
      </w:r>
      <w:r w:rsidR="006D5287" w:rsidRPr="00EE3BE9">
        <w:rPr>
          <w:rFonts w:ascii="Palatino Linotype" w:hAnsi="Palatino Linotype" w:cs="Tahoma"/>
        </w:rPr>
        <w:t>, transparente y efectivo en el cumplimiento de su misió</w:t>
      </w:r>
      <w:r w:rsidR="00EC694E">
        <w:rPr>
          <w:rFonts w:ascii="Palatino Linotype" w:hAnsi="Palatino Linotype" w:cs="Tahoma"/>
        </w:rPr>
        <w:t>n de servir a la comunidad, p</w:t>
      </w:r>
      <w:r w:rsidR="005C4513" w:rsidRPr="00EE3BE9">
        <w:rPr>
          <w:rFonts w:ascii="Palatino Linotype" w:hAnsi="Palatino Linotype" w:cs="Tahoma"/>
        </w:rPr>
        <w:t xml:space="preserve">or tanto, </w:t>
      </w:r>
      <w:r w:rsidR="006D5287" w:rsidRPr="00EE3BE9">
        <w:rPr>
          <w:rFonts w:ascii="Palatino Linotype" w:hAnsi="Palatino Linotype" w:cs="Tahoma"/>
        </w:rPr>
        <w:t>los servidores públicos</w:t>
      </w:r>
      <w:r w:rsidR="005C4513" w:rsidRPr="00EE3BE9">
        <w:rPr>
          <w:rFonts w:ascii="Palatino Linotype" w:hAnsi="Palatino Linotype" w:cs="Tahoma"/>
        </w:rPr>
        <w:t xml:space="preserve"> deben regirse por lo establecido en </w:t>
      </w:r>
      <w:r w:rsidR="00707DB0" w:rsidRPr="00EE3BE9">
        <w:rPr>
          <w:rFonts w:ascii="Palatino Linotype" w:hAnsi="Palatino Linotype" w:cs="Tahoma"/>
        </w:rPr>
        <w:t xml:space="preserve">el marco legal </w:t>
      </w:r>
      <w:r w:rsidR="005C4513" w:rsidRPr="00EE3BE9">
        <w:rPr>
          <w:rFonts w:ascii="Palatino Linotype" w:hAnsi="Palatino Linotype" w:cs="Tahoma"/>
        </w:rPr>
        <w:t xml:space="preserve"> a fin de acreditar el cumplimiento de los principios constitucionales de legalidad, objetividad, eficiencia, profesionalismo, honradez y respeto a los derechos humanos. </w:t>
      </w:r>
    </w:p>
    <w:p w14:paraId="1DCDA665" w14:textId="77777777" w:rsidR="00EE3BE9" w:rsidRPr="00EE3BE9" w:rsidRDefault="00EE3BE9" w:rsidP="005C4513">
      <w:pPr>
        <w:pStyle w:val="Prrafodelista"/>
        <w:spacing w:line="360" w:lineRule="auto"/>
        <w:ind w:left="0"/>
        <w:jc w:val="both"/>
        <w:rPr>
          <w:rFonts w:ascii="Palatino Linotype" w:hAnsi="Palatino Linotype" w:cs="Tahoma"/>
        </w:rPr>
      </w:pPr>
    </w:p>
    <w:p w14:paraId="265087AF" w14:textId="0BE66DAA" w:rsidR="000408D1" w:rsidRDefault="00EE3BE9" w:rsidP="005C4513">
      <w:pPr>
        <w:pStyle w:val="Prrafodelista"/>
        <w:spacing w:line="360" w:lineRule="auto"/>
        <w:ind w:left="0"/>
        <w:jc w:val="both"/>
        <w:rPr>
          <w:rFonts w:ascii="Palatino Linotype" w:hAnsi="Palatino Linotype"/>
          <w:b/>
        </w:rPr>
      </w:pPr>
      <w:r w:rsidRPr="00EE3BE9">
        <w:rPr>
          <w:rFonts w:ascii="Palatino Linotype" w:hAnsi="Palatino Linotype"/>
          <w:b/>
        </w:rPr>
        <w:t>B. Conclusión</w:t>
      </w:r>
    </w:p>
    <w:p w14:paraId="173EB61A" w14:textId="77777777" w:rsidR="00965369" w:rsidRPr="00EE3BE9" w:rsidRDefault="00965369" w:rsidP="005C4513">
      <w:pPr>
        <w:pStyle w:val="Prrafodelista"/>
        <w:spacing w:line="360" w:lineRule="auto"/>
        <w:ind w:left="0"/>
        <w:jc w:val="both"/>
        <w:rPr>
          <w:rFonts w:ascii="Palatino Linotype" w:hAnsi="Palatino Linotype"/>
          <w:b/>
        </w:rPr>
      </w:pPr>
    </w:p>
    <w:p w14:paraId="457CC60C" w14:textId="5AE4ECFA" w:rsidR="008936B4" w:rsidRPr="00EE3BE9" w:rsidRDefault="002E09FD" w:rsidP="002E09FD">
      <w:pPr>
        <w:pStyle w:val="Textoindependiente"/>
        <w:spacing w:line="360" w:lineRule="auto"/>
        <w:ind w:right="247"/>
        <w:jc w:val="both"/>
        <w:rPr>
          <w:rFonts w:eastAsia="Calibri" w:cs="Tahoma"/>
          <w:bCs/>
          <w:lang w:val="es-MX"/>
        </w:rPr>
      </w:pPr>
      <w:r>
        <w:t>No se comparte la clasificación como confidencial del nombre y cargo, área de adscripción y aquellos datos personales que hagan identificable a una persona de los Servidores Públicos absueltos en el caso de procedimientos administrativos iniciados por faltas graves, al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w:t>
      </w:r>
      <w:r w:rsidR="000408D1">
        <w:t xml:space="preserve"> </w:t>
      </w:r>
      <w:r>
        <w:t xml:space="preserve">el servicio público. </w:t>
      </w:r>
      <w:r w:rsidR="008936B4" w:rsidRPr="00EE3BE9">
        <w:rPr>
          <w:rFonts w:eastAsia="Calibri" w:cs="Tahoma"/>
          <w:bCs/>
          <w:lang w:val="es-MX"/>
        </w:rPr>
        <w:t>Lo anterior expone razones suficientes para la emisión y presentación del presente Voto Particular.----------------------</w:t>
      </w:r>
      <w:r w:rsidR="000408D1">
        <w:rPr>
          <w:rFonts w:eastAsia="Calibri" w:cs="Tahoma"/>
          <w:bCs/>
          <w:lang w:val="es-MX"/>
        </w:rPr>
        <w:t>------------------------------</w:t>
      </w:r>
    </w:p>
    <w:p w14:paraId="5EC6A20F" w14:textId="77777777" w:rsidR="008936B4" w:rsidRPr="00EE3BE9" w:rsidRDefault="008936B4" w:rsidP="008936B4">
      <w:pPr>
        <w:spacing w:line="360" w:lineRule="auto"/>
        <w:jc w:val="both"/>
        <w:rPr>
          <w:rFonts w:ascii="Palatino Linotype" w:eastAsia="Calibri" w:hAnsi="Palatino Linotype" w:cs="Tahoma"/>
          <w:bCs/>
          <w:lang w:val="es-MX"/>
        </w:rPr>
      </w:pPr>
    </w:p>
    <w:p w14:paraId="418D8358" w14:textId="77777777" w:rsidR="008936B4" w:rsidRPr="00EE3BE9"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Default="00D96441" w:rsidP="005C4513">
      <w:pPr>
        <w:spacing w:before="240" w:after="240" w:line="360" w:lineRule="auto"/>
        <w:jc w:val="both"/>
        <w:rPr>
          <w:rFonts w:ascii="Palatino Linotype" w:hAnsi="Palatino Linotype" w:cs="Arial"/>
        </w:rPr>
      </w:pPr>
    </w:p>
    <w:p w14:paraId="5814EBC6" w14:textId="77777777" w:rsidR="00DD7ECC" w:rsidRDefault="00DD7ECC" w:rsidP="005C4513">
      <w:pPr>
        <w:spacing w:before="240" w:after="240" w:line="360" w:lineRule="auto"/>
        <w:jc w:val="both"/>
        <w:rPr>
          <w:rFonts w:ascii="Palatino Linotype" w:hAnsi="Palatino Linotype" w:cs="Arial"/>
        </w:rPr>
      </w:pPr>
    </w:p>
    <w:p w14:paraId="35A5FEEB" w14:textId="77777777" w:rsidR="00DD7ECC" w:rsidRDefault="00DD7ECC" w:rsidP="005C4513">
      <w:pPr>
        <w:spacing w:before="240" w:after="240" w:line="360" w:lineRule="auto"/>
        <w:jc w:val="both"/>
        <w:rPr>
          <w:rFonts w:ascii="Palatino Linotype" w:hAnsi="Palatino Linotype" w:cs="Arial"/>
        </w:rPr>
      </w:pPr>
    </w:p>
    <w:p w14:paraId="3C315E1B" w14:textId="77777777" w:rsidR="00DD7ECC" w:rsidRDefault="00DD7ECC" w:rsidP="005C4513">
      <w:pPr>
        <w:spacing w:before="240" w:after="240" w:line="360" w:lineRule="auto"/>
        <w:jc w:val="both"/>
        <w:rPr>
          <w:rFonts w:ascii="Palatino Linotype" w:hAnsi="Palatino Linotype" w:cs="Arial"/>
        </w:rPr>
      </w:pPr>
    </w:p>
    <w:p w14:paraId="4CF3F864" w14:textId="77777777" w:rsidR="00DD7ECC" w:rsidRDefault="00DD7ECC" w:rsidP="005C4513">
      <w:pPr>
        <w:spacing w:before="240" w:after="240" w:line="360" w:lineRule="auto"/>
        <w:jc w:val="both"/>
        <w:rPr>
          <w:rFonts w:ascii="Palatino Linotype" w:hAnsi="Palatino Linotype" w:cs="Arial"/>
        </w:rPr>
      </w:pPr>
    </w:p>
    <w:p w14:paraId="468CF237" w14:textId="77777777" w:rsidR="00DD7ECC" w:rsidRDefault="00DD7ECC" w:rsidP="005C4513">
      <w:pPr>
        <w:spacing w:before="240" w:after="240" w:line="360" w:lineRule="auto"/>
        <w:jc w:val="both"/>
        <w:rPr>
          <w:rFonts w:ascii="Palatino Linotype" w:hAnsi="Palatino Linotype" w:cs="Arial"/>
        </w:rPr>
      </w:pPr>
    </w:p>
    <w:p w14:paraId="44F44F89" w14:textId="77777777" w:rsidR="00181AA2" w:rsidRDefault="00181AA2" w:rsidP="005C4513">
      <w:pPr>
        <w:spacing w:before="240" w:after="240" w:line="360" w:lineRule="auto"/>
        <w:jc w:val="both"/>
        <w:rPr>
          <w:rFonts w:ascii="Palatino Linotype" w:hAnsi="Palatino Linotype" w:cs="Arial"/>
        </w:rPr>
      </w:pPr>
    </w:p>
    <w:p w14:paraId="1A631163" w14:textId="77777777" w:rsidR="00181AA2" w:rsidRDefault="00181AA2" w:rsidP="005C4513">
      <w:pPr>
        <w:spacing w:before="240" w:after="240" w:line="360" w:lineRule="auto"/>
        <w:jc w:val="both"/>
        <w:rPr>
          <w:rFonts w:ascii="Palatino Linotype" w:hAnsi="Palatino Linotype" w:cs="Arial"/>
        </w:rPr>
      </w:pPr>
    </w:p>
    <w:p w14:paraId="659ECDBE" w14:textId="77777777" w:rsidR="00181AA2" w:rsidRDefault="00181AA2" w:rsidP="005C4513">
      <w:pPr>
        <w:spacing w:before="240" w:after="240" w:line="360" w:lineRule="auto"/>
        <w:jc w:val="both"/>
        <w:rPr>
          <w:rFonts w:ascii="Palatino Linotype" w:hAnsi="Palatino Linotype" w:cs="Arial"/>
        </w:rPr>
      </w:pPr>
    </w:p>
    <w:p w14:paraId="1847D681" w14:textId="77777777" w:rsidR="00181AA2" w:rsidRDefault="00181AA2" w:rsidP="005C4513">
      <w:pPr>
        <w:spacing w:before="240" w:after="240" w:line="360" w:lineRule="auto"/>
        <w:jc w:val="both"/>
        <w:rPr>
          <w:rFonts w:ascii="Palatino Linotype" w:hAnsi="Palatino Linotype" w:cs="Arial"/>
        </w:rPr>
      </w:pPr>
    </w:p>
    <w:p w14:paraId="16FCDC98" w14:textId="77777777" w:rsidR="00181AA2" w:rsidRDefault="00181AA2" w:rsidP="005C4513">
      <w:pPr>
        <w:spacing w:before="240" w:after="240" w:line="360" w:lineRule="auto"/>
        <w:jc w:val="both"/>
        <w:rPr>
          <w:rFonts w:ascii="Palatino Linotype" w:hAnsi="Palatino Linotype" w:cs="Arial"/>
        </w:rPr>
      </w:pPr>
    </w:p>
    <w:p w14:paraId="7DA782DD" w14:textId="77777777" w:rsidR="00181AA2" w:rsidRDefault="00181AA2" w:rsidP="005C4513">
      <w:pPr>
        <w:spacing w:before="240" w:after="240" w:line="360" w:lineRule="auto"/>
        <w:jc w:val="both"/>
        <w:rPr>
          <w:rFonts w:ascii="Palatino Linotype" w:hAnsi="Palatino Linotype" w:cs="Arial"/>
        </w:rPr>
      </w:pPr>
    </w:p>
    <w:p w14:paraId="1E545BB6" w14:textId="77777777" w:rsidR="00181AA2" w:rsidRDefault="00181AA2" w:rsidP="005C4513">
      <w:pPr>
        <w:spacing w:before="240" w:after="240" w:line="360" w:lineRule="auto"/>
        <w:jc w:val="both"/>
        <w:rPr>
          <w:rFonts w:ascii="Palatino Linotype" w:hAnsi="Palatino Linotype" w:cs="Arial"/>
        </w:rPr>
      </w:pPr>
    </w:p>
    <w:p w14:paraId="254F1FAC" w14:textId="77777777" w:rsidR="00181AA2" w:rsidRDefault="00181AA2" w:rsidP="005C4513">
      <w:pPr>
        <w:spacing w:before="240" w:after="240" w:line="360" w:lineRule="auto"/>
        <w:jc w:val="both"/>
        <w:rPr>
          <w:rFonts w:ascii="Palatino Linotype" w:hAnsi="Palatino Linotype" w:cs="Arial"/>
        </w:rPr>
      </w:pPr>
    </w:p>
    <w:p w14:paraId="2834F250" w14:textId="77777777" w:rsidR="00DD7ECC" w:rsidRDefault="00DD7ECC" w:rsidP="005C4513">
      <w:pPr>
        <w:spacing w:before="240" w:after="240" w:line="360" w:lineRule="auto"/>
        <w:jc w:val="both"/>
        <w:rPr>
          <w:rFonts w:ascii="Palatino Linotype" w:hAnsi="Palatino Linotype" w:cs="Arial"/>
        </w:rPr>
      </w:pPr>
    </w:p>
    <w:p w14:paraId="1240A1BC" w14:textId="77777777" w:rsidR="00DD7ECC" w:rsidRPr="00EE3BE9" w:rsidRDefault="00DD7ECC" w:rsidP="005C4513">
      <w:pPr>
        <w:spacing w:before="240" w:after="240" w:line="360" w:lineRule="auto"/>
        <w:jc w:val="both"/>
        <w:rPr>
          <w:rFonts w:ascii="Palatino Linotype" w:hAnsi="Palatino Linotype" w:cs="Arial"/>
        </w:rPr>
      </w:pPr>
    </w:p>
    <w:sectPr w:rsidR="00DD7ECC" w:rsidRPr="00EE3BE9"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5EDC" w14:textId="77777777" w:rsidR="00BB5B72" w:rsidRDefault="00BB5B72" w:rsidP="00C80F8C">
      <w:r>
        <w:separator/>
      </w:r>
    </w:p>
  </w:endnote>
  <w:endnote w:type="continuationSeparator" w:id="0">
    <w:p w14:paraId="2FEA102D" w14:textId="77777777" w:rsidR="00BB5B72" w:rsidRDefault="00BB5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737B" w14:textId="77777777" w:rsidR="00BB5B72" w:rsidRDefault="00BB5B72" w:rsidP="00C80F8C">
      <w:r>
        <w:separator/>
      </w:r>
    </w:p>
  </w:footnote>
  <w:footnote w:type="continuationSeparator" w:id="0">
    <w:p w14:paraId="3BEE63E8" w14:textId="77777777" w:rsidR="00BB5B72" w:rsidRDefault="00BB5B72"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75F46A4A" w:rsidR="00F47FB5" w:rsidRPr="000408D1" w:rsidRDefault="000408D1" w:rsidP="000408D1">
    <w:pPr>
      <w:pStyle w:val="Encabezado"/>
      <w:tabs>
        <w:tab w:val="clear" w:pos="4252"/>
        <w:tab w:val="clear" w:pos="8504"/>
        <w:tab w:val="left" w:pos="2326"/>
      </w:tabs>
      <w:ind w:left="2835"/>
      <w:jc w:val="right"/>
      <w:rPr>
        <w:rFonts w:ascii="Palatino Linotype" w:hAnsi="Palatino Linotype"/>
        <w:sz w:val="20"/>
      </w:rPr>
    </w:pPr>
    <w:r w:rsidRPr="000408D1">
      <w:rPr>
        <w:rFonts w:ascii="Palatino Linotype" w:hAnsi="Palatino Linotype"/>
        <w:noProof/>
        <w:sz w:val="20"/>
        <w:lang w:val="es-ES"/>
      </w:rPr>
      <w:drawing>
        <wp:anchor distT="0" distB="0" distL="114300" distR="114300" simplePos="0" relativeHeight="251658240" behindDoc="1" locked="0" layoutInCell="1" allowOverlap="1" wp14:anchorId="46D381A4" wp14:editId="66B89FFC">
          <wp:simplePos x="0" y="0"/>
          <wp:positionH relativeFrom="column">
            <wp:posOffset>-669925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00000">
      <w:rPr>
        <w:noProof/>
        <w:sz w:val="20"/>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sidRPr="000408D1">
      <w:rPr>
        <w:rFonts w:ascii="Palatino Linotype" w:hAnsi="Palatino Linotype" w:cs="Tahoma"/>
        <w:b/>
        <w:sz w:val="20"/>
      </w:rPr>
      <w:t>Voto Particular</w:t>
    </w:r>
  </w:p>
  <w:p w14:paraId="164BA4A9" w14:textId="0D0DEF52" w:rsidR="0067381F" w:rsidRPr="000408D1" w:rsidRDefault="00F47FB5" w:rsidP="000408D1">
    <w:pPr>
      <w:pStyle w:val="Encabezado"/>
      <w:ind w:left="2835" w:right="-250"/>
      <w:jc w:val="right"/>
      <w:rPr>
        <w:rFonts w:ascii="Palatino Linotype" w:hAnsi="Palatino Linotype" w:cs="Arial"/>
        <w:b/>
        <w:bCs/>
        <w:sz w:val="20"/>
        <w:lang w:eastAsia="es-MX"/>
      </w:rPr>
    </w:pPr>
    <w:r w:rsidRPr="000408D1">
      <w:rPr>
        <w:rFonts w:ascii="Palatino Linotype" w:hAnsi="Palatino Linotype" w:cs="Tahoma"/>
        <w:b/>
        <w:sz w:val="20"/>
      </w:rPr>
      <w:t xml:space="preserve">Recurso de Revisión: </w:t>
    </w:r>
    <w:r w:rsidR="00965369">
      <w:rPr>
        <w:rFonts w:ascii="Palatino Linotype" w:eastAsia="Palatino Linotype" w:hAnsi="Palatino Linotype" w:cs="Palatino Linotype"/>
        <w:b/>
        <w:sz w:val="20"/>
      </w:rPr>
      <w:t>01134/INFOEM/IP/RR/2023</w:t>
    </w:r>
  </w:p>
  <w:p w14:paraId="71104997" w14:textId="477B0A36" w:rsidR="00634485" w:rsidRDefault="00F47FB5" w:rsidP="00965369">
    <w:pPr>
      <w:pStyle w:val="Encabezado"/>
      <w:ind w:left="2835" w:right="-250"/>
      <w:jc w:val="right"/>
    </w:pPr>
    <w:r w:rsidRPr="000408D1">
      <w:rPr>
        <w:rFonts w:ascii="Palatino Linotype" w:hAnsi="Palatino Linotype" w:cs="Tahoma"/>
        <w:b/>
        <w:sz w:val="20"/>
      </w:rPr>
      <w:t>Sujeto Obligado:</w:t>
    </w:r>
    <w:r w:rsidRPr="000408D1">
      <w:rPr>
        <w:rFonts w:ascii="Palatino Linotype" w:eastAsia="Palatino Linotype" w:hAnsi="Palatino Linotype" w:cs="Palatino Linotype"/>
        <w:b/>
        <w:sz w:val="20"/>
      </w:rPr>
      <w:t xml:space="preserve"> </w:t>
    </w:r>
    <w:r w:rsidR="000408D1">
      <w:rPr>
        <w:rFonts w:ascii="Palatino Linotype" w:eastAsia="Palatino Linotype" w:hAnsi="Palatino Linotype" w:cs="Palatino Linotype"/>
        <w:b/>
        <w:sz w:val="20"/>
      </w:rPr>
      <w:t xml:space="preserve">Ayuntamiento de </w:t>
    </w:r>
    <w:r w:rsidR="00965369" w:rsidRPr="00965369">
      <w:rPr>
        <w:rFonts w:ascii="Palatino Linotype" w:eastAsia="Palatino Linotype" w:hAnsi="Palatino Linotype" w:cs="Palatino Linotype"/>
        <w:b/>
        <w:sz w:val="20"/>
        <w:lang w:val="es-ES"/>
      </w:rPr>
      <w:t>Nicolás Romero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494126"/>
    <w:multiLevelType w:val="multilevel"/>
    <w:tmpl w:val="0BE4A65C"/>
    <w:lvl w:ilvl="0">
      <w:start w:val="1"/>
      <w:numFmt w:val="decimal"/>
      <w:lvlText w:val="%1."/>
      <w:lvlJc w:val="left"/>
      <w:pPr>
        <w:ind w:left="720" w:hanging="360"/>
      </w:pPr>
      <w:rPr>
        <w:rFonts w:ascii="Palatino Linotype" w:eastAsia="Palatino Linotype" w:hAnsi="Palatino Linotype" w:cs="Palatino Linotype"/>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9"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1C67A4"/>
    <w:multiLevelType w:val="hybridMultilevel"/>
    <w:tmpl w:val="A1C48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0"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651647D1"/>
    <w:multiLevelType w:val="hybridMultilevel"/>
    <w:tmpl w:val="EBCCAD4A"/>
    <w:lvl w:ilvl="0" w:tplc="5E323F4C">
      <w:start w:val="1"/>
      <w:numFmt w:val="decimal"/>
      <w:lvlText w:val="%1."/>
      <w:lvlJc w:val="left"/>
      <w:pPr>
        <w:ind w:left="720" w:hanging="360"/>
      </w:pPr>
      <w:rPr>
        <w:rFonts w:ascii="Palatino Linotype" w:eastAsia="Palatino Linotype" w:hAnsi="Palatino Linotype" w:cs="Palatino Linotype"/>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4" w15:restartNumberingAfterBreak="0">
    <w:nsid w:val="6C873AA5"/>
    <w:multiLevelType w:val="hybridMultilevel"/>
    <w:tmpl w:val="8A0A12E4"/>
    <w:lvl w:ilvl="0" w:tplc="35FECF4E">
      <w:start w:val="1"/>
      <w:numFmt w:val="lowerLetter"/>
      <w:lvlText w:val="%1."/>
      <w:lvlJc w:val="left"/>
      <w:pPr>
        <w:ind w:left="1440" w:hanging="360"/>
      </w:pPr>
      <w:rPr>
        <w:b/>
        <w:bCs/>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5758685">
    <w:abstractNumId w:val="5"/>
  </w:num>
  <w:num w:numId="2" w16cid:durableId="144206479">
    <w:abstractNumId w:val="44"/>
  </w:num>
  <w:num w:numId="3" w16cid:durableId="1046610730">
    <w:abstractNumId w:val="12"/>
  </w:num>
  <w:num w:numId="4" w16cid:durableId="1359086774">
    <w:abstractNumId w:val="16"/>
  </w:num>
  <w:num w:numId="5" w16cid:durableId="730692701">
    <w:abstractNumId w:val="35"/>
  </w:num>
  <w:num w:numId="6" w16cid:durableId="651569607">
    <w:abstractNumId w:val="32"/>
  </w:num>
  <w:num w:numId="7" w16cid:durableId="10686480">
    <w:abstractNumId w:val="25"/>
  </w:num>
  <w:num w:numId="8" w16cid:durableId="1841693580">
    <w:abstractNumId w:val="39"/>
  </w:num>
  <w:num w:numId="9" w16cid:durableId="1408654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16333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255371">
    <w:abstractNumId w:val="13"/>
  </w:num>
  <w:num w:numId="12" w16cid:durableId="401413317">
    <w:abstractNumId w:val="41"/>
  </w:num>
  <w:num w:numId="13" w16cid:durableId="1021975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850626">
    <w:abstractNumId w:val="30"/>
  </w:num>
  <w:num w:numId="15" w16cid:durableId="441534530">
    <w:abstractNumId w:val="19"/>
  </w:num>
  <w:num w:numId="16" w16cid:durableId="6688748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258917">
    <w:abstractNumId w:val="33"/>
  </w:num>
  <w:num w:numId="18" w16cid:durableId="202988274">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1526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3577062">
    <w:abstractNumId w:val="23"/>
  </w:num>
  <w:num w:numId="21" w16cid:durableId="989479797">
    <w:abstractNumId w:val="22"/>
  </w:num>
  <w:num w:numId="22" w16cid:durableId="8676440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1898764">
    <w:abstractNumId w:val="11"/>
  </w:num>
  <w:num w:numId="24" w16cid:durableId="516969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2996176">
    <w:abstractNumId w:val="8"/>
  </w:num>
  <w:num w:numId="26" w16cid:durableId="388267680">
    <w:abstractNumId w:val="42"/>
  </w:num>
  <w:num w:numId="27" w16cid:durableId="232929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444074">
    <w:abstractNumId w:val="26"/>
  </w:num>
  <w:num w:numId="29" w16cid:durableId="550844034">
    <w:abstractNumId w:val="33"/>
  </w:num>
  <w:num w:numId="30" w16cid:durableId="7049856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9423852">
    <w:abstractNumId w:val="17"/>
  </w:num>
  <w:num w:numId="32" w16cid:durableId="15740507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0540908">
    <w:abstractNumId w:val="2"/>
  </w:num>
  <w:num w:numId="34" w16cid:durableId="9813535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4902496">
    <w:abstractNumId w:val="6"/>
  </w:num>
  <w:num w:numId="36" w16cid:durableId="875780215">
    <w:abstractNumId w:val="24"/>
  </w:num>
  <w:num w:numId="37" w16cid:durableId="19118454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795409">
    <w:abstractNumId w:val="14"/>
    <w:lvlOverride w:ilvl="0">
      <w:startOverride w:val="1"/>
    </w:lvlOverride>
    <w:lvlOverride w:ilvl="1"/>
    <w:lvlOverride w:ilvl="2"/>
    <w:lvlOverride w:ilvl="3"/>
    <w:lvlOverride w:ilvl="4"/>
    <w:lvlOverride w:ilvl="5"/>
    <w:lvlOverride w:ilvl="6"/>
    <w:lvlOverride w:ilvl="7"/>
    <w:lvlOverride w:ilvl="8"/>
  </w:num>
  <w:num w:numId="39" w16cid:durableId="399256940">
    <w:abstractNumId w:val="21"/>
  </w:num>
  <w:num w:numId="40" w16cid:durableId="39848557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0907676">
    <w:abstractNumId w:val="31"/>
  </w:num>
  <w:num w:numId="42" w16cid:durableId="344789729">
    <w:abstractNumId w:val="20"/>
  </w:num>
  <w:num w:numId="43" w16cid:durableId="1615552275">
    <w:abstractNumId w:val="1"/>
  </w:num>
  <w:num w:numId="44" w16cid:durableId="1529443464">
    <w:abstractNumId w:val="15"/>
  </w:num>
  <w:num w:numId="45" w16cid:durableId="1990013946">
    <w:abstractNumId w:val="0"/>
  </w:num>
  <w:num w:numId="46" w16cid:durableId="16598439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2434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08D1"/>
    <w:rsid w:val="00040D34"/>
    <w:rsid w:val="00043D11"/>
    <w:rsid w:val="00055D60"/>
    <w:rsid w:val="00061126"/>
    <w:rsid w:val="0008542A"/>
    <w:rsid w:val="000B37D9"/>
    <w:rsid w:val="000B3FFD"/>
    <w:rsid w:val="000C43E5"/>
    <w:rsid w:val="000C4453"/>
    <w:rsid w:val="000D656A"/>
    <w:rsid w:val="000E27BB"/>
    <w:rsid w:val="00105578"/>
    <w:rsid w:val="001112E6"/>
    <w:rsid w:val="00115E7A"/>
    <w:rsid w:val="00135555"/>
    <w:rsid w:val="00181AA2"/>
    <w:rsid w:val="0018216B"/>
    <w:rsid w:val="00187962"/>
    <w:rsid w:val="001960A5"/>
    <w:rsid w:val="001B3D11"/>
    <w:rsid w:val="001C7B07"/>
    <w:rsid w:val="0020666A"/>
    <w:rsid w:val="00216C06"/>
    <w:rsid w:val="002378AC"/>
    <w:rsid w:val="00266831"/>
    <w:rsid w:val="00284217"/>
    <w:rsid w:val="00294490"/>
    <w:rsid w:val="002D5B21"/>
    <w:rsid w:val="002E09FD"/>
    <w:rsid w:val="002E7D97"/>
    <w:rsid w:val="003026CE"/>
    <w:rsid w:val="00312863"/>
    <w:rsid w:val="003261A0"/>
    <w:rsid w:val="00326EEA"/>
    <w:rsid w:val="003448FB"/>
    <w:rsid w:val="003B75EE"/>
    <w:rsid w:val="003C1C17"/>
    <w:rsid w:val="003C6DA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92BEE"/>
    <w:rsid w:val="005B05D8"/>
    <w:rsid w:val="005C0271"/>
    <w:rsid w:val="005C4513"/>
    <w:rsid w:val="005C481C"/>
    <w:rsid w:val="005C4ADA"/>
    <w:rsid w:val="005D13C1"/>
    <w:rsid w:val="005D1946"/>
    <w:rsid w:val="005F3A48"/>
    <w:rsid w:val="00615B7E"/>
    <w:rsid w:val="00621357"/>
    <w:rsid w:val="00634485"/>
    <w:rsid w:val="00665800"/>
    <w:rsid w:val="0067340C"/>
    <w:rsid w:val="0067381F"/>
    <w:rsid w:val="0068101D"/>
    <w:rsid w:val="006822ED"/>
    <w:rsid w:val="00685B0E"/>
    <w:rsid w:val="006A7AB7"/>
    <w:rsid w:val="006B2674"/>
    <w:rsid w:val="006C2912"/>
    <w:rsid w:val="006D5287"/>
    <w:rsid w:val="006E016F"/>
    <w:rsid w:val="006E6389"/>
    <w:rsid w:val="006F0A6E"/>
    <w:rsid w:val="006F30F8"/>
    <w:rsid w:val="00701B9E"/>
    <w:rsid w:val="00706B53"/>
    <w:rsid w:val="00707DB0"/>
    <w:rsid w:val="0071093C"/>
    <w:rsid w:val="00736C06"/>
    <w:rsid w:val="00760037"/>
    <w:rsid w:val="007617C8"/>
    <w:rsid w:val="00762C20"/>
    <w:rsid w:val="00776D84"/>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B0A68"/>
    <w:rsid w:val="008C19BE"/>
    <w:rsid w:val="008C3C4B"/>
    <w:rsid w:val="008D1526"/>
    <w:rsid w:val="008D566B"/>
    <w:rsid w:val="008F67BC"/>
    <w:rsid w:val="00956B18"/>
    <w:rsid w:val="00961995"/>
    <w:rsid w:val="00962796"/>
    <w:rsid w:val="00965369"/>
    <w:rsid w:val="00975EB9"/>
    <w:rsid w:val="00981C38"/>
    <w:rsid w:val="00997CD5"/>
    <w:rsid w:val="009B3D3A"/>
    <w:rsid w:val="009C666B"/>
    <w:rsid w:val="009D10D2"/>
    <w:rsid w:val="009E155A"/>
    <w:rsid w:val="009F0D8D"/>
    <w:rsid w:val="00A16950"/>
    <w:rsid w:val="00A303B0"/>
    <w:rsid w:val="00A53363"/>
    <w:rsid w:val="00A5360A"/>
    <w:rsid w:val="00A561C5"/>
    <w:rsid w:val="00A610D3"/>
    <w:rsid w:val="00A64683"/>
    <w:rsid w:val="00A74BB7"/>
    <w:rsid w:val="00A7532A"/>
    <w:rsid w:val="00A81140"/>
    <w:rsid w:val="00AB78CF"/>
    <w:rsid w:val="00AC0680"/>
    <w:rsid w:val="00AE7763"/>
    <w:rsid w:val="00B014D8"/>
    <w:rsid w:val="00B05E5A"/>
    <w:rsid w:val="00B343D6"/>
    <w:rsid w:val="00B34E17"/>
    <w:rsid w:val="00B53290"/>
    <w:rsid w:val="00B64C7A"/>
    <w:rsid w:val="00B64CFB"/>
    <w:rsid w:val="00B703D7"/>
    <w:rsid w:val="00B7360E"/>
    <w:rsid w:val="00B868A5"/>
    <w:rsid w:val="00B92067"/>
    <w:rsid w:val="00BB071F"/>
    <w:rsid w:val="00BB11DB"/>
    <w:rsid w:val="00BB2AD1"/>
    <w:rsid w:val="00BB5B72"/>
    <w:rsid w:val="00BC1756"/>
    <w:rsid w:val="00BD07E6"/>
    <w:rsid w:val="00BD7483"/>
    <w:rsid w:val="00BE05AB"/>
    <w:rsid w:val="00BF358F"/>
    <w:rsid w:val="00BF68F0"/>
    <w:rsid w:val="00BF6974"/>
    <w:rsid w:val="00BF6E14"/>
    <w:rsid w:val="00C049D1"/>
    <w:rsid w:val="00C156E5"/>
    <w:rsid w:val="00C27236"/>
    <w:rsid w:val="00C65950"/>
    <w:rsid w:val="00C75CBC"/>
    <w:rsid w:val="00C80615"/>
    <w:rsid w:val="00C80F8C"/>
    <w:rsid w:val="00C85F1D"/>
    <w:rsid w:val="00C8760D"/>
    <w:rsid w:val="00CE0FA6"/>
    <w:rsid w:val="00CE217B"/>
    <w:rsid w:val="00CF3F65"/>
    <w:rsid w:val="00D03369"/>
    <w:rsid w:val="00D20156"/>
    <w:rsid w:val="00D23656"/>
    <w:rsid w:val="00D36ABC"/>
    <w:rsid w:val="00D96441"/>
    <w:rsid w:val="00DC2CB7"/>
    <w:rsid w:val="00DC3082"/>
    <w:rsid w:val="00DD45AC"/>
    <w:rsid w:val="00DD5CD5"/>
    <w:rsid w:val="00DD6488"/>
    <w:rsid w:val="00DD7ECC"/>
    <w:rsid w:val="00DE1629"/>
    <w:rsid w:val="00DE5C27"/>
    <w:rsid w:val="00E37AE3"/>
    <w:rsid w:val="00E429BA"/>
    <w:rsid w:val="00EC694E"/>
    <w:rsid w:val="00EE3BE9"/>
    <w:rsid w:val="00EF3513"/>
    <w:rsid w:val="00F05A30"/>
    <w:rsid w:val="00F1205F"/>
    <w:rsid w:val="00F47FB5"/>
    <w:rsid w:val="00F614DA"/>
    <w:rsid w:val="00F662BC"/>
    <w:rsid w:val="00F717F4"/>
    <w:rsid w:val="00F75892"/>
    <w:rsid w:val="00F9546D"/>
    <w:rsid w:val="00F96A6E"/>
    <w:rsid w:val="00FA1233"/>
    <w:rsid w:val="00FA79C9"/>
    <w:rsid w:val="00FB26E6"/>
    <w:rsid w:val="00FB48D6"/>
    <w:rsid w:val="00FC6C29"/>
    <w:rsid w:val="00FE71A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27F4-1385-4FE3-BB70-ECE0CB74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2776</Words>
  <Characters>15272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3</cp:revision>
  <cp:lastPrinted>2023-05-30T00:23:00Z</cp:lastPrinted>
  <dcterms:created xsi:type="dcterms:W3CDTF">2023-11-21T20:21:00Z</dcterms:created>
  <dcterms:modified xsi:type="dcterms:W3CDTF">2024-02-09T17:05:00Z</dcterms:modified>
</cp:coreProperties>
</file>