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B6" w:rsidRDefault="00A75D32">
      <w:pPr>
        <w:spacing w:after="0" w:line="360" w:lineRule="auto"/>
        <w:jc w:val="both"/>
        <w:rPr>
          <w:rFonts w:ascii="Palatino Linotype" w:eastAsia="Palatino Linotype" w:hAnsi="Palatino Linotype" w:cs="Palatino Linotype"/>
          <w:b/>
          <w:sz w:val="24"/>
          <w:szCs w:val="24"/>
        </w:rPr>
      </w:pPr>
      <w:bookmarkStart w:id="0" w:name="_heading=h.gjdgxs" w:colFirst="0" w:colLast="0"/>
      <w:bookmarkStart w:id="1" w:name="_GoBack"/>
      <w:bookmarkEnd w:id="0"/>
      <w:bookmarkEnd w:id="1"/>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TRIGÉSIMA TERCERA SESIÓN ORDINARIA DEL TRECE DE SEPTIEMBRE DE DOS MIL VEINTITRÉS, EN EL RECURSO DE REVISIÓN 12881/INFOEM/IP/RR/2022 y 12882/INFOEM/IP/RR/2022, ACUMULADOS. </w:t>
      </w:r>
    </w:p>
    <w:p w:rsidR="007159B6" w:rsidRDefault="007159B6">
      <w:pPr>
        <w:spacing w:after="0" w:line="360" w:lineRule="auto"/>
        <w:jc w:val="both"/>
        <w:rPr>
          <w:rFonts w:ascii="Palatino Linotype" w:eastAsia="Palatino Linotype" w:hAnsi="Palatino Linotype" w:cs="Palatino Linotype"/>
          <w:b/>
          <w:sz w:val="24"/>
          <w:szCs w:val="24"/>
        </w:rPr>
      </w:pPr>
    </w:p>
    <w:p w:rsidR="007159B6" w:rsidRDefault="00A75D3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Comisionada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12882/INFOEM/IP/RR/2022 y acumulado</w:t>
      </w:r>
      <w:r>
        <w:rPr>
          <w:rFonts w:ascii="Palatino Linotype" w:eastAsia="Palatino Linotype" w:hAnsi="Palatino Linotype" w:cs="Palatino Linotype"/>
          <w:sz w:val="24"/>
          <w:szCs w:val="24"/>
        </w:rPr>
        <w:t xml:space="preserve">, pronunciada por el Pleno de este Instituto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xml:space="preserve">, el cual es  al tenor siguiente: </w:t>
      </w:r>
    </w:p>
    <w:p w:rsidR="007159B6" w:rsidRDefault="007159B6">
      <w:pPr>
        <w:spacing w:after="0" w:line="360" w:lineRule="auto"/>
        <w:jc w:val="both"/>
        <w:rPr>
          <w:rFonts w:ascii="Palatino Linotype" w:eastAsia="Palatino Linotype" w:hAnsi="Palatino Linotype" w:cs="Palatino Linotype"/>
          <w:sz w:val="24"/>
          <w:szCs w:val="24"/>
        </w:rPr>
      </w:pPr>
    </w:p>
    <w:p w:rsidR="007159B6" w:rsidRDefault="00A75D32">
      <w:pPr>
        <w:numPr>
          <w:ilvl w:val="0"/>
          <w:numId w:val="3"/>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7159B6" w:rsidRDefault="007159B6">
      <w:pPr>
        <w:spacing w:after="0" w:line="360" w:lineRule="auto"/>
        <w:ind w:left="567"/>
        <w:jc w:val="both"/>
        <w:rPr>
          <w:rFonts w:ascii="Palatino Linotype" w:eastAsia="Palatino Linotype" w:hAnsi="Palatino Linotype" w:cs="Palatino Linotype"/>
          <w:b/>
          <w:sz w:val="24"/>
          <w:szCs w:val="24"/>
        </w:rPr>
      </w:pPr>
    </w:p>
    <w:p w:rsidR="007159B6" w:rsidRDefault="00A75D32">
      <w:pPr>
        <w:spacing w:after="120" w:line="360" w:lineRule="auto"/>
        <w:jc w:val="both"/>
        <w:rPr>
          <w:rFonts w:ascii="Palatino Linotype" w:eastAsia="Palatino Linotype" w:hAnsi="Palatino Linotype" w:cs="Palatino Linotype"/>
          <w:sz w:val="24"/>
          <w:szCs w:val="24"/>
        </w:rPr>
      </w:pPr>
      <w:bookmarkStart w:id="2" w:name="_heading=h.30j0zll" w:colFirst="0" w:colLast="0"/>
      <w:bookmarkEnd w:id="2"/>
      <w:r>
        <w:rPr>
          <w:rFonts w:ascii="Palatino Linotype" w:eastAsia="Palatino Linotype" w:hAnsi="Palatino Linotype" w:cs="Palatino Linotype"/>
          <w:sz w:val="24"/>
          <w:szCs w:val="24"/>
        </w:rPr>
        <w:t xml:space="preserve">En el asunto que nos ocupa, la parte Recurrente solicitó al Ayuntamiento de Amecameca, en las solicitudes de información número </w:t>
      </w:r>
      <w:r>
        <w:rPr>
          <w:rFonts w:ascii="Palatino Linotype" w:eastAsia="Palatino Linotype" w:hAnsi="Palatino Linotype" w:cs="Palatino Linotype"/>
          <w:b/>
          <w:color w:val="0D0D0D"/>
          <w:sz w:val="24"/>
          <w:szCs w:val="24"/>
        </w:rPr>
        <w:t>00170/AMECAMEC/IP/2022 y 00171/AMECAMEC/IP/2022</w:t>
      </w:r>
      <w:r>
        <w:rPr>
          <w:rFonts w:ascii="Palatino Linotype" w:eastAsia="Palatino Linotype" w:hAnsi="Palatino Linotype" w:cs="Palatino Linotype"/>
          <w:sz w:val="24"/>
          <w:szCs w:val="24"/>
        </w:rPr>
        <w:t>, le proporcionara:</w:t>
      </w:r>
      <w:r>
        <w:rPr>
          <w:rFonts w:ascii="Palatino Linotype" w:eastAsia="Palatino Linotype" w:hAnsi="Palatino Linotype" w:cs="Palatino Linotype"/>
          <w:i/>
          <w:color w:val="0D0D0D"/>
          <w:sz w:val="24"/>
          <w:szCs w:val="24"/>
        </w:rPr>
        <w:t xml:space="preserve"> “…El acta de cabildo, donde se </w:t>
      </w:r>
      <w:r>
        <w:rPr>
          <w:rFonts w:ascii="Palatino Linotype" w:eastAsia="Palatino Linotype" w:hAnsi="Palatino Linotype" w:cs="Palatino Linotype"/>
          <w:i/>
          <w:color w:val="0D0D0D"/>
          <w:sz w:val="24"/>
          <w:szCs w:val="24"/>
        </w:rPr>
        <w:lastRenderedPageBreak/>
        <w:t xml:space="preserve">aprobara la integración del consejo directivo del OPDAAS de Amecameca, para el ejercicio fiscal 2022-2024, así como el curriculum vitae de sus integrantes” (Sic) </w:t>
      </w:r>
      <w:r>
        <w:rPr>
          <w:rFonts w:ascii="Palatino Linotype" w:eastAsia="Palatino Linotype" w:hAnsi="Palatino Linotype" w:cs="Palatino Linotype"/>
          <w:color w:val="0D0D0D"/>
          <w:sz w:val="24"/>
          <w:szCs w:val="24"/>
        </w:rPr>
        <w:t>y “</w:t>
      </w:r>
      <w:r>
        <w:rPr>
          <w:rFonts w:ascii="Palatino Linotype" w:eastAsia="Palatino Linotype" w:hAnsi="Palatino Linotype" w:cs="Palatino Linotype"/>
          <w:i/>
          <w:color w:val="0D0D0D"/>
          <w:sz w:val="24"/>
          <w:szCs w:val="24"/>
        </w:rPr>
        <w:t>El acta de cabildo, donde se aprobara la integración de la junta de gobierno del SMDIF de Amecameca, para el ejercicio fiscal 2022-2024, así como el curriculum vitae de sus integrantes” (Sic)</w:t>
      </w:r>
    </w:p>
    <w:p w:rsidR="007159B6" w:rsidRDefault="00A75D32">
      <w:pPr>
        <w:tabs>
          <w:tab w:val="left" w:pos="7513"/>
        </w:tabs>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manifestó que: “</w:t>
      </w:r>
      <w:r>
        <w:rPr>
          <w:rFonts w:ascii="Palatino Linotype" w:eastAsia="Palatino Linotype" w:hAnsi="Palatino Linotype" w:cs="Palatino Linotype"/>
          <w:i/>
          <w:sz w:val="24"/>
          <w:szCs w:val="24"/>
        </w:rPr>
        <w:t>En respuesta a su solicitud, esta podrá consultarla en el siguiente hipervínculo: https://amecameca.gob.mx/pdf/gacetas/GACETA-4.pdf segunda sesion de cabildo ordinario..”</w:t>
      </w:r>
    </w:p>
    <w:p w:rsidR="007159B6" w:rsidRDefault="00A75D32">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conocido este pronunciamiento del Sujeto Obligado, la ahora Recurrente interpuso el medio de impugnación citado al rubro, expresando lo siguiente: </w:t>
      </w:r>
    </w:p>
    <w:p w:rsidR="007159B6" w:rsidRDefault="00A75D32">
      <w:pPr>
        <w:spacing w:line="240" w:lineRule="auto"/>
        <w:ind w:right="851"/>
        <w:jc w:val="both"/>
        <w:rPr>
          <w:rFonts w:ascii="Palatino Linotype" w:eastAsia="Palatino Linotype" w:hAnsi="Palatino Linotype" w:cs="Palatino Linotype"/>
          <w:b/>
        </w:rPr>
      </w:pPr>
      <w:r>
        <w:rPr>
          <w:rFonts w:ascii="Palatino Linotype" w:eastAsia="Palatino Linotype" w:hAnsi="Palatino Linotype" w:cs="Palatino Linotype"/>
          <w:b/>
        </w:rPr>
        <w:t>Razones o Motivos de Inconformidad:</w:t>
      </w:r>
    </w:p>
    <w:p w:rsidR="007159B6" w:rsidRDefault="00A75D32">
      <w:pPr>
        <w:spacing w:before="240" w:after="240" w:line="276" w:lineRule="auto"/>
        <w:ind w:left="567" w:right="851"/>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“No se exhiben los currículums” (Sic.)</w:t>
      </w:r>
    </w:p>
    <w:p w:rsidR="007159B6" w:rsidRDefault="00A75D32">
      <w:pPr>
        <w:spacing w:before="12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w:t>
      </w:r>
      <w:r>
        <w:rPr>
          <w:rFonts w:ascii="Palatino Linotype" w:eastAsia="Palatino Linotype" w:hAnsi="Palatino Linotype" w:cs="Palatino Linotype"/>
          <w:b/>
          <w:sz w:val="24"/>
          <w:szCs w:val="24"/>
        </w:rPr>
        <w:t>en atención al criterio mayoritario del Pleno de este Instituto</w:t>
      </w:r>
      <w:r>
        <w:rPr>
          <w:rFonts w:ascii="Palatino Linotype" w:eastAsia="Palatino Linotype" w:hAnsi="Palatino Linotype" w:cs="Palatino Linotype"/>
          <w:sz w:val="24"/>
          <w:szCs w:val="24"/>
        </w:rPr>
        <w:t xml:space="preserve">, el Comisionado Ponente </w:t>
      </w:r>
      <w:r>
        <w:rPr>
          <w:rFonts w:ascii="Palatino Linotype" w:eastAsia="Palatino Linotype" w:hAnsi="Palatino Linotype" w:cs="Palatino Linotype"/>
          <w:b/>
          <w:sz w:val="24"/>
          <w:szCs w:val="24"/>
          <w:u w:val="single"/>
        </w:rPr>
        <w:t>determinó modificar la respuesta del Sujeto Obligado</w:t>
      </w:r>
      <w:r>
        <w:rPr>
          <w:rFonts w:ascii="Palatino Linotype" w:eastAsia="Palatino Linotype" w:hAnsi="Palatino Linotype" w:cs="Palatino Linotype"/>
          <w:sz w:val="24"/>
          <w:szCs w:val="24"/>
        </w:rPr>
        <w:t xml:space="preserve"> y ordenar la entrega de lo siguiente: </w:t>
      </w:r>
    </w:p>
    <w:p w:rsidR="007159B6" w:rsidRDefault="00A75D32">
      <w:pPr>
        <w:spacing w:after="0" w:line="276" w:lineRule="auto"/>
        <w:ind w:left="851" w:right="706"/>
        <w:rPr>
          <w:rFonts w:ascii="Palatino Linotype" w:eastAsia="Palatino Linotype" w:hAnsi="Palatino Linotype" w:cs="Palatino Linotype"/>
          <w:b/>
          <w:i/>
        </w:rPr>
      </w:pPr>
      <w:r>
        <w:rPr>
          <w:rFonts w:ascii="Palatino Linotype" w:eastAsia="Palatino Linotype" w:hAnsi="Palatino Linotype" w:cs="Palatino Linotype"/>
          <w:b/>
          <w:i/>
        </w:rPr>
        <w:t>“…</w:t>
      </w:r>
    </w:p>
    <w:p w:rsidR="007159B6" w:rsidRDefault="00A75D32">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 xml:space="preserve">al Ente Recurrido, a efecto de que, previa búsqueda exhaustiva y razonable en las unidades administrativas competentes, entregue, a través del Sistema de Acceso a la Información Mexiquense (SAIMEX), en su caso, en versión pública, los documentos con los que contará al treinta y uno de mayo </w:t>
      </w:r>
      <w:r>
        <w:rPr>
          <w:rFonts w:ascii="Palatino Linotype" w:eastAsia="Palatino Linotype" w:hAnsi="Palatino Linotype" w:cs="Palatino Linotype"/>
          <w:i/>
          <w:color w:val="000000"/>
        </w:rPr>
        <w:t xml:space="preserve">de dos mil veintidós, donde conste la información curricular de los siguientes miembros (referidos en el Considerando SEXTO) del Consejo Directivo del </w:t>
      </w:r>
      <w:r>
        <w:rPr>
          <w:rFonts w:ascii="Palatino Linotype" w:eastAsia="Palatino Linotype" w:hAnsi="Palatino Linotype" w:cs="Palatino Linotype"/>
          <w:i/>
        </w:rPr>
        <w:t xml:space="preserve">Organismo Público Descentralizado para la prestación de servicios de Agua Potable, Alcantarillado y </w:t>
      </w:r>
      <w:r>
        <w:rPr>
          <w:rFonts w:ascii="Palatino Linotype" w:eastAsia="Palatino Linotype" w:hAnsi="Palatino Linotype" w:cs="Palatino Linotype"/>
          <w:i/>
        </w:rPr>
        <w:lastRenderedPageBreak/>
        <w:t>Saneamiento y de la Junta de Gobierno del Sistema Municipal para el Desarrollo Integral de la Familia, ambos de Amecameca:</w:t>
      </w:r>
    </w:p>
    <w:p w:rsidR="007159B6" w:rsidRDefault="007159B6">
      <w:pPr>
        <w:spacing w:after="0" w:line="276" w:lineRule="auto"/>
        <w:ind w:left="851" w:right="706"/>
        <w:jc w:val="both"/>
        <w:rPr>
          <w:rFonts w:ascii="Palatino Linotype" w:eastAsia="Palatino Linotype" w:hAnsi="Palatino Linotype" w:cs="Palatino Linotype"/>
          <w:i/>
        </w:rPr>
      </w:pPr>
    </w:p>
    <w:p w:rsidR="007159B6" w:rsidRDefault="00A75D32">
      <w:pPr>
        <w:numPr>
          <w:ilvl w:val="0"/>
          <w:numId w:val="4"/>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Presidenta Municipal;</w:t>
      </w:r>
    </w:p>
    <w:p w:rsidR="007159B6" w:rsidRDefault="00A75D32">
      <w:pPr>
        <w:numPr>
          <w:ilvl w:val="0"/>
          <w:numId w:val="4"/>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Primera Regidora;</w:t>
      </w:r>
    </w:p>
    <w:p w:rsidR="007159B6" w:rsidRDefault="00A75D32">
      <w:pPr>
        <w:numPr>
          <w:ilvl w:val="0"/>
          <w:numId w:val="4"/>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Síndico Municipal;</w:t>
      </w:r>
    </w:p>
    <w:p w:rsidR="007159B6" w:rsidRDefault="00A75D32">
      <w:pPr>
        <w:numPr>
          <w:ilvl w:val="0"/>
          <w:numId w:val="4"/>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Presidenta Honórifica del Sistema Municipal para el Desarrollo Integral de la Familia</w:t>
      </w:r>
    </w:p>
    <w:p w:rsidR="007159B6" w:rsidRDefault="00A75D32">
      <w:pPr>
        <w:numPr>
          <w:ilvl w:val="0"/>
          <w:numId w:val="4"/>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representante de la Comisión de Agua del Estado de México (Consejo Directivo);</w:t>
      </w:r>
    </w:p>
    <w:p w:rsidR="007159B6" w:rsidRDefault="00A75D32">
      <w:pPr>
        <w:numPr>
          <w:ilvl w:val="0"/>
          <w:numId w:val="4"/>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Vocal Vecinal (Consejo Directivo);</w:t>
      </w:r>
    </w:p>
    <w:p w:rsidR="007159B6" w:rsidRDefault="00A75D32">
      <w:pPr>
        <w:numPr>
          <w:ilvl w:val="0"/>
          <w:numId w:val="4"/>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Vocal Comercial (Consejo Directivo), y</w:t>
      </w:r>
    </w:p>
    <w:p w:rsidR="007159B6" w:rsidRDefault="00A75D32">
      <w:pPr>
        <w:numPr>
          <w:ilvl w:val="0"/>
          <w:numId w:val="4"/>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Vocal Industrial (Consejo Directivo).</w:t>
      </w:r>
    </w:p>
    <w:p w:rsidR="007159B6" w:rsidRDefault="007159B6">
      <w:pPr>
        <w:widowControl w:val="0"/>
        <w:spacing w:after="0" w:line="276" w:lineRule="auto"/>
        <w:ind w:left="851" w:right="706"/>
        <w:jc w:val="both"/>
        <w:rPr>
          <w:rFonts w:ascii="Palatino Linotype" w:eastAsia="Palatino Linotype" w:hAnsi="Palatino Linotype" w:cs="Palatino Linotype"/>
          <w:i/>
        </w:rPr>
      </w:pPr>
    </w:p>
    <w:p w:rsidR="007159B6" w:rsidRDefault="00A75D32">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7159B6" w:rsidRDefault="00A75D32">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7159B6" w:rsidRDefault="00A75D32">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Para el caso de que no cuente con los documentos de los incisos d, e, f, g y h, al no haber obligación normativa, al ser cargos honoríficos, deberá hacerlo del conocimiento del ahora Recurrente, de manera clara y precisa.</w:t>
      </w:r>
    </w:p>
    <w:p w:rsidR="007159B6" w:rsidRDefault="00A75D32">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w:t>
      </w:r>
    </w:p>
    <w:p w:rsidR="007159B6" w:rsidRDefault="00A75D3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es así, en virtud de que en su estudio, se sostuvo la postura de que la información curricular es una obligación de transparencia; además que una de las formas en que los ciudadanos pueden evaluar las aptitudes para desempeñar un cargo público determinado, es mediante la publicidad de ciertos datos contenidos en la ficha curricular, tales como: la trayectoria académica, profesional, laboral, así como </w:t>
      </w:r>
      <w:r>
        <w:rPr>
          <w:rFonts w:ascii="Palatino Linotype" w:eastAsia="Palatino Linotype" w:hAnsi="Palatino Linotype" w:cs="Palatino Linotype"/>
          <w:sz w:val="24"/>
          <w:szCs w:val="24"/>
        </w:rPr>
        <w:lastRenderedPageBreak/>
        <w:t>todos aquellos que acrediten su capacidad, habilidades y pericia para ocupar el puesto público. Lo anterior, para favorecer la rendición de cuentas, pues la publicidad de lo anterior tiene como fin verificar el correcto desempeño de los sujetos obligados.</w:t>
      </w:r>
    </w:p>
    <w:p w:rsidR="007159B6" w:rsidRDefault="00A75D32">
      <w:pPr>
        <w:spacing w:before="120" w:after="120" w:line="276" w:lineRule="auto"/>
        <w:ind w:right="99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II. Razones del Voto Particular. </w:t>
      </w:r>
    </w:p>
    <w:p w:rsidR="007159B6" w:rsidRDefault="007159B6">
      <w:pPr>
        <w:tabs>
          <w:tab w:val="left" w:pos="709"/>
        </w:tabs>
        <w:spacing w:line="360" w:lineRule="auto"/>
        <w:jc w:val="both"/>
        <w:rPr>
          <w:rFonts w:ascii="Palatino Linotype" w:eastAsia="Palatino Linotype" w:hAnsi="Palatino Linotype" w:cs="Palatino Linotype"/>
          <w:sz w:val="24"/>
          <w:szCs w:val="24"/>
        </w:rPr>
      </w:pPr>
    </w:p>
    <w:p w:rsidR="007159B6" w:rsidRDefault="00A75D32">
      <w:pPr>
        <w:tabs>
          <w:tab w:val="left" w:pos="709"/>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Para iniciar la emisión del presente voto, conviene mencionar, que de manera respetuosa, la suscrita </w:t>
      </w:r>
      <w:r>
        <w:rPr>
          <w:rFonts w:ascii="Palatino Linotype" w:eastAsia="Palatino Linotype" w:hAnsi="Palatino Linotype" w:cs="Palatino Linotype"/>
          <w:b/>
          <w:sz w:val="24"/>
          <w:szCs w:val="24"/>
        </w:rPr>
        <w:t>no comparte las consideraciones que fueron vertidas en la presente resolución</w:t>
      </w:r>
      <w:r>
        <w:rPr>
          <w:rFonts w:ascii="Palatino Linotype" w:eastAsia="Palatino Linotype" w:hAnsi="Palatino Linotype" w:cs="Palatino Linotype"/>
          <w:sz w:val="24"/>
          <w:szCs w:val="24"/>
        </w:rPr>
        <w:t xml:space="preserve">, en virtud de que, para la emisora del voto, en el presente caso, no </w:t>
      </w:r>
      <w:r>
        <w:rPr>
          <w:rFonts w:ascii="Palatino Linotype" w:eastAsia="Palatino Linotype" w:hAnsi="Palatino Linotype" w:cs="Palatino Linotype"/>
          <w:b/>
          <w:sz w:val="24"/>
          <w:szCs w:val="24"/>
        </w:rPr>
        <w:t xml:space="preserve">se debió ordenar la entrega de la ficha curricular o documento análogo de la Presidenta Municipal, la Primera Regidora y del Síndico Municipal. </w:t>
      </w:r>
    </w:p>
    <w:p w:rsidR="007159B6" w:rsidRDefault="00A75D32">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en virtud de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documento o documentos que acrediten el último grado de estudios, sirve de ilustración la siguiente cita: </w:t>
      </w:r>
    </w:p>
    <w:p w:rsidR="007159B6" w:rsidRDefault="00A75D32">
      <w:pPr>
        <w:spacing w:before="240" w:after="240" w:line="240" w:lineRule="auto"/>
        <w:ind w:left="567" w:right="851"/>
        <w:jc w:val="both"/>
        <w:rPr>
          <w:rFonts w:ascii="Palatino Linotype" w:eastAsia="Palatino Linotype" w:hAnsi="Palatino Linotype" w:cs="Palatino Linotype"/>
          <w:i/>
        </w:rPr>
      </w:pPr>
      <w:bookmarkStart w:id="3" w:name="_heading=h.1fob9te" w:colFirst="0" w:colLast="0"/>
      <w:bookmarkEnd w:id="3"/>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Los ayuntamientos se integrarán con una jefa o jefe de asamblea que 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y con varios miembros más llamados Síndicas o Síndicos y Regidoras o Regidores</w:t>
      </w:r>
      <w:r>
        <w:rPr>
          <w:rFonts w:ascii="Palatino Linotype" w:eastAsia="Palatino Linotype" w:hAnsi="Palatino Linotype" w:cs="Palatino Linotype"/>
          <w:i/>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w:t>
      </w:r>
      <w:r>
        <w:rPr>
          <w:rFonts w:ascii="Palatino Linotype" w:eastAsia="Palatino Linotype" w:hAnsi="Palatino Linotype" w:cs="Palatino Linotype"/>
          <w:i/>
        </w:rPr>
        <w:lastRenderedPageBreak/>
        <w:t xml:space="preserve">requisitos y reglas de asignación que establezca la ley de la materia, respetando el principio de paridad de género. </w:t>
      </w:r>
    </w:p>
    <w:p w:rsidR="007159B6" w:rsidRDefault="00A75D32">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CAPÍTULO SEGUNDO </w:t>
      </w:r>
    </w:p>
    <w:p w:rsidR="007159B6" w:rsidRDefault="00A75D32">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De los Miembros de los Ayuntamientos </w:t>
      </w:r>
    </w:p>
    <w:p w:rsidR="007159B6" w:rsidRDefault="00A75D32">
      <w:pPr>
        <w:spacing w:before="240" w:after="240" w:line="240"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118.- </w:t>
      </w:r>
      <w:r>
        <w:rPr>
          <w:rFonts w:ascii="Palatino Linotype" w:eastAsia="Palatino Linotype" w:hAnsi="Palatino Linotype" w:cs="Palatino Linotype"/>
          <w:b/>
          <w:i/>
        </w:rPr>
        <w:t>Los miembros de un ayuntamiento serán designados en una sola elección.</w:t>
      </w:r>
      <w:r>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7159B6" w:rsidRDefault="00A75D32">
      <w:pPr>
        <w:spacing w:before="240" w:after="240" w:line="240" w:lineRule="auto"/>
        <w:ind w:left="851" w:right="851"/>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119.- Para ser miembro propietario o suplente de un ayuntamiento se requiere: </w:t>
      </w:r>
    </w:p>
    <w:p w:rsidR="007159B6" w:rsidRDefault="00A75D32">
      <w:pPr>
        <w:numPr>
          <w:ilvl w:val="0"/>
          <w:numId w:val="5"/>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mexicana o mexicano, ciudadana o ciudadano del Estado, en pleno ejercicio de sus derechos; </w:t>
      </w:r>
    </w:p>
    <w:p w:rsidR="007159B6" w:rsidRDefault="00A75D32">
      <w:pPr>
        <w:numPr>
          <w:ilvl w:val="0"/>
          <w:numId w:val="5"/>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mexiquense con residencia efectiva en el municipio no menor a un año o vecino del mismo, con residencia efectiva en su territorio no menor a tres años, anteriores al día de la elección; y </w:t>
      </w:r>
    </w:p>
    <w:p w:rsidR="007159B6" w:rsidRDefault="00A75D32">
      <w:pPr>
        <w:numPr>
          <w:ilvl w:val="0"/>
          <w:numId w:val="5"/>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Ser de reconocida probidad y buena fama pública. </w:t>
      </w:r>
    </w:p>
    <w:p w:rsidR="007159B6" w:rsidRDefault="00A75D32">
      <w:pPr>
        <w:numPr>
          <w:ilvl w:val="0"/>
          <w:numId w:val="5"/>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condenada o condenado por sentencia ejecutoriada por el delito de violencia política contra las mujeres en razón de género; </w:t>
      </w:r>
    </w:p>
    <w:p w:rsidR="007159B6" w:rsidRDefault="00A75D32">
      <w:pPr>
        <w:numPr>
          <w:ilvl w:val="0"/>
          <w:numId w:val="5"/>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No estar inscrito en el Registro de Deudores Alimentarios Morosos en el Estado, ni en otra entidad federativa, y </w:t>
      </w:r>
    </w:p>
    <w:p w:rsidR="007159B6" w:rsidRDefault="00A75D32">
      <w:pPr>
        <w:numPr>
          <w:ilvl w:val="0"/>
          <w:numId w:val="5"/>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No estar condenada o condenado por sentencia ejecutoriada por delitos de violencia familiar, contra la libertad sexual o de violencia de género.</w:t>
      </w:r>
    </w:p>
    <w:p w:rsidR="007159B6" w:rsidRDefault="00A75D32">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Artículo 120.- No pueden ser miembros propietarios o suplentes de los ayuntamientos: </w:t>
      </w:r>
    </w:p>
    <w:p w:rsidR="007159B6" w:rsidRDefault="00A75D32">
      <w:pPr>
        <w:numPr>
          <w:ilvl w:val="0"/>
          <w:numId w:val="6"/>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y senadoras o senadores al Congreso de la Unión que se encuentren en ejercicio de su cargo; </w:t>
      </w:r>
    </w:p>
    <w:p w:rsidR="007159B6" w:rsidRDefault="00A75D32">
      <w:pPr>
        <w:numPr>
          <w:ilvl w:val="0"/>
          <w:numId w:val="6"/>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diputadas o diputados a la Legislatura del Estado que se encuentren en ejercicio de su cargo; </w:t>
      </w:r>
    </w:p>
    <w:p w:rsidR="007159B6" w:rsidRDefault="00A75D32">
      <w:pPr>
        <w:numPr>
          <w:ilvl w:val="0"/>
          <w:numId w:val="6"/>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juezas o jueces, magistradas o magistrados o consejeras o consejeros de la Judicatura del Poder Judicial del Estado o de la Federación; </w:t>
      </w:r>
    </w:p>
    <w:p w:rsidR="007159B6" w:rsidRDefault="00A75D32">
      <w:pPr>
        <w:numPr>
          <w:ilvl w:val="0"/>
          <w:numId w:val="6"/>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servidores públicos federales, estatales o municipales en ejercicio de autoridad; </w:t>
      </w:r>
    </w:p>
    <w:p w:rsidR="007159B6" w:rsidRDefault="00A75D32">
      <w:pPr>
        <w:numPr>
          <w:ilvl w:val="0"/>
          <w:numId w:val="6"/>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militares y los miembros de las fuerzas de seguridad pública del Estado y los de los municipios que ejerzan mando en el territorio de la elección; y </w:t>
      </w:r>
    </w:p>
    <w:p w:rsidR="007159B6" w:rsidRDefault="00A75D32">
      <w:pPr>
        <w:numPr>
          <w:ilvl w:val="0"/>
          <w:numId w:val="6"/>
        </w:numPr>
        <w:pBdr>
          <w:top w:val="nil"/>
          <w:left w:val="nil"/>
          <w:bottom w:val="nil"/>
          <w:right w:val="nil"/>
          <w:between w:val="nil"/>
        </w:pBdr>
        <w:spacing w:before="240" w:after="240" w:line="240" w:lineRule="auto"/>
        <w:ind w:left="851" w:right="851"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Las y los ministros de cualquier culto, a menos que se separen formal, material y definitivamente de su ministerio, cuando menos cinco años antes del día de la elección. </w:t>
      </w:r>
    </w:p>
    <w:p w:rsidR="007159B6" w:rsidRDefault="00A75D32">
      <w:pPr>
        <w:pBdr>
          <w:top w:val="nil"/>
          <w:left w:val="nil"/>
          <w:bottom w:val="nil"/>
          <w:right w:val="nil"/>
          <w:between w:val="nil"/>
        </w:pBdr>
        <w:spacing w:before="240" w:after="240" w:line="24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Las y los servidores públicos a que se refieren las fracciones de la I a la V serán exceptuados del impedimento si se separan de sus respectivos cargos por lo menos, veinticuatro horas antes del inicio de las campañas, conforme al calendario electoral vigente</w:t>
      </w:r>
      <w:r>
        <w:rPr>
          <w:rFonts w:ascii="Palatino Linotype" w:eastAsia="Palatino Linotype" w:hAnsi="Palatino Linotype" w:cs="Palatino Linotype"/>
          <w:b/>
          <w:i/>
          <w:color w:val="000000"/>
        </w:rPr>
        <w:t xml:space="preserve">.” </w:t>
      </w:r>
    </w:p>
    <w:p w:rsidR="007159B6" w:rsidRDefault="00A75D32">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forma, el Código Electoral del Estado de México señala: </w:t>
      </w:r>
    </w:p>
    <w:p w:rsidR="007159B6" w:rsidRDefault="00A75D32">
      <w:pPr>
        <w:widowControl w:val="0"/>
        <w:tabs>
          <w:tab w:val="left" w:pos="1701"/>
          <w:tab w:val="left" w:pos="1843"/>
        </w:tabs>
        <w:spacing w:before="240" w:after="24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w:t>
      </w:r>
      <w:r>
        <w:rPr>
          <w:rFonts w:ascii="Palatino Linotype" w:eastAsia="Palatino Linotype" w:hAnsi="Palatino Linotype" w:cs="Palatino Linotype"/>
          <w:i/>
        </w:rPr>
        <w:lastRenderedPageBreak/>
        <w:t xml:space="preserve">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7159B6" w:rsidRDefault="00A75D32">
      <w:pPr>
        <w:widowControl w:val="0"/>
        <w:tabs>
          <w:tab w:val="left" w:pos="1701"/>
          <w:tab w:val="left" w:pos="1843"/>
          <w:tab w:val="left" w:pos="7655"/>
        </w:tabs>
        <w:spacing w:before="240" w:after="24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rsidR="007159B6" w:rsidRDefault="00A75D32">
      <w:pPr>
        <w:widowControl w:val="0"/>
        <w:numPr>
          <w:ilvl w:val="0"/>
          <w:numId w:val="1"/>
        </w:numPr>
        <w:tabs>
          <w:tab w:val="left" w:pos="1701"/>
          <w:tab w:val="left" w:pos="1843"/>
          <w:tab w:val="left" w:pos="7655"/>
        </w:tabs>
        <w:spacing w:before="240" w:after="240" w:line="276" w:lineRule="auto"/>
        <w:ind w:left="851" w:right="706"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Estar inscrito en el padrón electoral correspondiente, la lista nominal y contar con credencial para votar vigente. </w:t>
      </w:r>
    </w:p>
    <w:p w:rsidR="007159B6" w:rsidRDefault="00A75D32">
      <w:pPr>
        <w:widowControl w:val="0"/>
        <w:numPr>
          <w:ilvl w:val="0"/>
          <w:numId w:val="1"/>
        </w:numPr>
        <w:tabs>
          <w:tab w:val="left" w:pos="1701"/>
          <w:tab w:val="left" w:pos="1843"/>
          <w:tab w:val="left" w:pos="7655"/>
        </w:tabs>
        <w:spacing w:before="240" w:after="240" w:line="276" w:lineRule="auto"/>
        <w:ind w:left="851" w:right="706"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magistrada o magistrado del Tribunal Superior de Justicia o del Tribunal Electoral o funcionario de este, salvo que se separe del cargo dos años antes de la fecha de inicio del proceso electoral de que se trate. </w:t>
      </w:r>
    </w:p>
    <w:p w:rsidR="007159B6" w:rsidRDefault="00A75D32">
      <w:pPr>
        <w:widowControl w:val="0"/>
        <w:numPr>
          <w:ilvl w:val="0"/>
          <w:numId w:val="1"/>
        </w:numPr>
        <w:tabs>
          <w:tab w:val="left" w:pos="1701"/>
          <w:tab w:val="left" w:pos="1843"/>
          <w:tab w:val="left" w:pos="7655"/>
        </w:tabs>
        <w:spacing w:before="240" w:after="240" w:line="276" w:lineRule="auto"/>
        <w:ind w:left="851" w:right="706"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formar parte del servicio profesional electoral del Instituto, salvo que se separe del cargo dos años antes de la fecha de inicio del proceso electoral de que se trate. </w:t>
      </w:r>
    </w:p>
    <w:p w:rsidR="007159B6" w:rsidRDefault="00A75D32">
      <w:pPr>
        <w:widowControl w:val="0"/>
        <w:numPr>
          <w:ilvl w:val="0"/>
          <w:numId w:val="1"/>
        </w:numPr>
        <w:tabs>
          <w:tab w:val="left" w:pos="1701"/>
          <w:tab w:val="left" w:pos="1843"/>
          <w:tab w:val="left" w:pos="7655"/>
        </w:tabs>
        <w:spacing w:before="240" w:after="240" w:line="276" w:lineRule="auto"/>
        <w:ind w:left="851" w:right="706"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el consejo general, del Instituto ni secretario ejecutivo, salvo que se separe del cargo dos años antes de la fecha de inicio del proceso electoral de que se trate. </w:t>
      </w:r>
    </w:p>
    <w:p w:rsidR="007159B6" w:rsidRDefault="00A75D32">
      <w:pPr>
        <w:widowControl w:val="0"/>
        <w:numPr>
          <w:ilvl w:val="0"/>
          <w:numId w:val="1"/>
        </w:numPr>
        <w:tabs>
          <w:tab w:val="left" w:pos="1701"/>
          <w:tab w:val="left" w:pos="1843"/>
          <w:tab w:val="left" w:pos="7655"/>
        </w:tabs>
        <w:spacing w:before="240" w:after="240" w:line="276" w:lineRule="auto"/>
        <w:ind w:left="851" w:right="706"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consejera o consejero electoral en los consejos distritales o municipales del Instituto ni director del mismo, salvo que se haya separado del cargo dos años antes de la fecha de inicio del proceso electoral de que se trate. </w:t>
      </w:r>
    </w:p>
    <w:p w:rsidR="007159B6" w:rsidRDefault="00A75D32">
      <w:pPr>
        <w:widowControl w:val="0"/>
        <w:numPr>
          <w:ilvl w:val="0"/>
          <w:numId w:val="1"/>
        </w:numPr>
        <w:tabs>
          <w:tab w:val="left" w:pos="1701"/>
          <w:tab w:val="left" w:pos="1843"/>
          <w:tab w:val="left" w:pos="7655"/>
        </w:tabs>
        <w:spacing w:before="240" w:after="240" w:line="276" w:lineRule="auto"/>
        <w:ind w:left="851" w:right="706"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integrante del órgano de dirección de los organismos a los que la Constitución Local otorga autonomía, salvo que se separe del cargo dos años antes de la fecha de inicio del proceso electoral de que se trate; </w:t>
      </w:r>
    </w:p>
    <w:p w:rsidR="007159B6" w:rsidRDefault="00A75D32">
      <w:pPr>
        <w:widowControl w:val="0"/>
        <w:numPr>
          <w:ilvl w:val="0"/>
          <w:numId w:val="1"/>
        </w:numPr>
        <w:tabs>
          <w:tab w:val="left" w:pos="1701"/>
          <w:tab w:val="left" w:pos="1843"/>
          <w:tab w:val="left" w:pos="7655"/>
        </w:tabs>
        <w:spacing w:before="240" w:after="240" w:line="276" w:lineRule="auto"/>
        <w:ind w:left="851" w:right="706"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No ser secretaria, secretario o subsecretaria o subsecretario de Estado, ni </w:t>
      </w:r>
      <w:r>
        <w:rPr>
          <w:rFonts w:ascii="Palatino Linotype" w:eastAsia="Palatino Linotype" w:hAnsi="Palatino Linotype" w:cs="Palatino Linotype"/>
          <w:i/>
        </w:rPr>
        <w:lastRenderedPageBreak/>
        <w:t xml:space="preserve">titular de los organismos públicos desconcentrados o descentralizados de la administración pública estatal, a menos que se separen noventa días antes de la elección, y </w:t>
      </w:r>
    </w:p>
    <w:p w:rsidR="007159B6" w:rsidRDefault="00A75D32">
      <w:pPr>
        <w:widowControl w:val="0"/>
        <w:tabs>
          <w:tab w:val="left" w:pos="1701"/>
          <w:tab w:val="left" w:pos="1843"/>
          <w:tab w:val="left" w:pos="7655"/>
        </w:tabs>
        <w:spacing w:before="240" w:after="24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VIII. Ser electo o designado candidata o candidato, de conformidad con los procedimientos democráticos internos del partido político que lo postule”</w:t>
      </w:r>
    </w:p>
    <w:p w:rsidR="007159B6" w:rsidRDefault="00A75D32">
      <w:pPr>
        <w:widowControl w:val="0"/>
        <w:tabs>
          <w:tab w:val="left" w:pos="1701"/>
          <w:tab w:val="left" w:pos="1843"/>
        </w:tabs>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relación a estos preceptos, la Ley Orgánica Municipal en su artículo 18, fracción I dispone que una vez rendidos los informes de los ayuntamientos en funciones, previa convocatoria a sesión solemne, </w:t>
      </w:r>
      <w:r>
        <w:rPr>
          <w:rFonts w:ascii="Palatino Linotype" w:eastAsia="Palatino Linotype" w:hAnsi="Palatino Linotype" w:cs="Palatino Linotype"/>
          <w:b/>
          <w:sz w:val="24"/>
          <w:szCs w:val="24"/>
        </w:rPr>
        <w:t>deberán presentarse los ciudadanos que en términos de ley resultaron electos para rendir protesta y ocupar los cargos de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presidente municipal, síndico o síndicos y regidores</w:t>
      </w:r>
      <w:r>
        <w:rPr>
          <w:rFonts w:ascii="Palatino Linotype" w:eastAsia="Palatino Linotype" w:hAnsi="Palatino Linotype" w:cs="Palatino Linotype"/>
          <w:sz w:val="24"/>
          <w:szCs w:val="24"/>
        </w:rPr>
        <w:t xml:space="preserve">, sin que dicho plazo exceda el mes de diciembre del último año de la gestión del ayuntamiento saliente, </w:t>
      </w:r>
      <w:r>
        <w:rPr>
          <w:rFonts w:ascii="Palatino Linotype" w:eastAsia="Palatino Linotype" w:hAnsi="Palatino Linotype" w:cs="Palatino Linotype"/>
          <w:b/>
          <w:sz w:val="24"/>
          <w:szCs w:val="24"/>
        </w:rPr>
        <w:t>dicha reunión tendrá por objeto que los miembros del ayuntamiento entrante, rindan la protesta en términos de lo dispuesto por el artículo 144</w:t>
      </w:r>
      <w:r>
        <w:rPr>
          <w:rFonts w:ascii="Palatino Linotype" w:eastAsia="Palatino Linotype" w:hAnsi="Palatino Linotype" w:cs="Palatino Linotype"/>
          <w:b/>
          <w:sz w:val="24"/>
          <w:szCs w:val="24"/>
          <w:vertAlign w:val="superscript"/>
        </w:rPr>
        <w:footnoteReference w:id="1"/>
      </w:r>
      <w:r>
        <w:rPr>
          <w:rFonts w:ascii="Palatino Linotype" w:eastAsia="Palatino Linotype" w:hAnsi="Palatino Linotype" w:cs="Palatino Linotype"/>
          <w:b/>
          <w:sz w:val="24"/>
          <w:szCs w:val="24"/>
        </w:rPr>
        <w:t xml:space="preserve"> de la Constitución Política del Estado Libre y Soberano de México</w:t>
      </w:r>
      <w:r>
        <w:rPr>
          <w:rFonts w:ascii="Palatino Linotype" w:eastAsia="Palatino Linotype" w:hAnsi="Palatino Linotype" w:cs="Palatino Linotype"/>
          <w:sz w:val="24"/>
          <w:szCs w:val="24"/>
        </w:rPr>
        <w:t>, por lo que 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presidente municipal electo para el período siguiente lo hará ante el representante designado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el Ejecutivo del Estado y a su vez, hará de inmediato lo propio con los demás miembros del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ayuntamiento electo.</w:t>
      </w:r>
    </w:p>
    <w:p w:rsidR="007159B6" w:rsidRDefault="00A75D32">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la Constitución y la Ley Orgánica Municipal consideran al presidente municipal y demás integrantes del ayuntamiento como servidores que </w:t>
      </w:r>
      <w:r>
        <w:rPr>
          <w:rFonts w:ascii="Palatino Linotype" w:eastAsia="Palatino Linotype" w:hAnsi="Palatino Linotype" w:cs="Palatino Linotype"/>
          <w:sz w:val="24"/>
          <w:szCs w:val="24"/>
        </w:rPr>
        <w:lastRenderedPageBreak/>
        <w:t xml:space="preserve">ostentan un cargo de elección popular, por lo tanto, se reitera que </w:t>
      </w:r>
      <w:r>
        <w:rPr>
          <w:rFonts w:ascii="Palatino Linotype" w:eastAsia="Palatino Linotype" w:hAnsi="Palatino Linotype" w:cs="Palatino Linotype"/>
          <w:b/>
          <w:sz w:val="24"/>
          <w:szCs w:val="24"/>
        </w:rPr>
        <w:t xml:space="preserve">no se encuentran constreñidos a entregar los documentos solicitados por el particular, </w:t>
      </w:r>
      <w:r>
        <w:rPr>
          <w:rFonts w:ascii="Palatino Linotype" w:eastAsia="Palatino Linotype" w:hAnsi="Palatino Linotype" w:cs="Palatino Linotype"/>
          <w:sz w:val="24"/>
          <w:szCs w:val="24"/>
        </w:rPr>
        <w:t>toda vez que</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por la naturaleza de su designación, estaríamos ante una excepción</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lo que no es posible entregar la información solicitada, en virtud de que como se analizó en líneas anteriores, no se encuentran obligados a generarla, poseerla o administrarla. </w:t>
      </w:r>
    </w:p>
    <w:p w:rsidR="007159B6" w:rsidRDefault="00A75D32">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contexto, el Sujeto Obligado 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7159B6" w:rsidRDefault="00A75D32">
      <w:pPr>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159B6" w:rsidRDefault="007159B6">
      <w:pPr>
        <w:ind w:left="567" w:right="616"/>
        <w:jc w:val="both"/>
        <w:rPr>
          <w:rFonts w:ascii="Palatino Linotype" w:eastAsia="Palatino Linotype" w:hAnsi="Palatino Linotype" w:cs="Palatino Linotype"/>
          <w:b/>
          <w:i/>
        </w:rPr>
      </w:pPr>
    </w:p>
    <w:p w:rsidR="007159B6" w:rsidRDefault="00A75D32">
      <w:pPr>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t>Resoluciones:</w:t>
      </w:r>
    </w:p>
    <w:p w:rsidR="007159B6" w:rsidRDefault="00A75D32">
      <w:pPr>
        <w:numPr>
          <w:ilvl w:val="0"/>
          <w:numId w:val="2"/>
        </w:numPr>
        <w:spacing w:after="0" w:line="240" w:lineRule="auto"/>
        <w:ind w:right="616"/>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RRA 0050/16.</w:t>
      </w:r>
      <w:r>
        <w:rPr>
          <w:rFonts w:ascii="Palatino Linotype" w:eastAsia="Palatino Linotype" w:hAnsi="Palatino Linotype" w:cs="Palatino Linotype"/>
          <w:i/>
        </w:rPr>
        <w:t xml:space="preserve"> Instituto Nacional para la Evaluación de la Educación. 13 julio de 2016. Por unanimidad. Comisionado Ponente: Francisco Javier Acuña Llamas.</w:t>
      </w:r>
    </w:p>
    <w:p w:rsidR="007159B6" w:rsidRDefault="00A75D32">
      <w:pPr>
        <w:numPr>
          <w:ilvl w:val="0"/>
          <w:numId w:val="2"/>
        </w:numPr>
        <w:spacing w:after="0" w:line="240" w:lineRule="auto"/>
        <w:ind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0310/16. </w:t>
      </w:r>
      <w:r>
        <w:rPr>
          <w:rFonts w:ascii="Palatino Linotype" w:eastAsia="Palatino Linotype" w:hAnsi="Palatino Linotype" w:cs="Palatino Linotype"/>
          <w:i/>
        </w:rPr>
        <w:t>Instituto Nacional de Transparencia, Acceso a la Información y Protección de Datos Personales. 10 de agosto de 2016. Por unanimidad. Comisionada Ponente. Areli Cano Guadiana.</w:t>
      </w:r>
    </w:p>
    <w:p w:rsidR="007159B6" w:rsidRDefault="00A75D32">
      <w:pPr>
        <w:numPr>
          <w:ilvl w:val="0"/>
          <w:numId w:val="2"/>
        </w:numPr>
        <w:spacing w:after="0" w:line="240" w:lineRule="auto"/>
        <w:ind w:right="616"/>
        <w:jc w:val="both"/>
        <w:rPr>
          <w:rFonts w:ascii="Palatino Linotype" w:eastAsia="Palatino Linotype" w:hAnsi="Palatino Linotype" w:cs="Palatino Linotype"/>
          <w:i/>
        </w:rPr>
      </w:pPr>
      <w:r>
        <w:rPr>
          <w:rFonts w:ascii="Palatino Linotype" w:eastAsia="Palatino Linotype" w:hAnsi="Palatino Linotype" w:cs="Palatino Linotype"/>
          <w:b/>
          <w:i/>
        </w:rPr>
        <w:t xml:space="preserve">RRA 1889/16. </w:t>
      </w:r>
      <w:r>
        <w:rPr>
          <w:rFonts w:ascii="Palatino Linotype" w:eastAsia="Palatino Linotype" w:hAnsi="Palatino Linotype" w:cs="Palatino Linotype"/>
          <w:i/>
        </w:rPr>
        <w:t>Secretaría de Hacienda y Crédito Público. 05 de octubre de 2016. Por unanimidad. Comisionada Ponente. Ximena Puente de la Mora.</w:t>
      </w:r>
    </w:p>
    <w:p w:rsidR="007159B6" w:rsidRDefault="007159B6">
      <w:pPr>
        <w:ind w:left="567" w:right="616"/>
        <w:jc w:val="both"/>
        <w:rPr>
          <w:rFonts w:ascii="Palatino Linotype" w:eastAsia="Palatino Linotype" w:hAnsi="Palatino Linotype" w:cs="Palatino Linotype"/>
        </w:rPr>
      </w:pPr>
    </w:p>
    <w:p w:rsidR="007159B6" w:rsidRDefault="00A75D32">
      <w:pPr>
        <w:spacing w:line="360" w:lineRule="auto"/>
        <w:ind w:right="-9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al no existir normatividad que constriña al Sujeto Obligado para requerir a los integrantes del cabildo determinados documentos que integran el expediente laboral por tratarse de servidores públicos designados mediante elección popular, </w:t>
      </w:r>
      <w:r>
        <w:rPr>
          <w:rFonts w:ascii="Palatino Linotype" w:eastAsia="Palatino Linotype" w:hAnsi="Palatino Linotype" w:cs="Palatino Linotype"/>
          <w:b/>
          <w:sz w:val="24"/>
          <w:szCs w:val="24"/>
          <w:u w:val="single"/>
        </w:rPr>
        <w:t xml:space="preserve">como lo es la información curricular, </w:t>
      </w:r>
      <w:r>
        <w:rPr>
          <w:rFonts w:ascii="Palatino Linotype" w:eastAsia="Palatino Linotype" w:hAnsi="Palatino Linotype" w:cs="Palatino Linotype"/>
          <w:sz w:val="24"/>
          <w:szCs w:val="24"/>
        </w:rPr>
        <w:t xml:space="preserve">se debió considerar en las punto resolutivos la salvedad referente a que para el caso de que el Sujeto Obligado no localice la información porque no se posea o administre, bastará que así  lo haga del conocimientos de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en términos de lo dispuesto por el artículo 19, párrafo segundo de la Ley de Transparencia y Acceso a la Información Pública del Estado de México y Municipios, a saber:</w:t>
      </w:r>
    </w:p>
    <w:p w:rsidR="007159B6" w:rsidRDefault="00A75D32">
      <w:pPr>
        <w:spacing w:line="259"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“Artículo 19…</w:t>
      </w:r>
    </w:p>
    <w:p w:rsidR="007159B6" w:rsidRDefault="00A75D32">
      <w:pPr>
        <w:spacing w:line="259"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rsidR="007159B6" w:rsidRDefault="00A75D32">
      <w:pPr>
        <w:spacing w:before="240" w:after="240" w:line="360" w:lineRule="auto"/>
        <w:ind w:right="-3"/>
        <w:jc w:val="both"/>
        <w:rPr>
          <w:rFonts w:ascii="Palatino Linotype" w:eastAsia="Palatino Linotype" w:hAnsi="Palatino Linotype" w:cs="Palatino Linotype"/>
          <w:sz w:val="24"/>
          <w:szCs w:val="24"/>
        </w:rPr>
        <w:sectPr w:rsidR="007159B6">
          <w:headerReference w:type="even" r:id="rId8"/>
          <w:headerReference w:type="default" r:id="rId9"/>
          <w:footerReference w:type="default" r:id="rId10"/>
          <w:pgSz w:w="12240" w:h="15840"/>
          <w:pgMar w:top="1871" w:right="1327" w:bottom="2836" w:left="1985" w:header="709" w:footer="586" w:gutter="0"/>
          <w:pgNumType w:start="1"/>
          <w:cols w:space="720"/>
        </w:sectPr>
      </w:pPr>
      <w:r>
        <w:rPr>
          <w:rFonts w:ascii="Palatino Linotype" w:eastAsia="Palatino Linotype" w:hAnsi="Palatino Linotype" w:cs="Palatino Linotype"/>
          <w:sz w:val="24"/>
          <w:szCs w:val="24"/>
        </w:rPr>
        <w:t xml:space="preserve">Es por todo lo vertido en líneas argumentativas anteriores que la suscrita no comparte el sentido de la resolución que fue adoptado por el criterio mayoritario del Pleno de este Instituto, y por ende, se formula el presente voto particular. </w:t>
      </w:r>
    </w:p>
    <w:p w:rsidR="007159B6" w:rsidRDefault="007159B6">
      <w:pPr>
        <w:spacing w:before="240" w:after="240" w:line="360" w:lineRule="auto"/>
        <w:ind w:right="423"/>
        <w:jc w:val="both"/>
        <w:rPr>
          <w:rFonts w:ascii="Palatino Linotype" w:eastAsia="Palatino Linotype" w:hAnsi="Palatino Linotype" w:cs="Palatino Linotype"/>
          <w:sz w:val="24"/>
          <w:szCs w:val="24"/>
        </w:rPr>
      </w:pPr>
    </w:p>
    <w:sectPr w:rsidR="007159B6">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1B8" w:rsidRDefault="004E41B8">
      <w:pPr>
        <w:spacing w:after="0" w:line="240" w:lineRule="auto"/>
      </w:pPr>
      <w:r>
        <w:separator/>
      </w:r>
    </w:p>
  </w:endnote>
  <w:endnote w:type="continuationSeparator" w:id="0">
    <w:p w:rsidR="004E41B8" w:rsidRDefault="004E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B6" w:rsidRDefault="00A75D3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B3C15">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B3C15">
      <w:rPr>
        <w:rFonts w:ascii="Arial" w:eastAsia="Arial" w:hAnsi="Arial" w:cs="Arial"/>
        <w:b/>
        <w:noProof/>
        <w:color w:val="000000"/>
        <w:sz w:val="20"/>
        <w:szCs w:val="20"/>
      </w:rPr>
      <w:t>11</w:t>
    </w:r>
    <w:r>
      <w:rPr>
        <w:rFonts w:ascii="Arial" w:eastAsia="Arial" w:hAnsi="Arial" w:cs="Arial"/>
        <w:b/>
        <w:color w:val="000000"/>
        <w:sz w:val="20"/>
        <w:szCs w:val="20"/>
      </w:rPr>
      <w:fldChar w:fldCharType="end"/>
    </w:r>
  </w:p>
  <w:p w:rsidR="007159B6" w:rsidRDefault="007159B6">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1B8" w:rsidRDefault="004E41B8">
      <w:pPr>
        <w:spacing w:after="0" w:line="240" w:lineRule="auto"/>
      </w:pPr>
      <w:r>
        <w:separator/>
      </w:r>
    </w:p>
  </w:footnote>
  <w:footnote w:type="continuationSeparator" w:id="0">
    <w:p w:rsidR="004E41B8" w:rsidRDefault="004E41B8">
      <w:pPr>
        <w:spacing w:after="0" w:line="240" w:lineRule="auto"/>
      </w:pPr>
      <w:r>
        <w:continuationSeparator/>
      </w:r>
    </w:p>
  </w:footnote>
  <w:footnote w:id="1">
    <w:p w:rsidR="007159B6" w:rsidRDefault="00A75D32">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B6" w:rsidRDefault="00A75D3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614295" cy="6614295"/>
              <wp:effectExtent l="0" t="0" r="0" b="0"/>
              <wp:wrapNone/>
              <wp:docPr id="16" name="Rectángulo 16"/>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7159B6" w:rsidRDefault="00A75D32">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614295" cy="6614295"/>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4295" cy="661429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B6" w:rsidRDefault="00A75D3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-1096621</wp:posOffset>
          </wp:positionH>
          <wp:positionV relativeFrom="paragraph">
            <wp:posOffset>-434355</wp:posOffset>
          </wp:positionV>
          <wp:extent cx="7521053" cy="9897494"/>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7159B6" w:rsidRDefault="007159B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7159B6" w:rsidRDefault="007159B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7159B6" w:rsidRDefault="00A75D3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7159B6" w:rsidRDefault="00A75D3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12881/INFOEM/IP/RR/2022 y acumulado</w:t>
    </w:r>
  </w:p>
  <w:p w:rsidR="007159B6" w:rsidRDefault="007159B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B6" w:rsidRDefault="007159B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7159B6" w:rsidRDefault="007159B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7159B6" w:rsidRDefault="007159B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7159B6" w:rsidRDefault="007159B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F05"/>
    <w:multiLevelType w:val="multilevel"/>
    <w:tmpl w:val="5240D34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60485"/>
    <w:multiLevelType w:val="multilevel"/>
    <w:tmpl w:val="136A1B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1C2C9D"/>
    <w:multiLevelType w:val="multilevel"/>
    <w:tmpl w:val="A0CC51C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5704C32"/>
    <w:multiLevelType w:val="multilevel"/>
    <w:tmpl w:val="D84A3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D94A26"/>
    <w:multiLevelType w:val="multilevel"/>
    <w:tmpl w:val="8CB43A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444EE4"/>
    <w:multiLevelType w:val="multilevel"/>
    <w:tmpl w:val="91B435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B6"/>
    <w:rsid w:val="001B3C15"/>
    <w:rsid w:val="004E41B8"/>
    <w:rsid w:val="007159B6"/>
    <w:rsid w:val="007C070A"/>
    <w:rsid w:val="009E4D3F"/>
    <w:rsid w:val="00A75D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178E6-F28C-4177-87D7-2D6B8249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paragraph">
    <w:name w:val="paragraph"/>
    <w:basedOn w:val="Normal"/>
    <w:rsid w:val="00C964C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1">
    <w:name w:val="Tabla con cuadrícula1"/>
    <w:basedOn w:val="Tablanormal"/>
    <w:next w:val="Tablaconcuadrcula"/>
    <w:uiPriority w:val="59"/>
    <w:rsid w:val="00C964CC"/>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C9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lJWYzwcjcRzKI+K7JaU9vuC6A==">CgMxLjAyCGguZ2pkZ3hzMgloLjMwajB6bGwyCWguMWZvYjl0ZTgAciExY3FSQVNKem5tRGhqd2FEakxodGMxMEV3YnVLQXE2cXI=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2418</Words>
  <Characters>13305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2023-09-18T16:28:00Z</cp:lastPrinted>
  <dcterms:created xsi:type="dcterms:W3CDTF">2023-10-18T17:51:00Z</dcterms:created>
  <dcterms:modified xsi:type="dcterms:W3CDTF">2023-10-18T17:51:00Z</dcterms:modified>
</cp:coreProperties>
</file>