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1E" w:rsidRDefault="00EB43A1">
      <w:pPr>
        <w:widowControl w:val="0"/>
        <w:pBdr>
          <w:top w:val="nil"/>
          <w:left w:val="nil"/>
          <w:bottom w:val="nil"/>
          <w:right w:val="nil"/>
          <w:between w:val="nil"/>
        </w:pBd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VOTO PARTICULAR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TRIGÉSIMA CUARTA SESIÓN ORD</w:t>
      </w:r>
      <w:r>
        <w:rPr>
          <w:rFonts w:ascii="Palatino Linotype" w:eastAsia="Palatino Linotype" w:hAnsi="Palatino Linotype" w:cs="Palatino Linotype"/>
          <w:b/>
          <w:sz w:val="24"/>
          <w:szCs w:val="24"/>
        </w:rPr>
        <w:t>INARIA DEL VEINTE DE SEPTIEMBRE DE DOS MIL VEINTITRÉS, EN EL RECURSO DE REVISIÓN 13276/INFOEM/IP/RR/2022.</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09"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60F1E" w:rsidRDefault="00860F1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0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63575" cy="66357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08"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60F1E" w:rsidRDefault="00860F1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0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3575" cy="663575"/>
                        </a:xfrm>
                        <a:prstGeom prst="rect"/>
                        <a:ln/>
                      </pic:spPr>
                    </pic:pic>
                  </a:graphicData>
                </a:graphic>
              </wp:anchor>
            </w:drawing>
          </mc:Fallback>
        </mc:AlternateContent>
      </w:r>
    </w:p>
    <w:p w:rsidR="00860F1E" w:rsidRDefault="00860F1E">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860F1E" w:rsidRDefault="00EB43A1">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fundamento en lo dispuesto por el artículo 14, fracciones X y XI, del Reglamento del Instituto de Transparencia, Acceso a la Información </w:t>
      </w:r>
      <w:r>
        <w:rPr>
          <w:rFonts w:ascii="Palatino Linotype" w:eastAsia="Palatino Linotype" w:hAnsi="Palatino Linotype" w:cs="Palatino Linotype"/>
          <w:color w:val="000000"/>
          <w:sz w:val="24"/>
          <w:szCs w:val="24"/>
        </w:rPr>
        <w:t>Pública y Protección de Datos Personales del Estado de México y Municipios, la que suscribe emite VOTO PARTICULAR respecto a la resolución dictada en el recurso de revisión 13276/INFOEM/IP/RR/2022, pronunciada por el Pleno de este Instituto ante el proyect</w:t>
      </w:r>
      <w:r>
        <w:rPr>
          <w:rFonts w:ascii="Palatino Linotype" w:eastAsia="Palatino Linotype" w:hAnsi="Palatino Linotype" w:cs="Palatino Linotype"/>
          <w:color w:val="000000"/>
          <w:sz w:val="24"/>
          <w:szCs w:val="24"/>
        </w:rPr>
        <w:t>o presentado por el Comisionado Luis Gustavo Parra Noriega, el cual fue resuelto conforme al criterio mayoritario que es del tenor siguiente:</w:t>
      </w:r>
    </w:p>
    <w:p w:rsidR="00860F1E" w:rsidRDefault="00860F1E">
      <w:pPr>
        <w:spacing w:after="0" w:line="360" w:lineRule="auto"/>
        <w:jc w:val="both"/>
        <w:rPr>
          <w:rFonts w:ascii="Palatino Linotype" w:eastAsia="Palatino Linotype" w:hAnsi="Palatino Linotype" w:cs="Palatino Linotype"/>
          <w:color w:val="000000"/>
          <w:sz w:val="24"/>
          <w:szCs w:val="24"/>
        </w:rPr>
      </w:pPr>
    </w:p>
    <w:p w:rsidR="00860F1E" w:rsidRDefault="00EB43A1">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rsidR="00860F1E" w:rsidRDefault="00860F1E">
      <w:pPr>
        <w:spacing w:after="0" w:line="360" w:lineRule="auto"/>
        <w:jc w:val="both"/>
        <w:rPr>
          <w:rFonts w:ascii="Palatino Linotype" w:eastAsia="Palatino Linotype" w:hAnsi="Palatino Linotype" w:cs="Palatino Linotype"/>
          <w:color w:val="FF0000"/>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fecha seis de julio de dos mil veintidós, como se desprende de la Resolución que nos ocupa,</w:t>
      </w:r>
      <w:r>
        <w:rPr>
          <w:rFonts w:ascii="Palatino Linotype" w:eastAsia="Palatino Linotype" w:hAnsi="Palatino Linotype" w:cs="Palatino Linotype"/>
          <w:sz w:val="24"/>
          <w:szCs w:val="24"/>
        </w:rPr>
        <w:t xml:space="preserve">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“DESCRIPCIÓN CLARA Y PRECISA DE LA INFORMACIÓN SOLICITADA.</w:t>
      </w:r>
    </w:p>
    <w:p w:rsidR="00860F1E" w:rsidRDefault="00EB43A1">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SE SOLICITA RESPETUOSAMENTE CON FUNDAMENTO A LO DISPUESTO EN LOS ARTÍCULOS 1° (PRIMERO), 6° (SEXTO), INCISO A, FRACCIONES I, Y V, 8° (OCTAVO) DE LA CONSTITUCIÓN POLÍTICA DE LOS ESTADOS UNIDOS MEXICANOS, 1, 4, Y 6 DE LA LEY GENERAL DE TRANSPARENCIA </w:t>
      </w:r>
      <w:r>
        <w:rPr>
          <w:rFonts w:ascii="Palatino Linotype" w:eastAsia="Palatino Linotype" w:hAnsi="Palatino Linotype" w:cs="Palatino Linotype"/>
          <w:i/>
        </w:rPr>
        <w:lastRenderedPageBreak/>
        <w:t>Y ACCESO</w:t>
      </w:r>
      <w:r>
        <w:rPr>
          <w:rFonts w:ascii="Palatino Linotype" w:eastAsia="Palatino Linotype" w:hAnsi="Palatino Linotype" w:cs="Palatino Linotype"/>
          <w:i/>
        </w:rPr>
        <w:t xml:space="preserve"> A LA INFORMACIÓN PÚBLICA, 05 (CINCO), PÁRRAFOS XIII, XIV, XIX, INCISOS I, Y III DE LA CONSTITUCIÓN POLÍTICA DEL ESTADO LIBRE Y SOBERANO DE MÉXICO, 1, 3, FRACCIÓN XLI, CAPITULO III, 23, FRACCIÓN IV DE LA LEY DE TRANSPARENCIA Y ACCESO A LA INFORMACIÓN PÚBLI</w:t>
      </w:r>
      <w:r>
        <w:rPr>
          <w:rFonts w:ascii="Palatino Linotype" w:eastAsia="Palatino Linotype" w:hAnsi="Palatino Linotype" w:cs="Palatino Linotype"/>
          <w:i/>
        </w:rPr>
        <w:t>CA DEL ESTADO DE MÉXICO Y MUNICIPIOS, Y 135 DEL CÓDIGO DE PROCEDIMIENTOS ADMINISTRATIVOS DEL ESTADO DE MÉXICO, PIDO LO SIGUIENTE: TODA LA INFORMACION CONSISTENTE DE LA ENTREGA—RECEPCIÓN CORRESPONDIENTE A LA ADMINISTRACION 2019-2021 A LA ADMINISTRACION 2022</w:t>
      </w:r>
      <w:r>
        <w:rPr>
          <w:rFonts w:ascii="Palatino Linotype" w:eastAsia="Palatino Linotype" w:hAnsi="Palatino Linotype" w:cs="Palatino Linotype"/>
          <w:i/>
        </w:rPr>
        <w:t>-2024, LA CERTIFICACIÓN EMITIDA POR EL INSTITUTO HACENDARIO DEL ESTADO DE MÉXICO (IHAEM); ASÍ COMO DEL CENTRO DE CONTROL Y CONFIANZA DEL ESTADO DE MÉXICO (SOLO PARA EL TITULAR DE SEGURIDAD PÚBLICA Y EL SECRETARIO TECNICO DE SEGURIDAD PÚBLICA) CON FUNDAMENT</w:t>
      </w:r>
      <w:r>
        <w:rPr>
          <w:rFonts w:ascii="Palatino Linotype" w:eastAsia="Palatino Linotype" w:hAnsi="Palatino Linotype" w:cs="Palatino Linotype"/>
          <w:i/>
        </w:rPr>
        <w:t>O Y CONFORME A LO ESTIPULADO EN LOS ARICULOS 32 Y 96 NOINES LA LEY ORGÁNICA DEL ESTADO DE MÉXICO DE LOS SIGUIENTES FUNCIONARIOS O SU EQUIVALENTE DE LA ADMINISTRACIÓN PÚBLICA 2022-2024. DEBIENDO ANEXAR DOCEMENTACION QUE ACREDITE CADA UNO DE LOS REQUISITOS E</w:t>
      </w:r>
      <w:r>
        <w:rPr>
          <w:rFonts w:ascii="Palatino Linotype" w:eastAsia="Palatino Linotype" w:hAnsi="Palatino Linotype" w:cs="Palatino Linotype"/>
          <w:i/>
        </w:rPr>
        <w:t xml:space="preserve">N LOS NUMERALES DE LOS ARTICULOS QUE ANTECEDEN. ASI MISMO SU CURRICULUM VITAE DE CADA UNO EN LA VERSIÓN PÚBLICA Artículo 32. Para ocupar las titularidades de la Secretaría, la Tesorería, la Dirección de Obras Públicas, de Desarrollo Económico, de Turismo, </w:t>
      </w:r>
      <w:r>
        <w:rPr>
          <w:rFonts w:ascii="Palatino Linotype" w:eastAsia="Palatino Linotype" w:hAnsi="Palatino Linotype" w:cs="Palatino Linotype"/>
          <w:i/>
        </w:rPr>
        <w:t>de Ecología, de Desarrollo Urbano, de Desarrollo Social, de las Mujeres, de la Coordinación General Municipal de Mejora Regulatoria, de la Coordinación Municipal de Protección Civil, de las unidades administrativas y de los organismos auxiliares, se deberá</w:t>
      </w:r>
      <w:r>
        <w:rPr>
          <w:rFonts w:ascii="Palatino Linotype" w:eastAsia="Palatino Linotype" w:hAnsi="Palatino Linotype" w:cs="Palatino Linotype"/>
          <w:i/>
        </w:rPr>
        <w:t>n satisfacer los siguientes requisitos: I. Ser persona ciudadana del Estado, en pleno uso de sus derechos; II. No estar inhabilitada o inhabilitado para desempeñar cargo, empleo, o comisión pública; III. Contar con título profesional o acreditar experienci</w:t>
      </w:r>
      <w:r>
        <w:rPr>
          <w:rFonts w:ascii="Palatino Linotype" w:eastAsia="Palatino Linotype" w:hAnsi="Palatino Linotype" w:cs="Palatino Linotype"/>
          <w:i/>
        </w:rPr>
        <w:t xml:space="preserve">a mínima de un año en la materia, ante la o el Presidente o el Ayuntamiento, cuando sea el caso, para el desempeño de los cargos que así lo requieran; IV. Contar con certificación de competencia laboral en la materia del cargo que se desempeñará, expedida </w:t>
      </w:r>
      <w:r>
        <w:rPr>
          <w:rFonts w:ascii="Palatino Linotype" w:eastAsia="Palatino Linotype" w:hAnsi="Palatino Linotype" w:cs="Palatino Linotype"/>
          <w:i/>
        </w:rPr>
        <w:t xml:space="preserve">por institución con reconocimiento de validez oficial. Este requisito deberá acreditarse dentro de los seis meses siguientes a la fecha en que inicien sus funciones; V. No estar condenada o </w:t>
      </w:r>
      <w:proofErr w:type="gramStart"/>
      <w:r>
        <w:rPr>
          <w:rFonts w:ascii="Palatino Linotype" w:eastAsia="Palatino Linotype" w:hAnsi="Palatino Linotype" w:cs="Palatino Linotype"/>
          <w:i/>
        </w:rPr>
        <w:t>condenado</w:t>
      </w:r>
      <w:proofErr w:type="gramEnd"/>
      <w:r>
        <w:rPr>
          <w:rFonts w:ascii="Palatino Linotype" w:eastAsia="Palatino Linotype" w:hAnsi="Palatino Linotype" w:cs="Palatino Linotype"/>
          <w:i/>
        </w:rPr>
        <w:t xml:space="preserve"> por sentencia ejecutoriada por el delito de violencia po</w:t>
      </w:r>
      <w:r>
        <w:rPr>
          <w:rFonts w:ascii="Palatino Linotype" w:eastAsia="Palatino Linotype" w:hAnsi="Palatino Linotype" w:cs="Palatino Linotype"/>
          <w:i/>
        </w:rPr>
        <w:t>lítica contra las mujeres en razón de género; VI. No estar inscrito en el Registro de Deudores Alimentarios Morosos en el Estado, ni en otra entidad federativa, y VII. No estar condenada o condenado por sentencia ejecutoriada por delitos de violencia famil</w:t>
      </w:r>
      <w:r>
        <w:rPr>
          <w:rFonts w:ascii="Palatino Linotype" w:eastAsia="Palatino Linotype" w:hAnsi="Palatino Linotype" w:cs="Palatino Linotype"/>
          <w:i/>
        </w:rPr>
        <w:t xml:space="preserve">iar, contra la libertad sexual o de violencia de género. Vencido el plazo a que se refiere la fracción IV, la o el </w:t>
      </w:r>
      <w:r>
        <w:rPr>
          <w:rFonts w:ascii="Palatino Linotype" w:eastAsia="Palatino Linotype" w:hAnsi="Palatino Linotype" w:cs="Palatino Linotype"/>
          <w:i/>
        </w:rPr>
        <w:lastRenderedPageBreak/>
        <w:t>Presidente Municipal informará al Cabildo sobre el cumplimiento de dicha certificación laboral para que, en su caso, el Ayuntamiento tome las</w:t>
      </w:r>
      <w:r>
        <w:rPr>
          <w:rFonts w:ascii="Palatino Linotype" w:eastAsia="Palatino Linotype" w:hAnsi="Palatino Linotype" w:cs="Palatino Linotype"/>
          <w:i/>
        </w:rPr>
        <w:t xml:space="preserve"> medidas correspondientes respecto de aquellos servidores públicos que no hubiesen cumplido. Artículo 96 </w:t>
      </w:r>
      <w:proofErr w:type="spellStart"/>
      <w:r>
        <w:rPr>
          <w:rFonts w:ascii="Palatino Linotype" w:eastAsia="Palatino Linotype" w:hAnsi="Palatino Linotype" w:cs="Palatino Linotype"/>
          <w:i/>
        </w:rPr>
        <w:t>Nonies</w:t>
      </w:r>
      <w:proofErr w:type="spellEnd"/>
      <w:r>
        <w:rPr>
          <w:rFonts w:ascii="Palatino Linotype" w:eastAsia="Palatino Linotype" w:hAnsi="Palatino Linotype" w:cs="Palatino Linotype"/>
          <w:i/>
        </w:rPr>
        <w:t>. El Director de Ecología o el Titular de la Unidad Administrativa equivalente, además de los requisitos establecidos en el artículo 32 de esta L</w:t>
      </w:r>
      <w:r>
        <w:rPr>
          <w:rFonts w:ascii="Palatino Linotype" w:eastAsia="Palatino Linotype" w:hAnsi="Palatino Linotype" w:cs="Palatino Linotype"/>
          <w:i/>
        </w:rPr>
        <w:t>ey, requiere contar con título profesional en el área de biología-agronomía-administración pública o afín, o contar con una experiencia mínima de un año, con anterioridad a la fecha de su designación; además deberá acreditar, dentro de los seis meses sigui</w:t>
      </w:r>
      <w:r>
        <w:rPr>
          <w:rFonts w:ascii="Palatino Linotype" w:eastAsia="Palatino Linotype" w:hAnsi="Palatino Linotype" w:cs="Palatino Linotype"/>
          <w:i/>
        </w:rPr>
        <w:t>entes a la fecha en que inicie sus funciones, la certificación de competencia laboral expedida por el Instituto Hacendario del Estado de México o por alguna otra institución con reconocimiento de validez oficial, que asegure los conocimientos y habilidades</w:t>
      </w:r>
      <w:r>
        <w:rPr>
          <w:rFonts w:ascii="Palatino Linotype" w:eastAsia="Palatino Linotype" w:hAnsi="Palatino Linotype" w:cs="Palatino Linotype"/>
          <w:i/>
        </w:rPr>
        <w:t xml:space="preserve"> para desempeñar el cargo, de conformidad con los aspectos técnicos y operativos aplicables al Estado de México. SOLICITO DEL TITULAR DE LA COORDINACIÓN DE OFICIALÍAS MEDIADORAS, CONCILIADORAS Y CALIFICADORAS O SU EQUIVALENTE REQUIERO LA CERTIFICACIÓN POR </w:t>
      </w:r>
      <w:r>
        <w:rPr>
          <w:rFonts w:ascii="Palatino Linotype" w:eastAsia="Palatino Linotype" w:hAnsi="Palatino Linotype" w:cs="Palatino Linotype"/>
          <w:i/>
        </w:rPr>
        <w:t>PARTE DEL CENTRO DE MEDIACIÓN, CONCILIACIÓN Y DE JUSTICIA RESTAURATIVA DEL PODER JUDICIAL DEL ESTADO DE MÉXICO, TAL Y COMO LO ESTABLECE EN EL TITULO V, CAPITULO PRIMERO, ARTICULO 149, FRACCIÓN F DE LA LEY ORGÁNICA MUNICIPAL DEL ESTADO DE MÉXICO SOLICITO LA</w:t>
      </w:r>
      <w:r>
        <w:rPr>
          <w:rFonts w:ascii="Palatino Linotype" w:eastAsia="Palatino Linotype" w:hAnsi="Palatino Linotype" w:cs="Palatino Linotype"/>
          <w:i/>
        </w:rPr>
        <w:t xml:space="preserve"> CERTIFICACIÓN EMITIDA POR EL INSTITUTO HACENDARIO DEL ESTADO DE MÉXICO (IHAEM SI FUERA NECESARIA PARA OCUPAR AL TITILARIDAD, CURRICULUM VITAE EN VERSIÓN PÚBLICAY ACREDITACION DE ESTUDIOS CON DOCUMENTOS OFCIALES, NO ANTECEDENTES PENALES Y DOCUMENTO QUE ACR</w:t>
      </w:r>
      <w:r>
        <w:rPr>
          <w:rFonts w:ascii="Palatino Linotype" w:eastAsia="Palatino Linotype" w:hAnsi="Palatino Linotype" w:cs="Palatino Linotype"/>
          <w:i/>
        </w:rPr>
        <w:t>EDITE NO ESTAR INSCRITO EN EL REGISTRO DE DEUDORES ALIMENTARIOS MOROSOS EN EL ESTADO NI EN OTRA ENTIDAD FEDERATIVA, DE LOS SIGUIENTES SERVIDORES PUBLICOS QUE OCUPAN LOS SIGUENTES PUESTOS O SU EQUIVALENTE: Titular de Transparencia, Contraloría, Recursos Hum</w:t>
      </w:r>
      <w:r>
        <w:rPr>
          <w:rFonts w:ascii="Palatino Linotype" w:eastAsia="Palatino Linotype" w:hAnsi="Palatino Linotype" w:cs="Palatino Linotype"/>
          <w:i/>
        </w:rPr>
        <w:t xml:space="preserve">anos, Gobierno, Servicios Públicos, Bienestar Social, Jefa de Catastro, IMJUVE, Jurídico, Servicios Generales, Director de Seguridad Publica y Transito </w:t>
      </w:r>
      <w:proofErr w:type="spellStart"/>
      <w:r>
        <w:rPr>
          <w:rFonts w:ascii="Palatino Linotype" w:eastAsia="Palatino Linotype" w:hAnsi="Palatino Linotype" w:cs="Palatino Linotype"/>
          <w:i/>
        </w:rPr>
        <w:t>Municpal</w:t>
      </w:r>
      <w:proofErr w:type="spellEnd"/>
      <w:r>
        <w:rPr>
          <w:rFonts w:ascii="Palatino Linotype" w:eastAsia="Palatino Linotype" w:hAnsi="Palatino Linotype" w:cs="Palatino Linotype"/>
          <w:i/>
        </w:rPr>
        <w:t>. Secretario Técnico de Seguridad Pública, Salud, Fomento Agropecuario, Instituto de la Mujer, A</w:t>
      </w:r>
      <w:r>
        <w:rPr>
          <w:rFonts w:ascii="Palatino Linotype" w:eastAsia="Palatino Linotype" w:hAnsi="Palatino Linotype" w:cs="Palatino Linotype"/>
          <w:i/>
        </w:rPr>
        <w:t>gua Potable, Unidad de Transparencia, Coordinación de SARE y Ventanilla Única, Coordinación de Empleo y MIPYME, Coordinación de Comercio, Coordinación de Bienestar Animal, Coordinación Ganadera, Coordinación de Panteones, Coordinación de Salud, Cronista Mu</w:t>
      </w:r>
      <w:r>
        <w:rPr>
          <w:rFonts w:ascii="Palatino Linotype" w:eastAsia="Palatino Linotype" w:hAnsi="Palatino Linotype" w:cs="Palatino Linotype"/>
          <w:i/>
        </w:rPr>
        <w:t xml:space="preserve">nicipal, Coordinación de Control Patrimonial, Coordinación de Gobierno, Coordinación de Movilidad y Transporte, Coordinación de Catastro, Coordinación de Adquisiciones , Coordinación de Control Vehicular, Coordinación de Servicios Generales , Coordinación </w:t>
      </w:r>
      <w:r>
        <w:rPr>
          <w:rFonts w:ascii="Palatino Linotype" w:eastAsia="Palatino Linotype" w:hAnsi="Palatino Linotype" w:cs="Palatino Linotype"/>
          <w:i/>
        </w:rPr>
        <w:lastRenderedPageBreak/>
        <w:t>de Limpia y Recolección, Coordinación de Alumbrado Público, Coordinación de Parque y Jardines, Coordinación de Cultura, Coordinación de Asuntos Indígenas, Coordinación de Comunicación Social, Coordinación de Sistemas Computacionales, Sistema Municipal para</w:t>
      </w:r>
      <w:r>
        <w:rPr>
          <w:rFonts w:ascii="Palatino Linotype" w:eastAsia="Palatino Linotype" w:hAnsi="Palatino Linotype" w:cs="Palatino Linotype"/>
          <w:i/>
        </w:rPr>
        <w:t xml:space="preserve"> el Desarrollo Integral de la Familia, Instituto Municipal de cultura Física y Deporte, Instituto Municipal de la Juventud, Instituto Municipal de la Mujer, Defensoría de los Derechos Humanos”</w:t>
      </w:r>
    </w:p>
    <w:p w:rsidR="00860F1E" w:rsidRDefault="00860F1E">
      <w:pPr>
        <w:spacing w:after="0" w:line="360" w:lineRule="auto"/>
        <w:ind w:right="-28"/>
        <w:jc w:val="both"/>
        <w:rPr>
          <w:rFonts w:ascii="Palatino Linotype" w:eastAsia="Palatino Linotype" w:hAnsi="Palatino Linotype" w:cs="Palatino Linotype"/>
          <w:sz w:val="24"/>
          <w:szCs w:val="24"/>
        </w:rPr>
      </w:pPr>
    </w:p>
    <w:p w:rsidR="00860F1E" w:rsidRDefault="00EB43A1">
      <w:pPr>
        <w:spacing w:after="0" w:line="360" w:lineRule="auto"/>
        <w:ind w:right="-28"/>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t xml:space="preserve">Mediante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a través del Sistema d</w:t>
      </w:r>
      <w:r>
        <w:rPr>
          <w:rFonts w:ascii="Palatino Linotype" w:eastAsia="Palatino Linotype" w:hAnsi="Palatino Linotype" w:cs="Palatino Linotype"/>
          <w:color w:val="000000"/>
          <w:sz w:val="24"/>
          <w:szCs w:val="24"/>
        </w:rPr>
        <w:t xml:space="preserve">e Acceso a la Información Mexiquense (SAIMEX), hace entrega de lo siguiente: </w:t>
      </w:r>
    </w:p>
    <w:p w:rsidR="00860F1E" w:rsidRDefault="00860F1E">
      <w:pPr>
        <w:spacing w:after="0" w:line="360" w:lineRule="auto"/>
        <w:rPr>
          <w:rFonts w:ascii="Palatino Linotype" w:eastAsia="Palatino Linotype" w:hAnsi="Palatino Linotype" w:cs="Palatino Linotype"/>
          <w:b/>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Oficio GCH/DA/660/2022, de fecha veintinueve de julio de dos mil veintidós, signado por la Directora de Administración y dirigido al Titular de la Unidad de Transparencia, me</w:t>
      </w:r>
      <w:r>
        <w:rPr>
          <w:rFonts w:ascii="Palatino Linotype" w:eastAsia="Palatino Linotype" w:hAnsi="Palatino Linotype" w:cs="Palatino Linotype"/>
          <w:sz w:val="24"/>
          <w:szCs w:val="24"/>
        </w:rPr>
        <w:t>diante el cual arguyó lo siguiente:</w:t>
      </w:r>
    </w:p>
    <w:p w:rsidR="00860F1E" w:rsidRDefault="00860F1E">
      <w:pPr>
        <w:spacing w:after="0" w:line="360" w:lineRule="auto"/>
        <w:jc w:val="both"/>
        <w:rPr>
          <w:rFonts w:ascii="Palatino Linotype" w:eastAsia="Palatino Linotype" w:hAnsi="Palatino Linotype" w:cs="Palatino Linotype"/>
        </w:rPr>
      </w:pP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1.- En relación a la información curricular de los titulares de las Dependencias Administrativas del Gobierno de Chalco, le comunico que, es totalmente publica y pude ser consultada en el siguiente link: </w:t>
      </w:r>
      <w:hyperlink r:id="rId9">
        <w:r>
          <w:rPr>
            <w:rFonts w:ascii="Palatino Linotype" w:eastAsia="Palatino Linotype" w:hAnsi="Palatino Linotype" w:cs="Palatino Linotype"/>
            <w:i/>
            <w:color w:val="0563C1"/>
            <w:sz w:val="20"/>
            <w:szCs w:val="20"/>
            <w:u w:val="single"/>
          </w:rPr>
          <w:t>https://www.ipomex.org.mx/ipo3/lgt/indice/CHALCO/art_92_xxi.web</w:t>
        </w:r>
      </w:hyperlink>
      <w:r>
        <w:rPr>
          <w:rFonts w:ascii="Palatino Linotype" w:eastAsia="Palatino Linotype" w:hAnsi="Palatino Linotype" w:cs="Palatino Linotype"/>
          <w:i/>
          <w:sz w:val="20"/>
          <w:szCs w:val="20"/>
        </w:rPr>
        <w:t>.</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2.- Por lo que hace a la acreditación de la Titular de la Coordinación de Oficialías Calificadoras se informa que, tal documento se encuentra en proceso de certificación por parte del Centro Estatal de Mediación, Conciliación y Justicia Restaurativa; ahora</w:t>
      </w:r>
      <w:r>
        <w:rPr>
          <w:rFonts w:ascii="Palatino Linotype" w:eastAsia="Palatino Linotype" w:hAnsi="Palatino Linotype" w:cs="Palatino Linotype"/>
          <w:i/>
          <w:sz w:val="20"/>
          <w:szCs w:val="20"/>
        </w:rPr>
        <w:t xml:space="preserve"> por lo que hace a la acreditación de estudios, antecedentes no penales y registro de no deudores alimentarios se anexan los documentos en formato .PDF.</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3.- Con el propósito de no transgredir su derecho primigenio de Acceso a la Información, se le pide de </w:t>
      </w:r>
      <w:r>
        <w:rPr>
          <w:rFonts w:ascii="Palatino Linotype" w:eastAsia="Palatino Linotype" w:hAnsi="Palatino Linotype" w:cs="Palatino Linotype"/>
          <w:i/>
          <w:sz w:val="20"/>
          <w:szCs w:val="20"/>
        </w:rPr>
        <w:t>manera respetuosa que aclare su solicitud con lo que respecta a los titulares de las unidades administrativas y organismos auxiliares que refiere con el propósito de  contar con los elementos necesarios y precisos para dar una respuesta conveniente.</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w:t>
      </w:r>
    </w:p>
    <w:p w:rsidR="00860F1E" w:rsidRDefault="00860F1E">
      <w:pPr>
        <w:spacing w:after="0" w:line="360" w:lineRule="auto"/>
        <w:ind w:left="567" w:right="567"/>
        <w:rPr>
          <w:rFonts w:ascii="Palatino Linotype" w:eastAsia="Palatino Linotype" w:hAnsi="Palatino Linotype" w:cs="Palatino Linotype"/>
          <w:i/>
          <w:sz w:val="20"/>
          <w:szCs w:val="20"/>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w:t>
      </w:r>
      <w:r>
        <w:rPr>
          <w:rFonts w:ascii="Palatino Linotype" w:eastAsia="Palatino Linotype" w:hAnsi="Palatino Linotype" w:cs="Palatino Linotype"/>
          <w:sz w:val="24"/>
          <w:szCs w:val="24"/>
        </w:rPr>
        <w:t>) Oficio GCH/CM/427/2022, de fecha tres de agosto de dos mil veintidós, signado por Contralor Municipal y dirigido al Titular de la Unidad de Transparencia, mediante el cual arguyó lo siguiente:</w:t>
      </w:r>
    </w:p>
    <w:p w:rsidR="00860F1E" w:rsidRDefault="00860F1E">
      <w:pPr>
        <w:spacing w:after="0" w:line="360" w:lineRule="auto"/>
        <w:rPr>
          <w:rFonts w:ascii="Palatino Linotype" w:eastAsia="Palatino Linotype" w:hAnsi="Palatino Linotype" w:cs="Palatino Linotype"/>
        </w:rPr>
      </w:pP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Al respecto, con fundamento en lo dispuesto por el artícu</w:t>
      </w:r>
      <w:r>
        <w:rPr>
          <w:rFonts w:ascii="Palatino Linotype" w:eastAsia="Palatino Linotype" w:hAnsi="Palatino Linotype" w:cs="Palatino Linotype"/>
          <w:i/>
          <w:sz w:val="20"/>
          <w:szCs w:val="20"/>
        </w:rPr>
        <w:t>lo 59 fracciones I, II, III y IV de la Ley de Transparencia y Acceso a la Información Pública del Estado de Municipios, en mi calidad de Servidor Público Habilitado de la Contraloría Municipal del Ayuntamiento de, México, y derivado de una búsqueda minucio</w:t>
      </w:r>
      <w:r>
        <w:rPr>
          <w:rFonts w:ascii="Palatino Linotype" w:eastAsia="Palatino Linotype" w:hAnsi="Palatino Linotype" w:cs="Palatino Linotype"/>
          <w:i/>
          <w:sz w:val="20"/>
          <w:szCs w:val="20"/>
        </w:rPr>
        <w:t>sa y exhaustiva de la información y/o documentación que obra en los archivos de esta Instancia Administrativa, me permito informar que obran las siguientes actas de entrega-recepción correspondientes a la administración 2019-2021 a la administración 2022-2</w:t>
      </w:r>
      <w:r>
        <w:rPr>
          <w:rFonts w:ascii="Palatino Linotype" w:eastAsia="Palatino Linotype" w:hAnsi="Palatino Linotype" w:cs="Palatino Linotype"/>
          <w:i/>
          <w:sz w:val="20"/>
          <w:szCs w:val="20"/>
        </w:rPr>
        <w:t>024:</w:t>
      </w:r>
    </w:p>
    <w:p w:rsidR="00860F1E" w:rsidRDefault="00860F1E">
      <w:pPr>
        <w:spacing w:after="0" w:line="360" w:lineRule="auto"/>
        <w:ind w:left="567" w:right="567"/>
        <w:rPr>
          <w:rFonts w:ascii="Palatino Linotype" w:eastAsia="Palatino Linotype" w:hAnsi="Palatino Linotype" w:cs="Palatino Linotype"/>
          <w:i/>
          <w:sz w:val="20"/>
          <w:szCs w:val="20"/>
        </w:rPr>
      </w:pPr>
    </w:p>
    <w:p w:rsidR="00860F1E" w:rsidRDefault="00EB43A1">
      <w:pPr>
        <w:spacing w:after="0" w:line="360" w:lineRule="auto"/>
        <w:ind w:left="567" w:right="567"/>
        <w:jc w:val="center"/>
        <w:rPr>
          <w:rFonts w:ascii="Palatino Linotype" w:eastAsia="Palatino Linotype" w:hAnsi="Palatino Linotype" w:cs="Palatino Linotype"/>
          <w:i/>
          <w:sz w:val="20"/>
          <w:szCs w:val="20"/>
        </w:rPr>
      </w:pPr>
      <w:r>
        <w:rPr>
          <w:rFonts w:ascii="Palatino Linotype" w:eastAsia="Palatino Linotype" w:hAnsi="Palatino Linotype" w:cs="Palatino Linotype"/>
          <w:noProof/>
          <w:lang w:val="es-MX"/>
        </w:rPr>
        <w:drawing>
          <wp:inline distT="0" distB="0" distL="0" distR="0">
            <wp:extent cx="4648917" cy="2989165"/>
            <wp:effectExtent l="0" t="0" r="0" b="0"/>
            <wp:docPr id="2309838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48917" cy="2989165"/>
                    </a:xfrm>
                    <a:prstGeom prst="rect">
                      <a:avLst/>
                    </a:prstGeom>
                    <a:ln/>
                  </pic:spPr>
                </pic:pic>
              </a:graphicData>
            </a:graphic>
          </wp:inline>
        </w:drawing>
      </w:r>
    </w:p>
    <w:p w:rsidR="00860F1E" w:rsidRDefault="00860F1E">
      <w:pPr>
        <w:spacing w:after="0" w:line="360" w:lineRule="auto"/>
        <w:ind w:left="567" w:right="567"/>
        <w:rPr>
          <w:rFonts w:ascii="Palatino Linotype" w:eastAsia="Palatino Linotype" w:hAnsi="Palatino Linotype" w:cs="Palatino Linotype"/>
          <w:i/>
          <w:sz w:val="20"/>
          <w:szCs w:val="20"/>
        </w:rPr>
      </w:pP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Asimismo, con fundamento en lo previsto por los artículos 3 fracción XLV, 137 y 143 fracción I de la Ley de Transparencia y Acceso a la Información Pública del Estado de México y Municipios, solicito a Usted, someta a consideración del Comité de Transparen</w:t>
      </w:r>
      <w:r>
        <w:rPr>
          <w:rFonts w:ascii="Palatino Linotype" w:eastAsia="Palatino Linotype" w:hAnsi="Palatino Linotype" w:cs="Palatino Linotype"/>
          <w:i/>
          <w:sz w:val="20"/>
          <w:szCs w:val="20"/>
        </w:rPr>
        <w:t>cia, la propuesta y en su caso, aprobación de la clasificación de la información como confidencial; así como, la versión pública de la documentación, bajo el siguiente argumento:</w:t>
      </w:r>
    </w:p>
    <w:p w:rsidR="00860F1E" w:rsidRDefault="00860F1E">
      <w:pPr>
        <w:spacing w:after="0" w:line="360" w:lineRule="auto"/>
        <w:ind w:left="567" w:right="567"/>
        <w:jc w:val="both"/>
        <w:rPr>
          <w:rFonts w:ascii="Palatino Linotype" w:eastAsia="Palatino Linotype" w:hAnsi="Palatino Linotype" w:cs="Palatino Linotype"/>
          <w:i/>
          <w:sz w:val="20"/>
          <w:szCs w:val="20"/>
        </w:rPr>
      </w:pP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cuanto al domicilio (calle, número interior, exterior, barrio, colonia o</w:t>
      </w:r>
      <w:r>
        <w:rPr>
          <w:rFonts w:ascii="Palatino Linotype" w:eastAsia="Palatino Linotype" w:hAnsi="Palatino Linotype" w:cs="Palatino Linotype"/>
          <w:i/>
          <w:sz w:val="20"/>
          <w:szCs w:val="20"/>
        </w:rPr>
        <w:t xml:space="preserve"> fraccionamiento, localidad y Código Postal), CURP, RFC, número de teléfono y número de folio de las identificaciones oficiales de los que intervinieron en el protocolo de entrega-recepción de las unidades administrativas, toda vez que, corresponde a datos</w:t>
      </w:r>
      <w:r>
        <w:rPr>
          <w:rFonts w:ascii="Palatino Linotype" w:eastAsia="Palatino Linotype" w:hAnsi="Palatino Linotype" w:cs="Palatino Linotype"/>
          <w:i/>
          <w:sz w:val="20"/>
          <w:szCs w:val="20"/>
        </w:rPr>
        <w:t xml:space="preserve"> personales, que solo concierne a su titular. En virtud, que precisa su lugar de residencia, CURP y RFC, facilitando la rastreabilidad de los (as) integrantes de los Comités referidos, por lo que, se trata de información privada que solo atañe a sus titula</w:t>
      </w:r>
      <w:r>
        <w:rPr>
          <w:rFonts w:ascii="Palatino Linotype" w:eastAsia="Palatino Linotype" w:hAnsi="Palatino Linotype" w:cs="Palatino Linotype"/>
          <w:i/>
          <w:sz w:val="20"/>
          <w:szCs w:val="20"/>
        </w:rPr>
        <w:t>res, en términos de lo previsto por el artículo 143 fracción I de la  Ley de Transparencia y Acceso a la Información Pública del Estado de México y Municipios.”</w:t>
      </w:r>
    </w:p>
    <w:p w:rsidR="00860F1E" w:rsidRDefault="00EB43A1">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(Sic)</w:t>
      </w:r>
    </w:p>
    <w:p w:rsidR="00860F1E" w:rsidRDefault="00860F1E">
      <w:pPr>
        <w:spacing w:after="0" w:line="360" w:lineRule="auto"/>
        <w:rPr>
          <w:rFonts w:ascii="Palatino Linotype" w:eastAsia="Palatino Linotype" w:hAnsi="Palatino Linotype" w:cs="Palatino Linotype"/>
        </w:rPr>
      </w:pPr>
    </w:p>
    <w:p w:rsidR="00860F1E" w:rsidRDefault="00EB43A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iii) Acta del Comité de Transparencia de la Segunda Sesión Extraordinaria de fecha cu</w:t>
      </w:r>
      <w:r>
        <w:rPr>
          <w:rFonts w:ascii="Palatino Linotype" w:eastAsia="Palatino Linotype" w:hAnsi="Palatino Linotype" w:cs="Palatino Linotype"/>
        </w:rPr>
        <w:t>atro de marzo de dos mil veintidós, mediante la cual se aprobó la clasificación de la información como confidencial contenida en las Actas de Entrega Recepción de conclusión de la Gestión Municipal 2019-2021.</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iv) 46 Actas de Entrega Recepción de diversas </w:t>
      </w:r>
      <w:r>
        <w:rPr>
          <w:rFonts w:ascii="Palatino Linotype" w:eastAsia="Palatino Linotype" w:hAnsi="Palatino Linotype" w:cs="Palatino Linotype"/>
        </w:rPr>
        <w:t>áreas, a saber, Presidencia Municipal, Sindicatura, Órgano Interno de Control, Secretaría del Ayuntamiento, Primera, Segunda, Tercera, Cuarta Quinta, Sexta, Séptima, Octava, Novena, Décima, Décima Primera, Décima Segunda y Décima Tercera Regiduría, Secreta</w:t>
      </w:r>
      <w:r>
        <w:rPr>
          <w:rFonts w:ascii="Palatino Linotype" w:eastAsia="Palatino Linotype" w:hAnsi="Palatino Linotype" w:cs="Palatino Linotype"/>
        </w:rPr>
        <w:t>ría Técnica del Consejo Municipal de Seguridad Pública, Dirección de Seguridad Pública, Tránsito y Bomberos, Coordinación de Protección Civil, Dirección de Desarrollo Urbano, Dirección de Obras Públicas, Dirección de Comercio, Dirección Jurídica, Dirección</w:t>
      </w:r>
      <w:r>
        <w:rPr>
          <w:rFonts w:ascii="Palatino Linotype" w:eastAsia="Palatino Linotype" w:hAnsi="Palatino Linotype" w:cs="Palatino Linotype"/>
        </w:rPr>
        <w:t xml:space="preserve"> de Bienestar, Dirección de Servicios Públicos, Coordinación de Oficialías Mediadoras, Dirección de Educación, Dirección de Desarrollo Económico, Coordinación de Comunicación Social, Dirección de Administración, Dirección de Gobierno y Concertación, Unidad</w:t>
      </w:r>
      <w:r>
        <w:rPr>
          <w:rFonts w:ascii="Palatino Linotype" w:eastAsia="Palatino Linotype" w:hAnsi="Palatino Linotype" w:cs="Palatino Linotype"/>
        </w:rPr>
        <w:t xml:space="preserve"> de Transparencia, Dirección de Cultura, Consejo Municipal de la Mujer, Dirección de Ecología, Dirección de Innovación Gubernamental, Coordinación General Municipal de Mejora Regulatoria, Órgano Interno de Control ODAPAS, Órgano Interno de Control DIF, Órg</w:t>
      </w:r>
      <w:r>
        <w:rPr>
          <w:rFonts w:ascii="Palatino Linotype" w:eastAsia="Palatino Linotype" w:hAnsi="Palatino Linotype" w:cs="Palatino Linotype"/>
        </w:rPr>
        <w:t>ano Interno de Control IMCUFIDE, Dirección de Administración y Finanzas IMCUFIDE, Oficial Calificador Primer y Tercer Turno.</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v) Certificado de Antecedentes No Penales, Certificado de No Deudor Alimentario y Título de Grado de Maestría en Derecho Penal, re</w:t>
      </w:r>
      <w:r>
        <w:rPr>
          <w:rFonts w:ascii="Palatino Linotype" w:eastAsia="Palatino Linotype" w:hAnsi="Palatino Linotype" w:cs="Palatino Linotype"/>
        </w:rPr>
        <w:t>ferentes a la Titular de la Coordinación de Oficialías Calificadoras.</w:t>
      </w:r>
    </w:p>
    <w:p w:rsidR="00860F1E" w:rsidRDefault="00860F1E">
      <w:pPr>
        <w:jc w:val="both"/>
        <w:rPr>
          <w:rFonts w:ascii="Palatino Linotype" w:eastAsia="Palatino Linotype" w:hAnsi="Palatino Linotype" w:cs="Palatino Linotype"/>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860F1E" w:rsidRDefault="00EB43A1">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En este sentido, el sujeto obligado se encuentra constreñido a entregar la información solicitada, en los formatos que obren en sus archivos y por el medio de notificación seleccionado, siguiendo el procedimiento señalado en la propia Ley de Transparencia </w:t>
      </w:r>
      <w:r>
        <w:rPr>
          <w:rFonts w:ascii="Palatino Linotype" w:eastAsia="Palatino Linotype" w:hAnsi="Palatino Linotype" w:cs="Palatino Linotype"/>
          <w:i/>
        </w:rPr>
        <w:t>y Acceso a la Información Pública del Estado de México y Municipios.”</w:t>
      </w:r>
    </w:p>
    <w:p w:rsidR="00860F1E" w:rsidRDefault="00860F1E">
      <w:pPr>
        <w:spacing w:after="0" w:line="360" w:lineRule="auto"/>
        <w:ind w:left="567" w:right="567"/>
        <w:jc w:val="both"/>
        <w:rPr>
          <w:rFonts w:ascii="Palatino Linotype" w:eastAsia="Palatino Linotype" w:hAnsi="Palatino Linotype" w:cs="Palatino Linotype"/>
          <w:i/>
        </w:rPr>
      </w:pPr>
    </w:p>
    <w:p w:rsidR="00860F1E" w:rsidRDefault="00EB43A1">
      <w:pPr>
        <w:spacing w:after="0"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860F1E" w:rsidRDefault="00EB43A1">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este sentido, el sujeto obligado se encuentra constreñido a entregar la información solicitada, en los formatos que obren en sus archivos y por</w:t>
      </w:r>
      <w:r>
        <w:rPr>
          <w:rFonts w:ascii="Palatino Linotype" w:eastAsia="Palatino Linotype" w:hAnsi="Palatino Linotype" w:cs="Palatino Linotype"/>
          <w:i/>
        </w:rPr>
        <w:t xml:space="preserve"> el medio de notificación seleccionado, siguiendo el procedimiento señalado en la propia Ley de Transparencia y Acceso a la Información Pública del Estado de México y Municipios.”</w:t>
      </w:r>
    </w:p>
    <w:p w:rsidR="00860F1E" w:rsidRDefault="00860F1E">
      <w:pPr>
        <w:spacing w:after="0" w:line="360" w:lineRule="auto"/>
        <w:rPr>
          <w:b/>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su interposición de Recurso de Revisión, adjuntó un documento en el que arguyó lo siguiente:</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respuesta proporcionada por el sujeto obligado está repleta de deficiencias al incumplir con diversas disposiciones explícitamente señaladas por la Ley de T</w:t>
      </w:r>
      <w:r>
        <w:rPr>
          <w:rFonts w:ascii="Palatino Linotype" w:eastAsia="Palatino Linotype" w:hAnsi="Palatino Linotype" w:cs="Palatino Linotype"/>
          <w:i/>
        </w:rPr>
        <w:t>ransparencia y Acceso a la Información Pública. De conformidad con el artículo 6º, Apartado A, fracción I, en la interpretación del derecho de acceso a la información pública deberá prevalecer el principio de máxima publicidad, es decir, que toda la inform</w:t>
      </w:r>
      <w:r>
        <w:rPr>
          <w:rFonts w:ascii="Palatino Linotype" w:eastAsia="Palatino Linotype" w:hAnsi="Palatino Linotype" w:cs="Palatino Linotype"/>
          <w:i/>
        </w:rPr>
        <w:t>ación en posesión de los sujetos obligados será pública, completa, oportuna y accesible, sujeta a un claro régimen de excepciones que deberán estar definidas y ser además legítimas y estrictamente necesarias en una sociedad democrática. Por lo tanto, se ar</w:t>
      </w:r>
      <w:r>
        <w:rPr>
          <w:rFonts w:ascii="Palatino Linotype" w:eastAsia="Palatino Linotype" w:hAnsi="Palatino Linotype" w:cs="Palatino Linotype"/>
          <w:i/>
        </w:rPr>
        <w:t>riba que el derecho de acceso a la información se garantiza mediante el manejo y la conservación del patrimonio documental para posteriormente facilitar el acceso a la información en posesión de sujetos obligados.</w:t>
      </w:r>
    </w:p>
    <w:p w:rsidR="00860F1E" w:rsidRDefault="00860F1E">
      <w:pPr>
        <w:spacing w:after="0" w:line="276" w:lineRule="auto"/>
        <w:ind w:left="567" w:right="567"/>
        <w:jc w:val="both"/>
        <w:rPr>
          <w:rFonts w:ascii="Palatino Linotype" w:eastAsia="Palatino Linotype" w:hAnsi="Palatino Linotype" w:cs="Palatino Linotype"/>
          <w:i/>
        </w:rPr>
      </w:pPr>
    </w:p>
    <w:p w:rsidR="00860F1E" w:rsidRDefault="00EB43A1">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relación directa con ello, resultan re</w:t>
      </w:r>
      <w:r>
        <w:rPr>
          <w:rFonts w:ascii="Palatino Linotype" w:eastAsia="Palatino Linotype" w:hAnsi="Palatino Linotype" w:cs="Palatino Linotype"/>
          <w:i/>
        </w:rPr>
        <w:t>levantes los artículos 4, 12, 18, 19 y 24 último párrafo de la Ley de Transparencia y Acceso a la Información Pública del Estado de México y Municipios Por otra parte, se estima que el Sujeto Obligado no dio cabal cumplimiento al procedimiento para la aten</w:t>
      </w:r>
      <w:r>
        <w:rPr>
          <w:rFonts w:ascii="Palatino Linotype" w:eastAsia="Palatino Linotype" w:hAnsi="Palatino Linotype" w:cs="Palatino Linotype"/>
          <w:i/>
        </w:rPr>
        <w:t xml:space="preserve">ción a las solicitudes de acceso a la información, establecido en los artículos 151, 160, 162, 163, 164, 165 y 166, de la Ley de Transparencia y Acceso a la Información Pública del Estado de México y Municipios. </w:t>
      </w:r>
    </w:p>
    <w:p w:rsidR="00860F1E" w:rsidRDefault="00860F1E">
      <w:pPr>
        <w:spacing w:after="0" w:line="276" w:lineRule="auto"/>
        <w:ind w:left="567" w:right="567"/>
        <w:jc w:val="both"/>
        <w:rPr>
          <w:rFonts w:ascii="Palatino Linotype" w:eastAsia="Palatino Linotype" w:hAnsi="Palatino Linotype" w:cs="Palatino Linotype"/>
          <w:i/>
        </w:rPr>
      </w:pPr>
    </w:p>
    <w:p w:rsidR="00860F1E" w:rsidRDefault="00EB43A1">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este sentido, el sujeto obligado se enc</w:t>
      </w:r>
      <w:r>
        <w:rPr>
          <w:rFonts w:ascii="Palatino Linotype" w:eastAsia="Palatino Linotype" w:hAnsi="Palatino Linotype" w:cs="Palatino Linotype"/>
          <w:i/>
        </w:rPr>
        <w:t>uentra constreñido a entregar la información solicitada, en los formatos que obren en sus archivos y por el medio de notificación seleccionado, siguiendo el procedimiento señalado en la propia Ley de Transparencia y Acceso a la Información Pública del Esta</w:t>
      </w:r>
      <w:r>
        <w:rPr>
          <w:rFonts w:ascii="Palatino Linotype" w:eastAsia="Palatino Linotype" w:hAnsi="Palatino Linotype" w:cs="Palatino Linotype"/>
          <w:i/>
        </w:rPr>
        <w:t>do de México y Municipios. Por lo anteriormente expuesto se solicita al Pleno del Instituto de Transparencia, Acceso a la Información Pública y Protección de Datos Personales del Estado de México y Municipios tenga a bien ordenar al sujeto obligado de méri</w:t>
      </w:r>
      <w:r>
        <w:rPr>
          <w:rFonts w:ascii="Palatino Linotype" w:eastAsia="Palatino Linotype" w:hAnsi="Palatino Linotype" w:cs="Palatino Linotype"/>
          <w:i/>
        </w:rPr>
        <w:t xml:space="preserve">to la entrega de la información solicitada, en versión digital y pública, de ser el caso, </w:t>
      </w:r>
    </w:p>
    <w:p w:rsidR="00860F1E" w:rsidRDefault="00860F1E">
      <w:pPr>
        <w:spacing w:after="0" w:line="276" w:lineRule="auto"/>
        <w:ind w:left="567" w:right="567"/>
        <w:jc w:val="both"/>
        <w:rPr>
          <w:rFonts w:ascii="Palatino Linotype" w:eastAsia="Palatino Linotype" w:hAnsi="Palatino Linotype" w:cs="Palatino Linotype"/>
          <w:i/>
        </w:rPr>
      </w:pPr>
    </w:p>
    <w:p w:rsidR="00860F1E" w:rsidRDefault="00EB43A1">
      <w:pPr>
        <w:spacing w:after="0" w:line="276" w:lineRule="auto"/>
        <w:ind w:left="567" w:right="567"/>
        <w:jc w:val="both"/>
        <w:rPr>
          <w:rFonts w:ascii="Palatino Linotype" w:eastAsia="Palatino Linotype" w:hAnsi="Palatino Linotype" w:cs="Palatino Linotype"/>
          <w:i/>
        </w:rPr>
      </w:pPr>
      <w:proofErr w:type="spellStart"/>
      <w:r>
        <w:rPr>
          <w:rFonts w:ascii="Palatino Linotype" w:eastAsia="Palatino Linotype" w:hAnsi="Palatino Linotype" w:cs="Palatino Linotype"/>
          <w:i/>
        </w:rPr>
        <w:t>Asi</w:t>
      </w:r>
      <w:proofErr w:type="spellEnd"/>
      <w:r>
        <w:rPr>
          <w:rFonts w:ascii="Palatino Linotype" w:eastAsia="Palatino Linotype" w:hAnsi="Palatino Linotype" w:cs="Palatino Linotype"/>
          <w:i/>
        </w:rPr>
        <w:t xml:space="preserve"> mismo, de conformidad con el artículo 223 de la multicitada Ley de transparencia local, se solicita al Instituto dar vista a la Contraloría Interna y Órgano de </w:t>
      </w:r>
      <w:r>
        <w:rPr>
          <w:rFonts w:ascii="Palatino Linotype" w:eastAsia="Palatino Linotype" w:hAnsi="Palatino Linotype" w:cs="Palatino Linotype"/>
          <w:i/>
        </w:rPr>
        <w:t>Control y Vigilancia en términos de la Ley de Responsabilidades de los Servidores Públicos del Estado y Municipios, para que determine el grado de responsabilidad de quienes incumplan con las obligaciones de la Ley, al considerar posibles causas de respons</w:t>
      </w:r>
      <w:r>
        <w:rPr>
          <w:rFonts w:ascii="Palatino Linotype" w:eastAsia="Palatino Linotype" w:hAnsi="Palatino Linotype" w:cs="Palatino Linotype"/>
          <w:i/>
        </w:rPr>
        <w:t>abilidad administrativa por el incumplimiento a lo anteriormente expuesto, aunado a los supuestos normativos aplicables, previstos por el artículo 222 del mismo ordenamiento jurídico.” (Sic)</w:t>
      </w:r>
    </w:p>
    <w:p w:rsidR="00860F1E" w:rsidRDefault="00860F1E">
      <w:pPr>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resultó </w:t>
      </w:r>
      <w:r>
        <w:rPr>
          <w:rFonts w:ascii="Palatino Linotype" w:eastAsia="Palatino Linotype" w:hAnsi="Palatino Linotype" w:cs="Palatino Linotype"/>
          <w:color w:val="000000"/>
          <w:sz w:val="24"/>
          <w:szCs w:val="24"/>
        </w:rPr>
        <w:t xml:space="preserve">omisa </w:t>
      </w:r>
      <w:r>
        <w:rPr>
          <w:rFonts w:ascii="Palatino Linotype" w:eastAsia="Palatino Linotype" w:hAnsi="Palatino Linotype" w:cs="Palatino Linotype"/>
          <w:sz w:val="24"/>
          <w:szCs w:val="24"/>
        </w:rPr>
        <w:t>de emitir su</w:t>
      </w:r>
      <w:r>
        <w:rPr>
          <w:rFonts w:ascii="Palatino Linotype" w:eastAsia="Palatino Linotype" w:hAnsi="Palatino Linotype" w:cs="Palatino Linotype"/>
          <w:sz w:val="24"/>
          <w:szCs w:val="24"/>
        </w:rPr>
        <w:t xml:space="preserve">s manifestaciones conforme a derecho le corresponde y de igual forma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resultó omiso de emitir su informe justificado. </w:t>
      </w:r>
    </w:p>
    <w:p w:rsidR="00860F1E" w:rsidRDefault="00860F1E">
      <w:pPr>
        <w:spacing w:after="0" w:line="360" w:lineRule="auto"/>
        <w:jc w:val="both"/>
        <w:rPr>
          <w:rFonts w:ascii="Palatino Linotype" w:eastAsia="Palatino Linotype" w:hAnsi="Palatino Linotype" w:cs="Palatino Linotype"/>
          <w:sz w:val="24"/>
          <w:szCs w:val="24"/>
        </w:rPr>
      </w:pPr>
    </w:p>
    <w:p w:rsidR="00860F1E" w:rsidRPr="00EB43A1" w:rsidRDefault="00EB43A1" w:rsidP="00EB43A1">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el</w:t>
      </w:r>
      <w:r>
        <w:rPr>
          <w:rFonts w:ascii="Palatino Linotype" w:eastAsia="Palatino Linotype" w:hAnsi="Palatino Linotype" w:cs="Palatino Linotype"/>
          <w:color w:val="000000"/>
          <w:sz w:val="24"/>
          <w:szCs w:val="24"/>
        </w:rPr>
        <w:t xml:space="preserve"> Comisionad</w:t>
      </w:r>
      <w:r>
        <w:rPr>
          <w:rFonts w:ascii="Palatino Linotype" w:eastAsia="Palatino Linotype" w:hAnsi="Palatino Linotype" w:cs="Palatino Linotype"/>
          <w:sz w:val="24"/>
          <w:szCs w:val="24"/>
        </w:rPr>
        <w:t xml:space="preserve">o </w:t>
      </w:r>
      <w:r>
        <w:rPr>
          <w:rFonts w:ascii="Palatino Linotype" w:eastAsia="Palatino Linotype" w:hAnsi="Palatino Linotype" w:cs="Palatino Linotype"/>
          <w:color w:val="000000"/>
          <w:sz w:val="24"/>
          <w:szCs w:val="24"/>
        </w:rPr>
        <w:t xml:space="preserve">Ponente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w:t>
      </w:r>
      <w:r>
        <w:rPr>
          <w:rFonts w:ascii="Palatino Linotype" w:eastAsia="Palatino Linotype" w:hAnsi="Palatino Linotype" w:cs="Palatino Linotype"/>
          <w:sz w:val="24"/>
          <w:szCs w:val="24"/>
        </w:rPr>
        <w:t xml:space="preserve">n parcialmente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Ayuntamiento de Chalco, a efecto de que, previa búsqueda exhaustiva y razonable, en todas las áreas competentes, entregue, a tr</w:t>
      </w:r>
      <w:r>
        <w:rPr>
          <w:rFonts w:ascii="Palatino Linotype" w:eastAsia="Palatino Linotype" w:hAnsi="Palatino Linotype" w:cs="Palatino Linotype"/>
          <w:i/>
        </w:rPr>
        <w:t>avés del Sistema de Acceso a la Información Mexiquense (SAIMEX), en su caso, en versión pública, respecto de los titulares de la Secretaría del Ayuntamiento, Secretaría Técnica Administrativa, Contraloría Municipal, Tesorería Municipal, Dirección de Admini</w:t>
      </w:r>
      <w:r>
        <w:rPr>
          <w:rFonts w:ascii="Palatino Linotype" w:eastAsia="Palatino Linotype" w:hAnsi="Palatino Linotype" w:cs="Palatino Linotype"/>
          <w:i/>
        </w:rPr>
        <w:t>stración, Dirección de Obras Públicas; Dirección de Desarrollo Económico, Dirección de Desarrollo Urbano, Dirección de Ecología, Dirección de Seguridad Pública, Tránsito y Bomberos, Dirección de Innovación Gubernamental, Dirección de Gobierno, Dirección Ju</w:t>
      </w:r>
      <w:r>
        <w:rPr>
          <w:rFonts w:ascii="Palatino Linotype" w:eastAsia="Palatino Linotype" w:hAnsi="Palatino Linotype" w:cs="Palatino Linotype"/>
          <w:i/>
        </w:rPr>
        <w:t>rídica, Dirección de Bienestar, Dirección de Educación, Dirección de Cultura, Dirección de Comercio, Dirección de Servicios Públicos, Dirección de las Mujeres, Unidad de Transparencia y Acceso a la Información, Coordinación de Comunicación Social, Coordina</w:t>
      </w:r>
      <w:r>
        <w:rPr>
          <w:rFonts w:ascii="Palatino Linotype" w:eastAsia="Palatino Linotype" w:hAnsi="Palatino Linotype" w:cs="Palatino Linotype"/>
          <w:i/>
        </w:rPr>
        <w:t>ción General Municipal de Mejora Regulatoria, Coordinación Municipal de Protección Civil, Secretaría Técnica del Consejo Municipal de Seguridad Pública, Coordinación de las Oficialías Mediadoras, Conciliadoras y Calificadoras, Coordinación Municipal de Asu</w:t>
      </w:r>
      <w:r>
        <w:rPr>
          <w:rFonts w:ascii="Palatino Linotype" w:eastAsia="Palatino Linotype" w:hAnsi="Palatino Linotype" w:cs="Palatino Linotype"/>
          <w:i/>
        </w:rPr>
        <w:t>ntos Indígenas, Instituto Municipal de Cultura Física y Deporte de Chalco y de la Defensoría Municipal de los Derechos Humanos, los documentos que den cuenta de lo siguiente:</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1. Constancia de No inhabilitación</w:t>
      </w: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2. Título profesional o experiencia mínima de un año en la materia</w:t>
      </w: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3. Certificación de competencia laboral</w:t>
      </w: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4. Informe o Certificado de no Antecedentes Penales</w:t>
      </w: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5. Certificado de no deudor alimentario</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donde el Comité de Transparencia, confirme la eliminación de los datos o información clasificada, en la versión pública, de conformidad con los artículos 49, fracciones II y VIII y 132, fracción II de</w:t>
      </w:r>
      <w:r>
        <w:rPr>
          <w:rFonts w:ascii="Palatino Linotype" w:eastAsia="Palatino Linotype" w:hAnsi="Palatino Linotype" w:cs="Palatino Linotype"/>
          <w:i/>
        </w:rPr>
        <w:t xml:space="preserve"> la Ley de Transparencia y Acceso a la Información Pública del Estado de México y Municipios. </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De no obrar la información señalada en el numeral 2, referente a la experiencia mínima de un año, el título profesional o ambos, de los titulares de la Secretar</w:t>
      </w:r>
      <w:r>
        <w:rPr>
          <w:rFonts w:ascii="Palatino Linotype" w:eastAsia="Palatino Linotype" w:hAnsi="Palatino Linotype" w:cs="Palatino Linotype"/>
          <w:i/>
        </w:rPr>
        <w:t>ía Técnica Administrativa, Dirección de Administración, Dirección de Seguridad Pública, Tránsito y Bomberos, Dirección de Innovación Gubernamental, Dirección de Gobierno, Dirección Jurídica; Dirección de Bienestar, Dirección de Educación, Dirección de Cult</w:t>
      </w:r>
      <w:r>
        <w:rPr>
          <w:rFonts w:ascii="Palatino Linotype" w:eastAsia="Palatino Linotype" w:hAnsi="Palatino Linotype" w:cs="Palatino Linotype"/>
          <w:i/>
        </w:rPr>
        <w:t>ura; Dirección de Comercio, Dirección de Servicios Públicos, Unidad de Transparencia y Acceso a la Información, Coordinación de Comunicación Social, Secretaría Técnica del Consejo Municipal de Seguridad Pública, Coordinación Municipal de Asuntos Indígenas,</w:t>
      </w:r>
      <w:r>
        <w:rPr>
          <w:rFonts w:ascii="Palatino Linotype" w:eastAsia="Palatino Linotype" w:hAnsi="Palatino Linotype" w:cs="Palatino Linotype"/>
          <w:i/>
        </w:rPr>
        <w:t xml:space="preserve"> al no ser una obligación o requisito de no contar con ellas, bastará con que el Sujeto Obligado lo haga del conocimiento del Recurrente de manera precisa y clara. </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caso, que no cuente con la documentación referida del numeral 4, de alguno de los </w:t>
      </w:r>
      <w:r>
        <w:rPr>
          <w:rFonts w:ascii="Palatino Linotype" w:eastAsia="Palatino Linotype" w:hAnsi="Palatino Linotype" w:cs="Palatino Linotype"/>
          <w:i/>
        </w:rPr>
        <w:t>Titulares de área, al no ser requisito legal para ocupar un cargo dentro de la institución, deberá hacerlo del conocimiento del ahora Recurrente, de manera clara y precisa.</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De no obrar la información señalada en el numeral 3, referente a los certificados </w:t>
      </w:r>
      <w:r>
        <w:rPr>
          <w:rFonts w:ascii="Palatino Linotype" w:eastAsia="Palatino Linotype" w:hAnsi="Palatino Linotype" w:cs="Palatino Linotype"/>
          <w:i/>
        </w:rPr>
        <w:t>de competencia laboral, que se ordenan entregar, respecto a los Titulares de la Secretaría Técnica Administrativa, Dirección de Innovación Gubernamental, Dirección de Gobierno, Dirección de Bienestar, Dirección de Educación,  Dirección de Cultura, Direcció</w:t>
      </w:r>
      <w:r>
        <w:rPr>
          <w:rFonts w:ascii="Palatino Linotype" w:eastAsia="Palatino Linotype" w:hAnsi="Palatino Linotype" w:cs="Palatino Linotype"/>
          <w:i/>
        </w:rPr>
        <w:t>n de Comercio, así como de las Coordinaciones de Comunicación Social y Municipal de Asuntos Indígenas, al no ser una obligación o requisito de no contar con ellas, bastará con que el Sujeto Obligado lo haga del conocimiento del Recurrente de manera precisa</w:t>
      </w:r>
      <w:r>
        <w:rPr>
          <w:rFonts w:ascii="Palatino Linotype" w:eastAsia="Palatino Linotype" w:hAnsi="Palatino Linotype" w:cs="Palatino Linotype"/>
          <w:i/>
        </w:rPr>
        <w:t xml:space="preserve"> y clara.</w:t>
      </w:r>
    </w:p>
    <w:p w:rsidR="00860F1E" w:rsidRDefault="00860F1E">
      <w:pPr>
        <w:tabs>
          <w:tab w:val="left" w:pos="4962"/>
        </w:tabs>
        <w:spacing w:after="0" w:line="276" w:lineRule="auto"/>
        <w:ind w:left="851" w:right="758"/>
        <w:jc w:val="both"/>
        <w:rPr>
          <w:rFonts w:ascii="Palatino Linotype" w:eastAsia="Palatino Linotype" w:hAnsi="Palatino Linotype" w:cs="Palatino Linotype"/>
          <w:i/>
        </w:rPr>
      </w:pPr>
    </w:p>
    <w:p w:rsidR="00860F1E" w:rsidRDefault="00EB43A1">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De no contar con las certificaciones que se ordenan entregar en el numeral 3, de los Titulares que no hayan sido referidos en el párrafo anterior y que ya tengan más de seis meses en el encargo, deberá emitir acuerdo de inexistencia en términos </w:t>
      </w:r>
      <w:r>
        <w:rPr>
          <w:rFonts w:ascii="Palatino Linotype" w:eastAsia="Palatino Linotype" w:hAnsi="Palatino Linotype" w:cs="Palatino Linotype"/>
          <w:i/>
        </w:rPr>
        <w:t>del artículo 19, párrafo tercero y 169 de la Ley de Transparencia y Acceso a la Información Pública del Estado de México y Municipios. Respecto de aquellos que no obren por estar dentro del periodo de entrega, bastará con que lo haga del conocimiento del P</w:t>
      </w:r>
      <w:r>
        <w:rPr>
          <w:rFonts w:ascii="Palatino Linotype" w:eastAsia="Palatino Linotype" w:hAnsi="Palatino Linotype" w:cs="Palatino Linotype"/>
          <w:i/>
        </w:rPr>
        <w:t>articular de manera precisa y clara.”</w:t>
      </w:r>
    </w:p>
    <w:p w:rsidR="00860F1E" w:rsidRDefault="00860F1E">
      <w:pPr>
        <w:tabs>
          <w:tab w:val="left" w:pos="4962"/>
        </w:tabs>
        <w:spacing w:after="0" w:line="276" w:lineRule="auto"/>
        <w:ind w:left="851" w:right="758"/>
        <w:jc w:val="both"/>
        <w:rPr>
          <w:rFonts w:ascii="Palatino Linotype" w:eastAsia="Palatino Linotype" w:hAnsi="Palatino Linotype" w:cs="Palatino Linotype"/>
          <w:color w:val="FF0000"/>
          <w:sz w:val="24"/>
          <w:szCs w:val="24"/>
        </w:rPr>
      </w:pPr>
    </w:p>
    <w:p w:rsidR="00860F1E" w:rsidRDefault="00EB43A1">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Razones del Voto Particular.</w:t>
      </w:r>
    </w:p>
    <w:p w:rsidR="00860F1E" w:rsidRDefault="00860F1E">
      <w:pPr>
        <w:spacing w:after="0" w:line="360" w:lineRule="auto"/>
        <w:jc w:val="both"/>
        <w:rPr>
          <w:rFonts w:ascii="Palatino Linotype" w:eastAsia="Palatino Linotype" w:hAnsi="Palatino Linotype" w:cs="Palatino Linotype"/>
          <w:b/>
          <w:color w:val="000000"/>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bookmarkStart w:id="0" w:name="_heading=h.30j0zll" w:colFirst="0" w:colLast="0"/>
      <w:bookmarkEnd w:id="0"/>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w:t>
      </w:r>
      <w:r>
        <w:rPr>
          <w:rFonts w:ascii="Palatino Linotype" w:eastAsia="Palatino Linotype" w:hAnsi="Palatino Linotype" w:cs="Palatino Linotype"/>
          <w:sz w:val="24"/>
          <w:szCs w:val="24"/>
        </w:rPr>
        <w:t>especto a considerar que es procedente la entrega del certificado de no deudor alimentario,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las consideraciones que a continuación se expresan.</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los certificados de no deudor alimentario moroso la suscrita considera que deben ser proteg</w:t>
      </w:r>
      <w:r>
        <w:rPr>
          <w:rFonts w:ascii="Palatino Linotype" w:eastAsia="Palatino Linotype" w:hAnsi="Palatino Linotype" w:cs="Palatino Linotype"/>
          <w:sz w:val="24"/>
          <w:szCs w:val="24"/>
        </w:rPr>
        <w:t>idos mediante su clasificación como confidencial en su totalidad, ello derivado a que el estar inscrito en dicho registro tiene un impacto en la imagen de un servidor público y se trata de un tema estrictamente de carácter personal e incluso de tipo famili</w:t>
      </w:r>
      <w:r>
        <w:rPr>
          <w:rFonts w:ascii="Palatino Linotype" w:eastAsia="Palatino Linotype" w:hAnsi="Palatino Linotype" w:cs="Palatino Linotype"/>
          <w:sz w:val="24"/>
          <w:szCs w:val="24"/>
        </w:rPr>
        <w:t>ar.</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sz w:val="24"/>
          <w:szCs w:val="24"/>
        </w:rPr>
        <w:t>Se considera que la información que se ordena, en efecto, da certeza que determinado servidor público cumplió con los requisitos señalados en el artículo 32 de la Ley Orgánica Municipal del Estado de México, pero también lo es que dar a conocer esta inform</w:t>
      </w:r>
      <w:r>
        <w:rPr>
          <w:rFonts w:ascii="Palatino Linotype" w:eastAsia="Palatino Linotype" w:hAnsi="Palatino Linotype" w:cs="Palatino Linotype"/>
          <w:sz w:val="24"/>
          <w:szCs w:val="24"/>
        </w:rPr>
        <w:t>ación podría vulnerar la vida privada de los servidores públicos, ya que si bien dicha información se relaciona con el registro de deudores alimentarios morosos, no se debe perder de vista que dicho registro tiene por objeto ser un mecanismo para garantiza</w:t>
      </w:r>
      <w:r>
        <w:rPr>
          <w:rFonts w:ascii="Palatino Linotype" w:eastAsia="Palatino Linotype" w:hAnsi="Palatino Linotype" w:cs="Palatino Linotype"/>
          <w:sz w:val="24"/>
          <w:szCs w:val="24"/>
        </w:rPr>
        <w:t xml:space="preserve">r que los padres cumplan con su obligación de dar alimentos a los hijos en razón de su protección (interés superior del menor), en este sentido dicho registro no es público para el caso de los que no están inscritos como deudores morosos, por lo tanto, se </w:t>
      </w:r>
      <w:r>
        <w:rPr>
          <w:rFonts w:ascii="Palatino Linotype" w:eastAsia="Palatino Linotype" w:hAnsi="Palatino Linotype" w:cs="Palatino Linotype"/>
          <w:sz w:val="24"/>
          <w:szCs w:val="24"/>
        </w:rPr>
        <w:t xml:space="preserve">considera que no es procedente entrega esta información, por lo que resultaba procedente clasificar la información solicitada por el Recurrente de manera general como información confidencial en su totalidad en términos del artículo 143, fracción I, de la </w:t>
      </w:r>
      <w:r>
        <w:rPr>
          <w:rFonts w:ascii="Palatino Linotype" w:eastAsia="Palatino Linotype" w:hAnsi="Palatino Linotype" w:cs="Palatino Linotype"/>
          <w:sz w:val="24"/>
          <w:szCs w:val="24"/>
        </w:rPr>
        <w:t xml:space="preserve">Ley de Transparencia y Acceso a la Información Pública del Estado de México y Municipios, ya que al clasificarse, de igual forma, da certeza del cumplimiento del requisito, toda vez que la clasificación y la inexistencia no pueden coexistir.  A </w:t>
      </w:r>
      <w:r>
        <w:rPr>
          <w:rFonts w:ascii="Palatino Linotype" w:eastAsia="Palatino Linotype" w:hAnsi="Palatino Linotype" w:cs="Palatino Linotype"/>
          <w:color w:val="222222"/>
          <w:sz w:val="24"/>
          <w:szCs w:val="24"/>
        </w:rPr>
        <w:t>efecto de r</w:t>
      </w:r>
      <w:r>
        <w:rPr>
          <w:rFonts w:ascii="Palatino Linotype" w:eastAsia="Palatino Linotype" w:hAnsi="Palatino Linotype" w:cs="Palatino Linotype"/>
          <w:color w:val="222222"/>
          <w:sz w:val="24"/>
          <w:szCs w:val="24"/>
        </w:rPr>
        <w:t>obustecer lo anterior, sirve de sustento el criterio orientador 29/10 emitido por el Instituto </w:t>
      </w:r>
      <w:r>
        <w:rPr>
          <w:rFonts w:ascii="Palatino Linotype" w:eastAsia="Palatino Linotype" w:hAnsi="Palatino Linotype" w:cs="Palatino Linotype"/>
          <w:color w:val="000000"/>
          <w:sz w:val="24"/>
          <w:szCs w:val="24"/>
        </w:rPr>
        <w:t>Nacional de Transparencia, Acceso a la Información y Protección de Datos Personales, INAI</w:t>
      </w:r>
      <w:r>
        <w:rPr>
          <w:rFonts w:ascii="Palatino Linotype" w:eastAsia="Palatino Linotype" w:hAnsi="Palatino Linotype" w:cs="Palatino Linotype"/>
          <w:b/>
          <w:color w:val="222222"/>
          <w:sz w:val="24"/>
          <w:szCs w:val="24"/>
        </w:rPr>
        <w:t>, </w:t>
      </w:r>
      <w:r>
        <w:rPr>
          <w:rFonts w:ascii="Palatino Linotype" w:eastAsia="Palatino Linotype" w:hAnsi="Palatino Linotype" w:cs="Palatino Linotype"/>
          <w:color w:val="222222"/>
          <w:sz w:val="24"/>
          <w:szCs w:val="24"/>
        </w:rPr>
        <w:t>el cual refiere lo siguiente:</w:t>
      </w:r>
    </w:p>
    <w:p w:rsidR="00860F1E" w:rsidRDefault="00860F1E">
      <w:pPr>
        <w:spacing w:after="0" w:line="360" w:lineRule="auto"/>
        <w:jc w:val="both"/>
        <w:rPr>
          <w:rFonts w:ascii="Palatino Linotype" w:eastAsia="Palatino Linotype" w:hAnsi="Palatino Linotype" w:cs="Palatino Linotype"/>
          <w:color w:val="222222"/>
          <w:sz w:val="24"/>
          <w:szCs w:val="24"/>
        </w:rPr>
      </w:pPr>
    </w:p>
    <w:p w:rsidR="00860F1E" w:rsidRDefault="00EB43A1">
      <w:pPr>
        <w:shd w:val="clear" w:color="auto" w:fill="FFFFFF"/>
        <w:spacing w:after="0" w:line="276" w:lineRule="auto"/>
        <w:ind w:left="567" w:right="902"/>
        <w:jc w:val="both"/>
      </w:pPr>
      <w:r>
        <w:rPr>
          <w:rFonts w:ascii="Palatino Linotype" w:eastAsia="Palatino Linotype" w:hAnsi="Palatino Linotype" w:cs="Palatino Linotype"/>
          <w:b/>
          <w:i/>
          <w:color w:val="222222"/>
        </w:rPr>
        <w:t xml:space="preserve">“La clasificación y la inexistencia de </w:t>
      </w:r>
      <w:r>
        <w:rPr>
          <w:rFonts w:ascii="Palatino Linotype" w:eastAsia="Palatino Linotype" w:hAnsi="Palatino Linotype" w:cs="Palatino Linotype"/>
          <w:b/>
          <w:i/>
          <w:color w:val="222222"/>
        </w:rPr>
        <w:t xml:space="preserve">información son conceptos que no pueden coexistir. </w:t>
      </w:r>
      <w:r>
        <w:rPr>
          <w:rFonts w:ascii="Palatino Linotype" w:eastAsia="Palatino Linotype" w:hAnsi="Palatino Linotype" w:cs="Palatino Linotype"/>
          <w:i/>
          <w:color w:val="222222"/>
        </w:rPr>
        <w:t>La inexistencia implica necesariamente que la información no se encuentra en los archivos de la autoridad, no obstante que la dependencia o entidad cuente con facultades para poseer dicha información. En e</w:t>
      </w:r>
      <w:r>
        <w:rPr>
          <w:rFonts w:ascii="Palatino Linotype" w:eastAsia="Palatino Linotype" w:hAnsi="Palatino Linotype" w:cs="Palatino Linotype"/>
          <w:i/>
          <w:color w:val="222222"/>
        </w:rPr>
        <w:t>ste sentido, la inexistencia es una calidad que se atribuye a la información solicitada. Por su parte, la clasificación es una característica que adquiere la información concreta contenida  en  un  documento  específico,  siempre  que  se  encuentre  en  l</w:t>
      </w:r>
      <w:r>
        <w:rPr>
          <w:rFonts w:ascii="Palatino Linotype" w:eastAsia="Palatino Linotype" w:hAnsi="Palatino Linotype" w:cs="Palatino Linotype"/>
          <w:i/>
          <w:color w:val="222222"/>
        </w:rPr>
        <w:t>os supuestos  establecidos  en  los  artículos  13  y  14  de  la  Ley  Federal  de Transparencia y Acceso a la Información Pública Gubernamental, para el caso de la información reservada, y 18 del mismo ordenamiento, para el caso de la información confide</w:t>
      </w:r>
      <w:r>
        <w:rPr>
          <w:rFonts w:ascii="Palatino Linotype" w:eastAsia="Palatino Linotype" w:hAnsi="Palatino Linotype" w:cs="Palatino Linotype"/>
          <w:i/>
          <w:color w:val="222222"/>
        </w:rPr>
        <w:t xml:space="preserve">ncial. </w:t>
      </w:r>
      <w:r>
        <w:rPr>
          <w:rFonts w:ascii="Palatino Linotype" w:eastAsia="Palatino Linotype" w:hAnsi="Palatino Linotype" w:cs="Palatino Linotype"/>
          <w:b/>
          <w:i/>
          <w:color w:val="222222"/>
          <w:u w:val="single"/>
        </w:rPr>
        <w:t>Por lo anterior, la clasificación y la inexistencia no coexisten entre sí, en virtud de que la clasificación de información implica invariablemente la existencia de un documento o documentos determinados, mientras que la inexistencia conlleva la aus</w:t>
      </w:r>
      <w:r>
        <w:rPr>
          <w:rFonts w:ascii="Palatino Linotype" w:eastAsia="Palatino Linotype" w:hAnsi="Palatino Linotype" w:cs="Palatino Linotype"/>
          <w:b/>
          <w:i/>
          <w:color w:val="222222"/>
          <w:u w:val="single"/>
        </w:rPr>
        <w:t>encia de los mismos en los archivos de la dependencia o entidad de que se trate.</w:t>
      </w:r>
      <w:r>
        <w:rPr>
          <w:rFonts w:ascii="Palatino Linotype" w:eastAsia="Palatino Linotype" w:hAnsi="Palatino Linotype" w:cs="Palatino Linotype"/>
          <w:i/>
          <w:color w:val="222222"/>
        </w:rPr>
        <w:t>"</w:t>
      </w:r>
    </w:p>
    <w:p w:rsidR="00860F1E" w:rsidRDefault="00EB43A1">
      <w:pPr>
        <w:shd w:val="clear" w:color="auto" w:fill="FFFFFF"/>
        <w:spacing w:after="0" w:line="276" w:lineRule="auto"/>
        <w:ind w:left="567" w:right="902"/>
        <w:jc w:val="both"/>
        <w:rPr>
          <w:rFonts w:ascii="Palatino Linotype" w:eastAsia="Palatino Linotype" w:hAnsi="Palatino Linotype" w:cs="Palatino Linotype"/>
          <w:b/>
          <w:i/>
          <w:color w:val="222222"/>
        </w:rPr>
      </w:pPr>
      <w:bookmarkStart w:id="1" w:name="_heading=h.gjdgxs" w:colFirst="0" w:colLast="0"/>
      <w:bookmarkEnd w:id="1"/>
      <w:r>
        <w:rPr>
          <w:rFonts w:ascii="Palatino Linotype" w:eastAsia="Palatino Linotype" w:hAnsi="Palatino Linotype" w:cs="Palatino Linotype"/>
          <w:b/>
          <w:i/>
          <w:color w:val="222222"/>
        </w:rPr>
        <w:t>(Énfasis añadido)</w:t>
      </w:r>
    </w:p>
    <w:p w:rsidR="00860F1E" w:rsidRDefault="00860F1E">
      <w:pPr>
        <w:spacing w:after="0" w:line="360" w:lineRule="auto"/>
        <w:jc w:val="both"/>
        <w:rPr>
          <w:rFonts w:ascii="Palatino Linotype" w:eastAsia="Palatino Linotype" w:hAnsi="Palatino Linotype" w:cs="Palatino Linotype"/>
          <w:sz w:val="24"/>
          <w:szCs w:val="24"/>
        </w:rPr>
      </w:pPr>
    </w:p>
    <w:p w:rsidR="00860F1E" w:rsidRDefault="00EB43A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expone razones suficientes para la emisión y presentación del presente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relacionado con la resolución del Recurso de Revisión referido. </w:t>
      </w:r>
    </w:p>
    <w:p w:rsidR="00860F1E" w:rsidRDefault="00860F1E">
      <w:pPr>
        <w:spacing w:line="360" w:lineRule="auto"/>
        <w:jc w:val="both"/>
        <w:rPr>
          <w:rFonts w:ascii="Palatino Linotype" w:eastAsia="Palatino Linotype" w:hAnsi="Palatino Linotype" w:cs="Palatino Linotype"/>
          <w:sz w:val="24"/>
          <w:szCs w:val="24"/>
        </w:rPr>
      </w:pPr>
    </w:p>
    <w:p w:rsidR="00860F1E" w:rsidRDefault="00860F1E">
      <w:pPr>
        <w:spacing w:line="360" w:lineRule="auto"/>
        <w:jc w:val="both"/>
        <w:rPr>
          <w:rFonts w:ascii="Palatino Linotype" w:eastAsia="Palatino Linotype" w:hAnsi="Palatino Linotype" w:cs="Palatino Linotype"/>
          <w:sz w:val="24"/>
          <w:szCs w:val="24"/>
        </w:rPr>
      </w:pPr>
    </w:p>
    <w:p w:rsidR="00860F1E" w:rsidRDefault="00860F1E">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p>
    <w:p w:rsidR="00EB43A1" w:rsidRDefault="00EB43A1">
      <w:pPr>
        <w:spacing w:line="360" w:lineRule="auto"/>
        <w:jc w:val="both"/>
        <w:rPr>
          <w:rFonts w:ascii="Palatino Linotype" w:eastAsia="Palatino Linotype" w:hAnsi="Palatino Linotype" w:cs="Palatino Linotype"/>
          <w:sz w:val="24"/>
          <w:szCs w:val="24"/>
        </w:rPr>
      </w:pPr>
      <w:bookmarkStart w:id="2" w:name="_GoBack"/>
      <w:bookmarkEnd w:id="2"/>
    </w:p>
    <w:sectPr w:rsidR="00EB43A1">
      <w:head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43A1">
      <w:pPr>
        <w:spacing w:after="0" w:line="240" w:lineRule="auto"/>
      </w:pPr>
      <w:r>
        <w:separator/>
      </w:r>
    </w:p>
  </w:endnote>
  <w:endnote w:type="continuationSeparator" w:id="0">
    <w:p w:rsidR="00000000" w:rsidRDefault="00EB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43A1">
      <w:pPr>
        <w:spacing w:after="0" w:line="240" w:lineRule="auto"/>
      </w:pPr>
      <w:r>
        <w:separator/>
      </w:r>
    </w:p>
  </w:footnote>
  <w:footnote w:type="continuationSeparator" w:id="0">
    <w:p w:rsidR="00000000" w:rsidRDefault="00EB4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1E" w:rsidRDefault="00860F1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860F1E">
      <w:trPr>
        <w:trHeight w:val="1843"/>
      </w:trPr>
      <w:tc>
        <w:tcPr>
          <w:tcW w:w="3686" w:type="dxa"/>
          <w:vAlign w:val="bottom"/>
        </w:tcPr>
        <w:p w:rsidR="00860F1E" w:rsidRDefault="00EB43A1">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2309838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860F1E" w:rsidRDefault="00860F1E">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860F1E" w:rsidRDefault="00EB43A1">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860F1E" w:rsidRDefault="00EB43A1">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13276/INFOEM/IP/RR/2022.</w:t>
          </w:r>
        </w:p>
        <w:p w:rsidR="00860F1E" w:rsidRDefault="00860F1E">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860F1E" w:rsidRDefault="00860F1E">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1E"/>
    <w:rsid w:val="00860F1E"/>
    <w:rsid w:val="00EB43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08817-C8AB-4AF0-B68E-7E225A98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B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E25B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E25BB"/>
  </w:style>
  <w:style w:type="paragraph" w:styleId="Piedepgina">
    <w:name w:val="footer"/>
    <w:basedOn w:val="Normal"/>
    <w:link w:val="PiedepginaCar"/>
    <w:uiPriority w:val="99"/>
    <w:unhideWhenUsed/>
    <w:rsid w:val="007E25B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E25BB"/>
  </w:style>
  <w:style w:type="character" w:styleId="Hipervnculo">
    <w:name w:val="Hyperlink"/>
    <w:aliases w:val="Hipervínculo1,Hipervínculo11,Hipervínculo12,Hipervínculo13,Hipervínculo14,Hipervínculo15"/>
    <w:basedOn w:val="Fuentedeprrafopredeter"/>
    <w:uiPriority w:val="99"/>
    <w:unhideWhenUsed/>
    <w:rsid w:val="007E25BB"/>
    <w:rPr>
      <w:color w:val="0563C1" w:themeColor="hyperlink"/>
      <w:u w:val="single"/>
    </w:rPr>
  </w:style>
  <w:style w:type="paragraph" w:styleId="Sinespaciado">
    <w:name w:val="No Spacing"/>
    <w:aliases w:val="Francesa,INAI"/>
    <w:link w:val="SinespaciadoCar"/>
    <w:uiPriority w:val="1"/>
    <w:qFormat/>
    <w:rsid w:val="00336059"/>
    <w:pPr>
      <w:spacing w:after="0" w:line="240" w:lineRule="auto"/>
    </w:pPr>
  </w:style>
  <w:style w:type="character" w:customStyle="1" w:styleId="SinespaciadoCar">
    <w:name w:val="Sin espaciado Car"/>
    <w:aliases w:val="Francesa Car,INAI Car"/>
    <w:link w:val="Sinespaciado"/>
    <w:uiPriority w:val="1"/>
    <w:locked/>
    <w:rsid w:val="00336059"/>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pomex.org.mx/ipo3/lgt/indice/CHALCO/art_92_xxi.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4Q8OlgAVDC6ewec2JfJOAKaw==">CgMxLjAyCWguMzBqMHpsbDIIaC5namRneHM4AHIhMW55NmJ0VkQxR09aZTBCTFV4OE94VWZUd3BnaXctN3Va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3721</Words>
  <Characters>20467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2023-09-25T17:00:00Z</dcterms:created>
  <dcterms:modified xsi:type="dcterms:W3CDTF">2023-09-25T17:00:00Z</dcterms:modified>
</cp:coreProperties>
</file>