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45" w:rsidRDefault="001D2057">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PARTICULAR CONCURRENTE QUE FORMULAN LAS COMISIONADAS GUADALUPE RAMÍREZ PEÑA Y SHARON CRISTINA MORALES MARTÍNEZ, EN RELACIÓN CON LA RESOLUCIÓN DICTADA POR EL PLENO DEL INSTITUTO DE TRANSPARENCIA, ACCESO A LA INFORMACIÓN PÚBLICA Y PROTECCIÓN DE DATOS PE</w:t>
      </w:r>
      <w:r>
        <w:rPr>
          <w:rFonts w:ascii="Palatino Linotype" w:eastAsia="Palatino Linotype" w:hAnsi="Palatino Linotype" w:cs="Palatino Linotype"/>
          <w:b/>
          <w:sz w:val="24"/>
          <w:szCs w:val="24"/>
        </w:rPr>
        <w:t>RSONALES DEL ESTADO DE MÉXICO Y MUNICIPIOS, EN LA CUADRAGÉSIMA TERCERA SESIÓN ORDINARIA DEL VEINTINUEVE DE NOVIEMBRE DE DOS MIL VEINTITRÉS, EN EL RECURSO DE REVISIÓN 01165/INFOEM/IP/RR/2023.</w:t>
      </w:r>
    </w:p>
    <w:p w:rsidR="00EE4545" w:rsidRDefault="001D205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w:t>
      </w:r>
      <w:r>
        <w:rPr>
          <w:rFonts w:ascii="Palatino Linotype" w:eastAsia="Palatino Linotype" w:hAnsi="Palatino Linotype" w:cs="Palatino Linotype"/>
          <w:sz w:val="24"/>
          <w:szCs w:val="24"/>
        </w:rPr>
        <w:t xml:space="preserve"> XI, del Reglamento del Instituto de Transparencia, Acceso a la Información Pública y Protección de Datos Personales del Estado de México, las que suscriben emiten </w:t>
      </w:r>
      <w:r>
        <w:rPr>
          <w:rFonts w:ascii="Palatino Linotype" w:eastAsia="Palatino Linotype" w:hAnsi="Palatino Linotype" w:cs="Palatino Linotype"/>
          <w:b/>
          <w:sz w:val="24"/>
          <w:szCs w:val="24"/>
        </w:rPr>
        <w:t xml:space="preserve">VOTO PARTICULAR CONCURRENTE </w:t>
      </w:r>
      <w:r>
        <w:rPr>
          <w:rFonts w:ascii="Palatino Linotype" w:eastAsia="Palatino Linotype" w:hAnsi="Palatino Linotype" w:cs="Palatino Linotype"/>
          <w:sz w:val="24"/>
          <w:szCs w:val="24"/>
        </w:rPr>
        <w:t>respecto a la resolución dictada en el recurso de revisión númer</w:t>
      </w:r>
      <w:r>
        <w:rPr>
          <w:rFonts w:ascii="Palatino Linotype" w:eastAsia="Palatino Linotype" w:hAnsi="Palatino Linotype" w:cs="Palatino Linotype"/>
          <w:sz w:val="24"/>
          <w:szCs w:val="24"/>
        </w:rPr>
        <w:t xml:space="preserve">o </w:t>
      </w:r>
      <w:r>
        <w:rPr>
          <w:rFonts w:ascii="Palatino Linotype" w:eastAsia="Palatino Linotype" w:hAnsi="Palatino Linotype" w:cs="Palatino Linotype"/>
          <w:b/>
          <w:sz w:val="24"/>
          <w:szCs w:val="24"/>
        </w:rPr>
        <w:t>01165/INFOEM/IP/RR/2023</w:t>
      </w:r>
      <w:r>
        <w:rPr>
          <w:rFonts w:ascii="Palatino Linotype" w:eastAsia="Palatino Linotype" w:hAnsi="Palatino Linotype" w:cs="Palatino Linotype"/>
          <w:sz w:val="24"/>
          <w:szCs w:val="24"/>
        </w:rPr>
        <w:t>, pronunciada por el Pleno de este Instituto ante el proyecto presentado por el Comisionado</w:t>
      </w:r>
      <w:r>
        <w:rPr>
          <w:rFonts w:ascii="Palatino Linotype" w:eastAsia="Palatino Linotype" w:hAnsi="Palatino Linotype" w:cs="Palatino Linotype"/>
          <w:b/>
          <w:sz w:val="24"/>
          <w:szCs w:val="24"/>
        </w:rPr>
        <w:t xml:space="preserve"> José Martínez Vilchis</w:t>
      </w:r>
      <w:r>
        <w:rPr>
          <w:rFonts w:ascii="Palatino Linotype" w:eastAsia="Palatino Linotype" w:hAnsi="Palatino Linotype" w:cs="Palatino Linotype"/>
          <w:sz w:val="24"/>
          <w:szCs w:val="24"/>
        </w:rPr>
        <w:t>, el cual es al tenor siguiente:</w:t>
      </w:r>
    </w:p>
    <w:p w:rsidR="00EE4545" w:rsidRDefault="001D2057">
      <w:pPr>
        <w:numPr>
          <w:ilvl w:val="0"/>
          <w:numId w:val="7"/>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EE4545" w:rsidRDefault="001D205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w:t>
      </w:r>
      <w:r>
        <w:rPr>
          <w:rFonts w:ascii="Palatino Linotype" w:eastAsia="Palatino Linotype" w:hAnsi="Palatino Linotype" w:cs="Palatino Linotype"/>
          <w:b/>
          <w:sz w:val="24"/>
          <w:szCs w:val="24"/>
        </w:rPr>
        <w:t>gado</w:t>
      </w:r>
      <w:r>
        <w:rPr>
          <w:rFonts w:ascii="Palatino Linotype" w:eastAsia="Palatino Linotype" w:hAnsi="Palatino Linotype" w:cs="Palatino Linotype"/>
          <w:sz w:val="24"/>
          <w:szCs w:val="24"/>
        </w:rPr>
        <w:t xml:space="preserve">, le proporcionara la siguiente información: </w:t>
      </w:r>
    </w:p>
    <w:p w:rsidR="00EE4545" w:rsidRDefault="001D2057">
      <w:pPr>
        <w:ind w:left="850"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“cual es el horario de labores de los regidores y presidente munucipal. cuantos son los permisos y liciencias que han tenido los regidores en el año 2022 y lo que </w:t>
      </w:r>
      <w:r>
        <w:rPr>
          <w:rFonts w:ascii="Palatino Linotype" w:eastAsia="Palatino Linotype" w:hAnsi="Palatino Linotype" w:cs="Palatino Linotype"/>
          <w:i/>
        </w:rPr>
        <w:lastRenderedPageBreak/>
        <w:t>va dell 20223. los dias 6 y 27 denero que a</w:t>
      </w:r>
      <w:r>
        <w:rPr>
          <w:rFonts w:ascii="Palatino Linotype" w:eastAsia="Palatino Linotype" w:hAnsi="Palatino Linotype" w:cs="Palatino Linotype"/>
          <w:i/>
        </w:rPr>
        <w:t xml:space="preserve">ctivideades realizo la regidora lucero cruz aguilar. los dias 30 de enero a las 10:40 am , 27 de enero a las 17:47 pm , 18, y 26 de enero 2023 que actividades realizo la regidora aurelia reynoso vilanueva, cuantas veces salio del pais en el 2022 y con que </w:t>
      </w:r>
      <w:r>
        <w:rPr>
          <w:rFonts w:ascii="Palatino Linotype" w:eastAsia="Palatino Linotype" w:hAnsi="Palatino Linotype" w:cs="Palatino Linotype"/>
          <w:i/>
        </w:rPr>
        <w:t>cubrio esos gastos la regidora aurela reynoso villanueva. del 19 al 23 de septiembre de 2022 lista de asitencia de la regiroda aurelia reynoso villanueva y actividades que realizo. curriculum vitae de todos lo regidores, sindico y presidente municipal y cu</w:t>
      </w:r>
      <w:r>
        <w:rPr>
          <w:rFonts w:ascii="Palatino Linotype" w:eastAsia="Palatino Linotype" w:hAnsi="Palatino Linotype" w:cs="Palatino Linotype"/>
          <w:i/>
        </w:rPr>
        <w:t>ales han sido sus propuestas, proyectos, programas en beneficio de la poblacion. en el años 2022 y lo que va del 2023, sometidas a cabildo. recibos de nomina de la regudora aurelia sthepani reynoso villanueva desde el 2019.” (sic)</w:t>
      </w:r>
    </w:p>
    <w:p w:rsidR="00EE4545" w:rsidRPr="00901DDB" w:rsidRDefault="001D2057">
      <w:pPr>
        <w:spacing w:before="240" w:after="240" w:line="360" w:lineRule="auto"/>
        <w:ind w:right="49"/>
        <w:jc w:val="both"/>
        <w:rPr>
          <w:rFonts w:ascii="Palatino Linotype" w:eastAsia="Palatino Linotype" w:hAnsi="Palatino Linotype" w:cs="Palatino Linotype"/>
          <w:sz w:val="24"/>
          <w:szCs w:val="24"/>
        </w:rPr>
      </w:pPr>
      <w:r w:rsidRPr="00901DDB">
        <w:rPr>
          <w:rFonts w:ascii="Palatino Linotype" w:eastAsia="Palatino Linotype" w:hAnsi="Palatino Linotype" w:cs="Palatino Linotype"/>
          <w:sz w:val="24"/>
          <w:szCs w:val="24"/>
        </w:rPr>
        <w:t xml:space="preserve">En respuesta, el </w:t>
      </w:r>
      <w:r w:rsidRPr="00901DDB">
        <w:rPr>
          <w:rFonts w:ascii="Palatino Linotype" w:eastAsia="Palatino Linotype" w:hAnsi="Palatino Linotype" w:cs="Palatino Linotype"/>
          <w:b/>
          <w:sz w:val="24"/>
          <w:szCs w:val="24"/>
        </w:rPr>
        <w:t>Sujeto O</w:t>
      </w:r>
      <w:r w:rsidRPr="00901DDB">
        <w:rPr>
          <w:rFonts w:ascii="Palatino Linotype" w:eastAsia="Palatino Linotype" w:hAnsi="Palatino Linotype" w:cs="Palatino Linotype"/>
          <w:b/>
          <w:sz w:val="24"/>
          <w:szCs w:val="24"/>
        </w:rPr>
        <w:t>bligado</w:t>
      </w:r>
      <w:r w:rsidRPr="00901DDB">
        <w:rPr>
          <w:rFonts w:ascii="Palatino Linotype" w:eastAsia="Palatino Linotype" w:hAnsi="Palatino Linotype" w:cs="Palatino Linotype"/>
          <w:sz w:val="24"/>
          <w:szCs w:val="24"/>
        </w:rPr>
        <w:t>, a través de la Unidad de Transparencia, hizo del conocimiento de la persona solicitante el pronunciamiento emitido por el Coordinador de Recursos Humanos, quien informó lo siguiente:</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El horario laboral de los Regidores y Presidente Municipal es de</w:t>
      </w:r>
      <w:r w:rsidRPr="00901DDB">
        <w:rPr>
          <w:rFonts w:ascii="Palatino Linotype" w:eastAsia="Palatino Linotype" w:hAnsi="Palatino Linotype" w:cs="Palatino Linotype"/>
          <w:color w:val="000000"/>
          <w:sz w:val="24"/>
          <w:szCs w:val="24"/>
        </w:rPr>
        <w:t xml:space="preserve"> 9:00 a 18:00 horas de lunes a viernes.</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 xml:space="preserve">En los archivos de la Coordinación de Recursos Humanos no se encontró registro alguno de permiso o licencia solicitada por algún Regidor Municipal en el año 2022, sin embargo, se tiene solicitado un permiso sin goce </w:t>
      </w:r>
      <w:r w:rsidRPr="00901DDB">
        <w:rPr>
          <w:rFonts w:ascii="Palatino Linotype" w:eastAsia="Palatino Linotype" w:hAnsi="Palatino Linotype" w:cs="Palatino Linotype"/>
          <w:color w:val="000000"/>
          <w:sz w:val="24"/>
          <w:szCs w:val="24"/>
        </w:rPr>
        <w:t>de sueldo, por la 5ta. Regidora Ing. Lucero Cruz Aguilar, el ocho de febrero del año dos mil veintitrés.</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La Coordinación de Recursos Humanos no cuenta con registro de actividades realizadas por la Ing. Lucero Cruz Aguilar, así como dela Lic. Aurelia Stepha</w:t>
      </w:r>
      <w:r w:rsidRPr="00901DDB">
        <w:rPr>
          <w:rFonts w:ascii="Palatino Linotype" w:eastAsia="Palatino Linotype" w:hAnsi="Palatino Linotype" w:cs="Palatino Linotype"/>
          <w:color w:val="000000"/>
          <w:sz w:val="24"/>
          <w:szCs w:val="24"/>
        </w:rPr>
        <w:t>nie Reynoso Villanueva, ya que son hechos propios y personales.</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La Coordinación de Recursos Humanos desconoce cuántas veces salió del país la Lic. Aurelia Stephanie Reynoso Villanueva, así como con que cubrió esos gastos.</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lastRenderedPageBreak/>
        <w:t xml:space="preserve"> La Regidora Municipal Lic. Aureli</w:t>
      </w:r>
      <w:r w:rsidRPr="00901DDB">
        <w:rPr>
          <w:rFonts w:ascii="Palatino Linotype" w:eastAsia="Palatino Linotype" w:hAnsi="Palatino Linotype" w:cs="Palatino Linotype"/>
          <w:color w:val="000000"/>
          <w:sz w:val="24"/>
          <w:szCs w:val="24"/>
        </w:rPr>
        <w:t>a Stephanie Reynoso Villanueva, no lleva un registro de asistencia, toda vez que son servidores públicos por elección popular.</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Remite currículum de los servidores públicos: Presidente Municipal, Tercer Regidor y Sexto Regidor, de acuerdo a la información e</w:t>
      </w:r>
      <w:r w:rsidRPr="00901DDB">
        <w:rPr>
          <w:rFonts w:ascii="Palatino Linotype" w:eastAsia="Palatino Linotype" w:hAnsi="Palatino Linotype" w:cs="Palatino Linotype"/>
          <w:color w:val="000000"/>
          <w:sz w:val="24"/>
          <w:szCs w:val="24"/>
        </w:rPr>
        <w:t>xistente en la Coordinación de Recursos Humanos.</w:t>
      </w:r>
    </w:p>
    <w:p w:rsidR="00EE4545" w:rsidRPr="00901DDB" w:rsidRDefault="001D2057">
      <w:pPr>
        <w:numPr>
          <w:ilvl w:val="0"/>
          <w:numId w:val="3"/>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 xml:space="preserve">Para tener acceso a todas las gacetas que contienen las actas de todos y cada uno de las sesiones de cabildo, se podrán consultar en la página: </w:t>
      </w:r>
      <w:hyperlink r:id="rId8">
        <w:r w:rsidRPr="00901DDB">
          <w:rPr>
            <w:rFonts w:ascii="Palatino Linotype" w:eastAsia="Palatino Linotype" w:hAnsi="Palatino Linotype" w:cs="Palatino Linotype"/>
            <w:color w:val="0000FF"/>
            <w:sz w:val="24"/>
            <w:szCs w:val="24"/>
            <w:u w:val="single"/>
          </w:rPr>
          <w:t>https</w:t>
        </w:r>
        <w:r w:rsidRPr="00901DDB">
          <w:rPr>
            <w:rFonts w:ascii="Palatino Linotype" w:eastAsia="Palatino Linotype" w:hAnsi="Palatino Linotype" w:cs="Palatino Linotype"/>
            <w:color w:val="0000FF"/>
            <w:sz w:val="24"/>
            <w:szCs w:val="24"/>
            <w:u w:val="single"/>
          </w:rPr>
          <w:t>://tenancingo.gob.mx/gacetas.html</w:t>
        </w:r>
      </w:hyperlink>
      <w:r w:rsidRPr="00901DDB">
        <w:rPr>
          <w:rFonts w:ascii="Palatino Linotype" w:eastAsia="Palatino Linotype" w:hAnsi="Palatino Linotype" w:cs="Palatino Linotype"/>
          <w:color w:val="000000"/>
          <w:sz w:val="24"/>
          <w:szCs w:val="24"/>
        </w:rPr>
        <w:t xml:space="preserve">, en el apartado de GACETA, asimismo se pueden consultar las sesiones de cabildo municipal en la página de Facebook </w:t>
      </w:r>
      <w:hyperlink r:id="rId9">
        <w:r w:rsidRPr="00901DDB">
          <w:rPr>
            <w:rFonts w:ascii="Palatino Linotype" w:eastAsia="Palatino Linotype" w:hAnsi="Palatino Linotype" w:cs="Palatino Linotype"/>
            <w:color w:val="0000FF"/>
            <w:sz w:val="24"/>
            <w:szCs w:val="24"/>
            <w:u w:val="single"/>
          </w:rPr>
          <w:t>https://www.facebook.com/AyuntamientoDeTenancingo2022</w:t>
        </w:r>
      </w:hyperlink>
      <w:r w:rsidRPr="00901DDB">
        <w:rPr>
          <w:rFonts w:ascii="Palatino Linotype" w:eastAsia="Palatino Linotype" w:hAnsi="Palatino Linotype" w:cs="Palatino Linotype"/>
          <w:color w:val="000000"/>
          <w:sz w:val="24"/>
          <w:szCs w:val="24"/>
        </w:rPr>
        <w:t xml:space="preserve">. </w:t>
      </w:r>
    </w:p>
    <w:p w:rsidR="00EE4545" w:rsidRPr="00901DDB" w:rsidRDefault="001D2057">
      <w:pPr>
        <w:numPr>
          <w:ilvl w:val="0"/>
          <w:numId w:val="2"/>
        </w:numPr>
        <w:pBdr>
          <w:top w:val="nil"/>
          <w:left w:val="nil"/>
          <w:bottom w:val="nil"/>
          <w:right w:val="nil"/>
          <w:between w:val="nil"/>
        </w:pBdr>
        <w:spacing w:after="0" w:line="276" w:lineRule="auto"/>
        <w:ind w:left="426"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Ficha curricular del Presidente Municipal.</w:t>
      </w:r>
    </w:p>
    <w:p w:rsidR="00EE4545" w:rsidRPr="00901DDB" w:rsidRDefault="001D2057">
      <w:pPr>
        <w:numPr>
          <w:ilvl w:val="0"/>
          <w:numId w:val="2"/>
        </w:numPr>
        <w:pBdr>
          <w:top w:val="nil"/>
          <w:left w:val="nil"/>
          <w:bottom w:val="nil"/>
          <w:right w:val="nil"/>
          <w:between w:val="nil"/>
        </w:pBdr>
        <w:spacing w:before="240" w:after="240" w:line="276" w:lineRule="auto"/>
        <w:ind w:left="426" w:right="49"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Ficha curricular del Tercer Regidor.</w:t>
      </w:r>
    </w:p>
    <w:p w:rsidR="00EE4545" w:rsidRPr="00901DDB" w:rsidRDefault="001D2057">
      <w:pPr>
        <w:numPr>
          <w:ilvl w:val="0"/>
          <w:numId w:val="2"/>
        </w:numPr>
        <w:pBdr>
          <w:top w:val="nil"/>
          <w:left w:val="nil"/>
          <w:bottom w:val="nil"/>
          <w:right w:val="nil"/>
          <w:between w:val="nil"/>
        </w:pBdr>
        <w:spacing w:before="240" w:after="240" w:line="276" w:lineRule="auto"/>
        <w:ind w:left="426" w:right="49" w:firstLine="0"/>
        <w:jc w:val="both"/>
        <w:rPr>
          <w:rFonts w:ascii="Palatino Linotype" w:eastAsia="Palatino Linotype" w:hAnsi="Palatino Linotype" w:cs="Palatino Linotype"/>
          <w:color w:val="000000"/>
          <w:sz w:val="24"/>
          <w:szCs w:val="24"/>
        </w:rPr>
      </w:pPr>
      <w:r w:rsidRPr="00901DDB">
        <w:rPr>
          <w:rFonts w:ascii="Palatino Linotype" w:eastAsia="Palatino Linotype" w:hAnsi="Palatino Linotype" w:cs="Palatino Linotype"/>
          <w:color w:val="000000"/>
          <w:sz w:val="24"/>
          <w:szCs w:val="24"/>
        </w:rPr>
        <w:t>Ficha curricular del Sexto Regidor.</w:t>
      </w:r>
    </w:p>
    <w:p w:rsidR="00EE4545" w:rsidRPr="00901DDB" w:rsidRDefault="001D2057">
      <w:pPr>
        <w:spacing w:before="240" w:after="240" w:line="360" w:lineRule="auto"/>
        <w:ind w:right="49"/>
        <w:jc w:val="both"/>
        <w:rPr>
          <w:rFonts w:ascii="Palatino Linotype" w:eastAsia="Palatino Linotype" w:hAnsi="Palatino Linotype" w:cs="Palatino Linotype"/>
          <w:sz w:val="24"/>
          <w:szCs w:val="24"/>
        </w:rPr>
      </w:pPr>
      <w:r w:rsidRPr="00901DDB">
        <w:rPr>
          <w:rFonts w:ascii="Palatino Linotype" w:eastAsia="Palatino Linotype" w:hAnsi="Palatino Linotype" w:cs="Palatino Linotype"/>
          <w:sz w:val="24"/>
          <w:szCs w:val="24"/>
        </w:rPr>
        <w:t>Conocida la respuesta emitida, al no estar conforme con los términos de la misma, la persona solicitante presentó el recurso de revisión que se resolvió, mediante el cual alegó “</w:t>
      </w:r>
      <w:r w:rsidRPr="00901DDB">
        <w:rPr>
          <w:rFonts w:ascii="Palatino Linotype" w:eastAsia="Palatino Linotype" w:hAnsi="Palatino Linotype" w:cs="Palatino Linotype"/>
          <w:i/>
          <w:sz w:val="24"/>
          <w:szCs w:val="24"/>
        </w:rPr>
        <w:t>la autoridad no responde lo que se solicito y no esta completos los curriculum</w:t>
      </w:r>
      <w:r w:rsidRPr="00901DDB">
        <w:rPr>
          <w:rFonts w:ascii="Palatino Linotype" w:eastAsia="Palatino Linotype" w:hAnsi="Palatino Linotype" w:cs="Palatino Linotype"/>
          <w:i/>
          <w:sz w:val="24"/>
          <w:szCs w:val="24"/>
        </w:rPr>
        <w:t>” (sic)</w:t>
      </w:r>
    </w:p>
    <w:p w:rsidR="00EE4545" w:rsidRPr="00901DDB" w:rsidRDefault="001D2057">
      <w:pPr>
        <w:spacing w:before="240" w:after="240" w:line="360" w:lineRule="auto"/>
        <w:ind w:right="-3"/>
        <w:jc w:val="both"/>
        <w:rPr>
          <w:rFonts w:ascii="Palatino Linotype" w:eastAsia="Palatino Linotype" w:hAnsi="Palatino Linotype" w:cs="Palatino Linotype"/>
          <w:sz w:val="24"/>
          <w:szCs w:val="24"/>
        </w:rPr>
      </w:pPr>
      <w:r w:rsidRPr="00901DDB">
        <w:rPr>
          <w:rFonts w:ascii="Palatino Linotype" w:eastAsia="Palatino Linotype" w:hAnsi="Palatino Linotype" w:cs="Palatino Linotype"/>
          <w:sz w:val="24"/>
          <w:szCs w:val="24"/>
        </w:rPr>
        <w:t>Admitido el recurso de revisión, en términos del artículo 185 fracción II de la Ley de Transparencia y Acceso a la Información Pública del Estado de México y Municipios, se integró el expediente y se puso a disposición de las partes para que, en un</w:t>
      </w:r>
      <w:r w:rsidRPr="00901DDB">
        <w:rPr>
          <w:rFonts w:ascii="Palatino Linotype" w:eastAsia="Palatino Linotype" w:hAnsi="Palatino Linotype" w:cs="Palatino Linotype"/>
          <w:sz w:val="24"/>
          <w:szCs w:val="24"/>
        </w:rPr>
        <w:t xml:space="preserve"> plazo máximo de siete días hábiles, manifestaran lo que a su derecho resultara conveniente, siendo ambas partes omisas en ejercer dicha prerrogativa.</w:t>
      </w:r>
    </w:p>
    <w:p w:rsidR="00EE4545" w:rsidRPr="00901DDB" w:rsidRDefault="001D205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01DDB">
        <w:rPr>
          <w:rFonts w:ascii="Palatino Linotype" w:eastAsia="Palatino Linotype" w:hAnsi="Palatino Linotype" w:cs="Palatino Linotype"/>
          <w:sz w:val="24"/>
          <w:szCs w:val="24"/>
        </w:rPr>
        <w:lastRenderedPageBreak/>
        <w:t xml:space="preserve">Así las cosas, el Instituto consideró que parte de las razones o motivos de inconformidad hechos valer por la parte </w:t>
      </w:r>
      <w:r w:rsidRPr="00901DDB">
        <w:rPr>
          <w:rFonts w:ascii="Palatino Linotype" w:eastAsia="Palatino Linotype" w:hAnsi="Palatino Linotype" w:cs="Palatino Linotype"/>
          <w:b/>
          <w:sz w:val="24"/>
          <w:szCs w:val="24"/>
        </w:rPr>
        <w:t xml:space="preserve">Recurrente </w:t>
      </w:r>
      <w:r w:rsidRPr="00901DDB">
        <w:rPr>
          <w:rFonts w:ascii="Palatino Linotype" w:eastAsia="Palatino Linotype" w:hAnsi="Palatino Linotype" w:cs="Palatino Linotype"/>
          <w:sz w:val="24"/>
          <w:szCs w:val="24"/>
        </w:rPr>
        <w:t xml:space="preserve">resultaban fundados, y determinó modificar la respuesta del </w:t>
      </w:r>
      <w:r w:rsidRPr="00901DDB">
        <w:rPr>
          <w:rFonts w:ascii="Palatino Linotype" w:eastAsia="Palatino Linotype" w:hAnsi="Palatino Linotype" w:cs="Palatino Linotype"/>
          <w:b/>
          <w:sz w:val="24"/>
          <w:szCs w:val="24"/>
        </w:rPr>
        <w:t>Sujeto Obligado</w:t>
      </w:r>
      <w:r w:rsidRPr="00901DDB">
        <w:rPr>
          <w:rFonts w:ascii="Palatino Linotype" w:eastAsia="Palatino Linotype" w:hAnsi="Palatino Linotype" w:cs="Palatino Linotype"/>
          <w:sz w:val="24"/>
          <w:szCs w:val="24"/>
        </w:rPr>
        <w:t>, ordenando la entrega de lo siguiente:</w:t>
      </w:r>
    </w:p>
    <w:p w:rsidR="00EE4545" w:rsidRDefault="001D2057">
      <w:pPr>
        <w:tabs>
          <w:tab w:val="left" w:pos="1134"/>
        </w:tabs>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SEGUNDO.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O</w:t>
      </w:r>
      <w:r>
        <w:rPr>
          <w:rFonts w:ascii="Palatino Linotype" w:eastAsia="Palatino Linotype" w:hAnsi="Palatino Linotype" w:cs="Palatino Linotype"/>
          <w:b/>
          <w:i/>
        </w:rPr>
        <w:t>RDENA</w:t>
      </w:r>
      <w:r>
        <w:rPr>
          <w:rFonts w:ascii="Palatino Linotype" w:eastAsia="Palatino Linotype" w:hAnsi="Palatino Linotype" w:cs="Palatino Linotype"/>
          <w:i/>
        </w:rPr>
        <w:t xml:space="preserve"> al </w:t>
      </w:r>
      <w:r>
        <w:rPr>
          <w:rFonts w:ascii="Palatino Linotype" w:eastAsia="Palatino Linotype" w:hAnsi="Palatino Linotype" w:cs="Palatino Linotype"/>
          <w:b/>
          <w:i/>
        </w:rPr>
        <w:t xml:space="preserve">Sujeto Obligado, </w:t>
      </w:r>
      <w:r>
        <w:rPr>
          <w:rFonts w:ascii="Palatino Linotype" w:eastAsia="Palatino Linotype" w:hAnsi="Palatino Linotype" w:cs="Palatino Linotype"/>
          <w:i/>
        </w:rPr>
        <w:t xml:space="preserve">haga entrega al </w:t>
      </w:r>
      <w:r>
        <w:rPr>
          <w:rFonts w:ascii="Palatino Linotype" w:eastAsia="Palatino Linotype" w:hAnsi="Palatino Linotype" w:cs="Palatino Linotype"/>
          <w:b/>
          <w:i/>
        </w:rPr>
        <w:t>Recurrente, en</w:t>
      </w:r>
      <w:r>
        <w:rPr>
          <w:rFonts w:ascii="Palatino Linotype" w:eastAsia="Palatino Linotype" w:hAnsi="Palatino Linotype" w:cs="Palatino Linotype"/>
          <w:i/>
        </w:rPr>
        <w:t xml:space="preserve"> términos del Considerando </w:t>
      </w:r>
      <w:r>
        <w:rPr>
          <w:rFonts w:ascii="Palatino Linotype" w:eastAsia="Palatino Linotype" w:hAnsi="Palatino Linotype" w:cs="Palatino Linotype"/>
          <w:b/>
          <w:i/>
        </w:rPr>
        <w:t xml:space="preserve">CUARTO </w:t>
      </w:r>
      <w:r>
        <w:rPr>
          <w:rFonts w:ascii="Palatino Linotype" w:eastAsia="Palatino Linotype" w:hAnsi="Palatino Linotype" w:cs="Palatino Linotype"/>
          <w:i/>
        </w:rPr>
        <w:t>de esta resolución, a través del</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Sistema de Acceso a la Información Mexiquense </w:t>
      </w:r>
      <w:r>
        <w:rPr>
          <w:rFonts w:ascii="Palatino Linotype" w:eastAsia="Palatino Linotype" w:hAnsi="Palatino Linotype" w:cs="Palatino Linotype"/>
          <w:b/>
          <w:i/>
        </w:rPr>
        <w:t>(SAIMEX)</w:t>
      </w:r>
      <w:r>
        <w:rPr>
          <w:rFonts w:ascii="Palatino Linotype" w:eastAsia="Palatino Linotype" w:hAnsi="Palatino Linotype" w:cs="Palatino Linotype"/>
          <w:i/>
        </w:rPr>
        <w:t>, previa búsqueda exhaustiva y razonable, en versión pública, del documento o documentos donde conste lo siguiente:</w:t>
      </w:r>
    </w:p>
    <w:p w:rsidR="00EE4545" w:rsidRDefault="001D2057">
      <w:pPr>
        <w:numPr>
          <w:ilvl w:val="0"/>
          <w:numId w:val="4"/>
        </w:numPr>
        <w:pBdr>
          <w:top w:val="nil"/>
          <w:left w:val="nil"/>
          <w:bottom w:val="nil"/>
          <w:right w:val="nil"/>
          <w:between w:val="nil"/>
        </w:pBdr>
        <w:tabs>
          <w:tab w:val="left" w:pos="1134"/>
        </w:tabs>
        <w:spacing w:before="120" w:after="120" w:line="240" w:lineRule="auto"/>
        <w:ind w:left="1134" w:right="992"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Actividades realizadas por la Segunda Regidora del Ayuntamiento de Tenancingo, los días del 19 al 23 de septiembre del año dos mil veintidós</w:t>
      </w:r>
      <w:r>
        <w:rPr>
          <w:rFonts w:ascii="Palatino Linotype" w:eastAsia="Palatino Linotype" w:hAnsi="Palatino Linotype" w:cs="Palatino Linotype"/>
          <w:i/>
          <w:color w:val="000000"/>
        </w:rPr>
        <w:t xml:space="preserve">, así como los días 18, 26, 27 y 30 de enero del año dos mil veintitrés. </w:t>
      </w:r>
    </w:p>
    <w:p w:rsidR="00EE4545" w:rsidRDefault="001D2057">
      <w:pPr>
        <w:numPr>
          <w:ilvl w:val="0"/>
          <w:numId w:val="4"/>
        </w:numPr>
        <w:pBdr>
          <w:top w:val="nil"/>
          <w:left w:val="nil"/>
          <w:bottom w:val="nil"/>
          <w:right w:val="nil"/>
          <w:between w:val="nil"/>
        </w:pBdr>
        <w:tabs>
          <w:tab w:val="left" w:pos="1134"/>
        </w:tabs>
        <w:spacing w:before="120" w:after="120" w:line="240" w:lineRule="auto"/>
        <w:ind w:left="1134" w:right="992"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Actividades realizadas por la Quinta Regidora del Ayuntamiento de Tenancingo, los días 6 y 27 de enero del año dos mil veintitrés. </w:t>
      </w:r>
    </w:p>
    <w:p w:rsidR="00EE4545" w:rsidRDefault="001D2057">
      <w:pPr>
        <w:numPr>
          <w:ilvl w:val="0"/>
          <w:numId w:val="4"/>
        </w:numPr>
        <w:pBdr>
          <w:top w:val="nil"/>
          <w:left w:val="nil"/>
          <w:bottom w:val="nil"/>
          <w:right w:val="nil"/>
          <w:between w:val="nil"/>
        </w:pBdr>
        <w:tabs>
          <w:tab w:val="left" w:pos="1134"/>
        </w:tabs>
        <w:spacing w:before="120" w:after="120" w:line="240" w:lineRule="auto"/>
        <w:ind w:left="1134" w:right="992"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períodos en los que la Segunda Regidora del Ay</w:t>
      </w:r>
      <w:r>
        <w:rPr>
          <w:rFonts w:ascii="Palatino Linotype" w:eastAsia="Palatino Linotype" w:hAnsi="Palatino Linotype" w:cs="Palatino Linotype"/>
          <w:i/>
          <w:color w:val="000000"/>
        </w:rPr>
        <w:t>untamiento de Tenancingo salió del país en ejercicio de sus funciones, así como el origen de los gastos realizados durante el año dos mil veintidós.</w:t>
      </w:r>
    </w:p>
    <w:p w:rsidR="00EE4545" w:rsidRDefault="001D2057">
      <w:pPr>
        <w:numPr>
          <w:ilvl w:val="0"/>
          <w:numId w:val="4"/>
        </w:numPr>
        <w:pBdr>
          <w:top w:val="nil"/>
          <w:left w:val="nil"/>
          <w:bottom w:val="nil"/>
          <w:right w:val="nil"/>
          <w:between w:val="nil"/>
        </w:pBdr>
        <w:tabs>
          <w:tab w:val="left" w:pos="1134"/>
        </w:tabs>
        <w:spacing w:before="120" w:after="120" w:line="240" w:lineRule="auto"/>
        <w:ind w:left="1134" w:right="992"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Ficha curricular, Currículum Vitae o documento análogo, correspondientes a la Síndico Municipal, Primer Reg</w:t>
      </w:r>
      <w:r>
        <w:rPr>
          <w:rFonts w:ascii="Palatino Linotype" w:eastAsia="Palatino Linotype" w:hAnsi="Palatino Linotype" w:cs="Palatino Linotype"/>
          <w:i/>
          <w:color w:val="000000"/>
        </w:rPr>
        <w:t xml:space="preserve">idor, Segunda Regidora, Cuarta Regidora, Quinta Regidora y Séptimo Regidor. </w:t>
      </w:r>
    </w:p>
    <w:p w:rsidR="00EE4545" w:rsidRDefault="001D2057">
      <w:pPr>
        <w:numPr>
          <w:ilvl w:val="0"/>
          <w:numId w:val="4"/>
        </w:numPr>
        <w:pBdr>
          <w:top w:val="nil"/>
          <w:left w:val="nil"/>
          <w:bottom w:val="nil"/>
          <w:right w:val="nil"/>
          <w:between w:val="nil"/>
        </w:pBdr>
        <w:tabs>
          <w:tab w:val="left" w:pos="1134"/>
        </w:tabs>
        <w:spacing w:before="120" w:after="120" w:line="240" w:lineRule="auto"/>
        <w:ind w:left="1134" w:right="992"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Comprobante Fiscal Digital por Internet (CFDI), de la Segunda Regidora del Ayuntamiento de Tenancingo, correspondientes de la primera quincena del mes de en</w:t>
      </w:r>
      <w:r>
        <w:rPr>
          <w:rFonts w:ascii="Palatino Linotype" w:eastAsia="Palatino Linotype" w:hAnsi="Palatino Linotype" w:cs="Palatino Linotype"/>
          <w:i/>
          <w:color w:val="000000"/>
        </w:rPr>
        <w:t>ero del año dos mil diecinueve a la segunda quincena del mes de enero del año dos mil veintitrés.</w:t>
      </w:r>
    </w:p>
    <w:p w:rsidR="00EE4545" w:rsidRDefault="001D2057">
      <w:pPr>
        <w:tabs>
          <w:tab w:val="left" w:pos="720"/>
          <w:tab w:val="left" w:pos="1134"/>
        </w:tabs>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Como sustento de la versión pública, se deberá entregar el Acuerdo del Comité de Transparencia correspondiente, en términos del artículo 49, fracción VIII y 1</w:t>
      </w:r>
      <w:r>
        <w:rPr>
          <w:rFonts w:ascii="Palatino Linotype" w:eastAsia="Palatino Linotype" w:hAnsi="Palatino Linotype" w:cs="Palatino Linotype"/>
          <w:i/>
        </w:rPr>
        <w:t>32 fracción II, de la Ley de Transparencia y Acceso a la Información Pública del Estado de México y Municipios, en el que funde y motive las razones sobre los datos que se supriman o eliminen dentro del soporte documental respectivo y se ponga a disposició</w:t>
      </w:r>
      <w:r>
        <w:rPr>
          <w:rFonts w:ascii="Palatino Linotype" w:eastAsia="Palatino Linotype" w:hAnsi="Palatino Linotype" w:cs="Palatino Linotype"/>
          <w:i/>
        </w:rPr>
        <w:t xml:space="preserve">n del </w:t>
      </w:r>
      <w:r>
        <w:rPr>
          <w:rFonts w:ascii="Palatino Linotype" w:eastAsia="Palatino Linotype" w:hAnsi="Palatino Linotype" w:cs="Palatino Linotype"/>
          <w:b/>
          <w:i/>
        </w:rPr>
        <w:t>Recurrente</w:t>
      </w:r>
      <w:r>
        <w:rPr>
          <w:rFonts w:ascii="Palatino Linotype" w:eastAsia="Palatino Linotype" w:hAnsi="Palatino Linotype" w:cs="Palatino Linotype"/>
          <w:i/>
        </w:rPr>
        <w:t>.</w:t>
      </w:r>
    </w:p>
    <w:p w:rsidR="00EE4545" w:rsidRDefault="00EE4545">
      <w:pPr>
        <w:tabs>
          <w:tab w:val="left" w:pos="720"/>
          <w:tab w:val="left" w:pos="1134"/>
        </w:tabs>
        <w:spacing w:before="120" w:after="120" w:line="240" w:lineRule="auto"/>
        <w:ind w:left="851" w:right="992"/>
        <w:jc w:val="both"/>
        <w:rPr>
          <w:rFonts w:ascii="Palatino Linotype" w:eastAsia="Palatino Linotype" w:hAnsi="Palatino Linotype" w:cs="Palatino Linotype"/>
          <w:i/>
        </w:rPr>
      </w:pPr>
    </w:p>
    <w:p w:rsidR="00EE4545" w:rsidRDefault="001D2057">
      <w:pPr>
        <w:tabs>
          <w:tab w:val="left" w:pos="720"/>
          <w:tab w:val="left" w:pos="1134"/>
        </w:tabs>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que en caso de que después de haber realizado una búsqueda exhaustiva y razonable, no se haya generado </w:t>
      </w:r>
      <w:r>
        <w:rPr>
          <w:rFonts w:ascii="Palatino Linotype" w:eastAsia="Palatino Linotype" w:hAnsi="Palatino Linotype" w:cs="Palatino Linotype"/>
          <w:b/>
          <w:i/>
        </w:rPr>
        <w:t>la información requerida en los puntos 1, 2 y 3</w:t>
      </w:r>
      <w:r>
        <w:rPr>
          <w:rFonts w:ascii="Palatino Linotype" w:eastAsia="Palatino Linotype" w:hAnsi="Palatino Linotype" w:cs="Palatino Linotype"/>
          <w:i/>
        </w:rPr>
        <w:t xml:space="preserve">, se deberá hacer del conocimiento a la Recurrente de manera motivada, en concordancia con el </w:t>
      </w:r>
      <w:r>
        <w:rPr>
          <w:rFonts w:ascii="Palatino Linotype" w:eastAsia="Palatino Linotype" w:hAnsi="Palatino Linotype" w:cs="Palatino Linotype"/>
          <w:b/>
          <w:i/>
        </w:rPr>
        <w:t>párrafo segundo del artículo 19</w:t>
      </w:r>
      <w:r>
        <w:rPr>
          <w:rFonts w:ascii="Palatino Linotype" w:eastAsia="Palatino Linotype" w:hAnsi="Palatino Linotype" w:cs="Palatino Linotype"/>
          <w:i/>
        </w:rPr>
        <w:t xml:space="preserve"> de la Ley de Transparencia y Acceso a la Información Pública del Estado de México y Municipios.”</w:t>
      </w:r>
    </w:p>
    <w:p w:rsidR="00EE4545" w:rsidRDefault="00EE4545">
      <w:pPr>
        <w:tabs>
          <w:tab w:val="left" w:pos="720"/>
          <w:tab w:val="left" w:pos="1134"/>
        </w:tabs>
        <w:spacing w:before="120" w:after="120" w:line="240" w:lineRule="auto"/>
        <w:ind w:left="851" w:right="992"/>
        <w:jc w:val="both"/>
        <w:rPr>
          <w:rFonts w:ascii="Palatino Linotype" w:eastAsia="Palatino Linotype" w:hAnsi="Palatino Linotype" w:cs="Palatino Linotype"/>
          <w:i/>
        </w:rPr>
      </w:pPr>
    </w:p>
    <w:p w:rsidR="00EE4545" w:rsidRDefault="001D205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bookmarkStart w:id="1" w:name="_heading=h.tkz9z0xykjr8" w:colFirst="0" w:colLast="0"/>
      <w:bookmarkEnd w:id="1"/>
      <w:r>
        <w:rPr>
          <w:rFonts w:ascii="Palatino Linotype" w:eastAsia="Palatino Linotype" w:hAnsi="Palatino Linotype" w:cs="Palatino Linotype"/>
          <w:b/>
          <w:sz w:val="24"/>
          <w:szCs w:val="24"/>
        </w:rPr>
        <w:t>Razones del Voto Particular Conc</w:t>
      </w:r>
      <w:r>
        <w:rPr>
          <w:rFonts w:ascii="Palatino Linotype" w:eastAsia="Palatino Linotype" w:hAnsi="Palatino Linotype" w:cs="Palatino Linotype"/>
          <w:b/>
          <w:sz w:val="24"/>
          <w:szCs w:val="24"/>
        </w:rPr>
        <w:t xml:space="preserve">urrente. </w:t>
      </w:r>
    </w:p>
    <w:p w:rsidR="00EE4545" w:rsidRDefault="001D2057">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 xml:space="preserve">Para iniciar la emisión del presente voto, conviene mencionar, que, de manera respetuosa, las suscritas </w:t>
      </w:r>
      <w:r>
        <w:rPr>
          <w:rFonts w:ascii="Palatino Linotype" w:eastAsia="Palatino Linotype" w:hAnsi="Palatino Linotype" w:cs="Palatino Linotype"/>
          <w:b/>
          <w:sz w:val="24"/>
          <w:szCs w:val="24"/>
        </w:rPr>
        <w:t>no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comparten las consideraciones que fueron vertidas en la presente resolución</w:t>
      </w:r>
      <w:r>
        <w:rPr>
          <w:rFonts w:ascii="Palatino Linotype" w:eastAsia="Palatino Linotype" w:hAnsi="Palatino Linotype" w:cs="Palatino Linotype"/>
          <w:sz w:val="24"/>
          <w:szCs w:val="24"/>
        </w:rPr>
        <w:t xml:space="preserve">, respecto a la información que se ordena en el punto 4 del resolutivo Segundo, </w:t>
      </w:r>
      <w:r>
        <w:rPr>
          <w:rFonts w:ascii="Palatino Linotype" w:eastAsia="Palatino Linotype" w:hAnsi="Palatino Linotype" w:cs="Palatino Linotype"/>
          <w:color w:val="000000"/>
          <w:sz w:val="24"/>
          <w:szCs w:val="24"/>
        </w:rPr>
        <w:t xml:space="preserve">en virtud de que, para las emisoras del voto en el presente caso, los documentos ordenados de manera particular, </w:t>
      </w:r>
      <w:r>
        <w:rPr>
          <w:rFonts w:ascii="Palatino Linotype" w:eastAsia="Palatino Linotype" w:hAnsi="Palatino Linotype" w:cs="Palatino Linotype"/>
          <w:b/>
          <w:color w:val="000000"/>
          <w:sz w:val="24"/>
          <w:szCs w:val="24"/>
        </w:rPr>
        <w:t>no son requisitos necesarios, pues al tratarse de cargos públic</w:t>
      </w:r>
      <w:r>
        <w:rPr>
          <w:rFonts w:ascii="Palatino Linotype" w:eastAsia="Palatino Linotype" w:hAnsi="Palatino Linotype" w:cs="Palatino Linotype"/>
          <w:b/>
          <w:color w:val="000000"/>
          <w:sz w:val="24"/>
          <w:szCs w:val="24"/>
        </w:rPr>
        <w:t>os designados por elección popular, no se requiere acreditar determinado grado de estudios e información curricular, por lo tanto, en el caso de los Ayuntamientos, no hay manera de dar satisfacción a la información específica requerida.</w:t>
      </w:r>
    </w:p>
    <w:p w:rsidR="00EE4545" w:rsidRDefault="001D205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Atento a lo anterio</w:t>
      </w:r>
      <w:r>
        <w:rPr>
          <w:rFonts w:ascii="Palatino Linotype" w:eastAsia="Palatino Linotype" w:hAnsi="Palatino Linotype" w:cs="Palatino Linotype"/>
          <w:sz w:val="24"/>
          <w:szCs w:val="24"/>
        </w:rPr>
        <w:t xml:space="preserve">r, es pertinente mencionar que en estas circunstancias no resulta exigible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requerirle la entrega de información que no obra en sus archivos, toda vez que de conformidad con los artículos 117, 118, 119 y 120 de la Constitución Política de</w:t>
      </w:r>
      <w:r>
        <w:rPr>
          <w:rFonts w:ascii="Palatino Linotype" w:eastAsia="Palatino Linotype" w:hAnsi="Palatino Linotype" w:cs="Palatino Linotype"/>
          <w:sz w:val="24"/>
          <w:szCs w:val="24"/>
        </w:rPr>
        <w:t xml:space="preserve">l Estado Libre y Soberano de México, los integrantes del ayuntamiento, propietarios o suplentes deberán cumplir una serie de requisitos, de </w:t>
      </w:r>
      <w:r>
        <w:rPr>
          <w:rFonts w:ascii="Palatino Linotype" w:eastAsia="Palatino Linotype" w:hAnsi="Palatino Linotype" w:cs="Palatino Linotype"/>
          <w:sz w:val="24"/>
          <w:szCs w:val="24"/>
        </w:rPr>
        <w:lastRenderedPageBreak/>
        <w:t>las cuales no se advierte la obligación de entregar documentos para ocupar los cargos, sirve de ilustración la sigui</w:t>
      </w:r>
      <w:r>
        <w:rPr>
          <w:rFonts w:ascii="Palatino Linotype" w:eastAsia="Palatino Linotype" w:hAnsi="Palatino Linotype" w:cs="Palatino Linotype"/>
          <w:sz w:val="24"/>
          <w:szCs w:val="24"/>
        </w:rPr>
        <w:t xml:space="preserve">ente cita: </w:t>
      </w:r>
      <w:r>
        <w:rPr>
          <w:rFonts w:ascii="Palatino Linotype" w:eastAsia="Palatino Linotype" w:hAnsi="Palatino Linotype" w:cs="Palatino Linotype"/>
          <w:sz w:val="24"/>
          <w:szCs w:val="24"/>
        </w:rPr>
        <w:tab/>
      </w:r>
    </w:p>
    <w:p w:rsidR="00EE4545" w:rsidRDefault="001D2057">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117</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cuyo número s</w:t>
      </w:r>
      <w:r>
        <w:rPr>
          <w:rFonts w:ascii="Palatino Linotype" w:eastAsia="Palatino Linotype" w:hAnsi="Palatino Linotype" w:cs="Palatino Linotype"/>
          <w:i/>
        </w:rPr>
        <w:t>e determinará en razón directa de la población del municipio que representen, como lo disponga la Ley Orgánica respectiva. Los ayuntamientos de los municipios podrán tener síndicas o síndicos y regidoras o regidores electos según el principio de representa</w:t>
      </w:r>
      <w:r>
        <w:rPr>
          <w:rFonts w:ascii="Palatino Linotype" w:eastAsia="Palatino Linotype" w:hAnsi="Palatino Linotype" w:cs="Palatino Linotype"/>
          <w:i/>
        </w:rPr>
        <w:t xml:space="preserve">ción proporcional de acuerdo a los requisitos y reglas de asignación que establezca la ley de la materia, respetando el principio de paridad de género. </w:t>
      </w:r>
    </w:p>
    <w:p w:rsidR="00EE4545" w:rsidRDefault="001D2057">
      <w:pPr>
        <w:spacing w:before="120" w:after="120" w:line="240" w:lineRule="auto"/>
        <w:ind w:left="851" w:right="99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CAPITULO SEGUNDO </w:t>
      </w:r>
    </w:p>
    <w:p w:rsidR="00EE4545" w:rsidRDefault="001D2057">
      <w:pPr>
        <w:spacing w:before="120" w:after="120" w:line="240" w:lineRule="auto"/>
        <w:ind w:left="851" w:right="99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De los Miembros de los Ayuntamientos </w:t>
      </w:r>
    </w:p>
    <w:p w:rsidR="00EE4545" w:rsidRDefault="001D2057">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b/>
          <w:i/>
        </w:rPr>
        <w:t>Artículo 118.-</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Los miembros de un ayuntamiento </w:t>
      </w:r>
      <w:r>
        <w:rPr>
          <w:rFonts w:ascii="Palatino Linotype" w:eastAsia="Palatino Linotype" w:hAnsi="Palatino Linotype" w:cs="Palatino Linotype"/>
          <w:b/>
          <w:i/>
        </w:rPr>
        <w:t>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w:t>
      </w:r>
      <w:r>
        <w:rPr>
          <w:rFonts w:ascii="Palatino Linotype" w:eastAsia="Palatino Linotype" w:hAnsi="Palatino Linotype" w:cs="Palatino Linotype"/>
          <w:i/>
        </w:rPr>
        <w:t>mos derechos y obligaciones, conforme a la ley de la materia. Las síndicas electas y los síndicos electos por ambas fórmulas tendrán las atribuciones que les señale la ley. Por cada miembro del ayuntamiento que se elija como propietario se elegirá un suple</w:t>
      </w:r>
      <w:r>
        <w:rPr>
          <w:rFonts w:ascii="Palatino Linotype" w:eastAsia="Palatino Linotype" w:hAnsi="Palatino Linotype" w:cs="Palatino Linotype"/>
          <w:i/>
        </w:rPr>
        <w:t xml:space="preserve">nte. </w:t>
      </w:r>
    </w:p>
    <w:p w:rsidR="00EE4545" w:rsidRDefault="001D2057">
      <w:pPr>
        <w:spacing w:before="120" w:after="120" w:line="240" w:lineRule="auto"/>
        <w:ind w:left="851" w:right="99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mexicana o mexicano, ciudadana o ciudadano del Estado, en pleno ejercicio de sus derechos;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mexiquense con residencia efectiva en el municipio no menor a un año o vecino del mismo, con residencia efectiva en su territorio no menor a tres años, anteriores al día de la elección; y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de reconocida probidad y buena fama pública.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b/>
          <w:i/>
        </w:rPr>
      </w:pPr>
      <w:r>
        <w:rPr>
          <w:rFonts w:ascii="Palatino Linotype" w:eastAsia="Palatino Linotype" w:hAnsi="Palatino Linotype" w:cs="Palatino Linotype"/>
          <w:b/>
          <w:i/>
        </w:rPr>
        <w:t>No estar cond</w:t>
      </w:r>
      <w:r>
        <w:rPr>
          <w:rFonts w:ascii="Palatino Linotype" w:eastAsia="Palatino Linotype" w:hAnsi="Palatino Linotype" w:cs="Palatino Linotype"/>
          <w:b/>
          <w:i/>
        </w:rPr>
        <w:t xml:space="preserve">enada o condenado por sentencia ejecutoriada por el delito de violencia política contra las mujeres en razón de género;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No estar inscrito en el Registro de Deudores Alimentarios Morosos en el Estado, ni en otra entidad federativa, y </w:t>
      </w:r>
    </w:p>
    <w:p w:rsidR="00EE4545" w:rsidRDefault="001D2057">
      <w:pPr>
        <w:numPr>
          <w:ilvl w:val="0"/>
          <w:numId w:val="1"/>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estar condenada o </w:t>
      </w:r>
      <w:r>
        <w:rPr>
          <w:rFonts w:ascii="Palatino Linotype" w:eastAsia="Palatino Linotype" w:hAnsi="Palatino Linotype" w:cs="Palatino Linotype"/>
          <w:b/>
          <w:i/>
        </w:rPr>
        <w:t>condenado por sentencia ejecutoriada por delitos de violencia familiar, contra la libertad sexual o de violencia de género.</w:t>
      </w:r>
    </w:p>
    <w:p w:rsidR="00EE4545" w:rsidRDefault="001D2057">
      <w:pPr>
        <w:pBdr>
          <w:top w:val="nil"/>
          <w:left w:val="nil"/>
          <w:bottom w:val="nil"/>
          <w:right w:val="nil"/>
          <w:between w:val="nil"/>
        </w:pBd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b/>
          <w:i/>
        </w:rPr>
        <w:t>Artículo 120</w:t>
      </w:r>
      <w:r>
        <w:rPr>
          <w:rFonts w:ascii="Palatino Linotype" w:eastAsia="Palatino Linotype" w:hAnsi="Palatino Linotype" w:cs="Palatino Linotype"/>
          <w:i/>
        </w:rPr>
        <w:t xml:space="preserve">.- No pueden ser miembros propietarios o suplentes de los ayuntamientos: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Las diputadas o diputados y senadoras o senadores al Congreso de la Unión que se encuentren en ejercicio de su cargo;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Las diputadas o diputados a la Legislatura del Estado que se encuentren en ejercicio de su cargo;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Las juezas o jueces, magistradas o magistrados o consejeras o consejeros de la Judicatura del Poder Judicial del Estado o de la Federación;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Las y los servidores públicos federales, estatales o municipales en ejercicio de autoridad;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Las y los militares y </w:t>
      </w:r>
      <w:r>
        <w:rPr>
          <w:rFonts w:ascii="Palatino Linotype" w:eastAsia="Palatino Linotype" w:hAnsi="Palatino Linotype" w:cs="Palatino Linotype"/>
          <w:i/>
        </w:rPr>
        <w:t xml:space="preserve">los miembros de las fuerzas de seguridad pública del Estado y los de los municipios que ejerzan mando en el territorio de la elección; y </w:t>
      </w:r>
    </w:p>
    <w:p w:rsidR="00EE4545" w:rsidRDefault="001D2057">
      <w:pPr>
        <w:numPr>
          <w:ilvl w:val="0"/>
          <w:numId w:val="5"/>
        </w:numPr>
        <w:pBdr>
          <w:top w:val="nil"/>
          <w:left w:val="nil"/>
          <w:bottom w:val="nil"/>
          <w:right w:val="nil"/>
          <w:between w:val="nil"/>
        </w:pBdr>
        <w:tabs>
          <w:tab w:val="left" w:pos="1560"/>
        </w:tabs>
        <w:spacing w:before="120" w:after="120" w:line="240" w:lineRule="auto"/>
        <w:ind w:left="1134" w:right="992" w:firstLine="0"/>
        <w:jc w:val="both"/>
        <w:rPr>
          <w:rFonts w:ascii="Palatino Linotype" w:eastAsia="Palatino Linotype" w:hAnsi="Palatino Linotype" w:cs="Palatino Linotype"/>
          <w:i/>
        </w:rPr>
      </w:pPr>
      <w:r>
        <w:rPr>
          <w:rFonts w:ascii="Palatino Linotype" w:eastAsia="Palatino Linotype" w:hAnsi="Palatino Linotype" w:cs="Palatino Linotype"/>
          <w:i/>
        </w:rPr>
        <w:t>Las y los ministros de cualquier culto, a menos que se separen formal, material y definitivamente de su ministerio, cu</w:t>
      </w:r>
      <w:r>
        <w:rPr>
          <w:rFonts w:ascii="Palatino Linotype" w:eastAsia="Palatino Linotype" w:hAnsi="Palatino Linotype" w:cs="Palatino Linotype"/>
          <w:i/>
        </w:rPr>
        <w:t xml:space="preserve">ando menos cinco años antes del día de la elección. </w:t>
      </w:r>
    </w:p>
    <w:p w:rsidR="00EE4545" w:rsidRDefault="001D2057">
      <w:pPr>
        <w:pBdr>
          <w:top w:val="nil"/>
          <w:left w:val="nil"/>
          <w:bottom w:val="nil"/>
          <w:right w:val="nil"/>
          <w:between w:val="nil"/>
        </w:pBdr>
        <w:spacing w:before="120" w:after="120" w:line="240" w:lineRule="auto"/>
        <w:ind w:left="1134" w:right="992"/>
        <w:jc w:val="both"/>
        <w:rPr>
          <w:rFonts w:ascii="Palatino Linotype" w:eastAsia="Palatino Linotype" w:hAnsi="Palatino Linotype" w:cs="Palatino Linotype"/>
          <w:i/>
        </w:rPr>
      </w:pPr>
      <w:r>
        <w:rPr>
          <w:rFonts w:ascii="Palatino Linotype" w:eastAsia="Palatino Linotype" w:hAnsi="Palatino Linotype" w:cs="Palatino Linotype"/>
          <w:i/>
        </w:rPr>
        <w:t>Las y los servidores públicos a que se refieren las fracciones de la I a la V serán exceptuados del impedimento si se separan de sus respectivos cargos por lo menos, veinticuatro horas antes del inicio d</w:t>
      </w:r>
      <w:r>
        <w:rPr>
          <w:rFonts w:ascii="Palatino Linotype" w:eastAsia="Palatino Linotype" w:hAnsi="Palatino Linotype" w:cs="Palatino Linotype"/>
          <w:i/>
        </w:rPr>
        <w:t>e las campañas, conforme al calendario electoral vigente</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 (Énfasis añadido)</w:t>
      </w:r>
    </w:p>
    <w:p w:rsidR="00EE4545" w:rsidRDefault="001D2057">
      <w:pPr>
        <w:widowControl w:val="0"/>
        <w:tabs>
          <w:tab w:val="left" w:pos="1701"/>
          <w:tab w:val="left" w:pos="1843"/>
        </w:tabs>
        <w:spacing w:before="120"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EE4545" w:rsidRDefault="00EE4545">
      <w:pPr>
        <w:widowControl w:val="0"/>
        <w:tabs>
          <w:tab w:val="left" w:pos="1701"/>
          <w:tab w:val="left" w:pos="1843"/>
        </w:tabs>
        <w:spacing w:after="0" w:line="240" w:lineRule="auto"/>
        <w:jc w:val="both"/>
        <w:rPr>
          <w:rFonts w:ascii="Palatino Linotype" w:eastAsia="Palatino Linotype" w:hAnsi="Palatino Linotype" w:cs="Palatino Linotype"/>
          <w:sz w:val="24"/>
          <w:szCs w:val="24"/>
        </w:rPr>
      </w:pPr>
    </w:p>
    <w:p w:rsidR="00EE4545" w:rsidRDefault="001D2057">
      <w:pPr>
        <w:widowControl w:val="0"/>
        <w:tabs>
          <w:tab w:val="left" w:pos="1701"/>
          <w:tab w:val="left" w:pos="1843"/>
        </w:tabs>
        <w:spacing w:after="0" w:line="240" w:lineRule="auto"/>
        <w:ind w:left="851"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16.</w:t>
      </w:r>
      <w:r>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w:t>
      </w:r>
      <w:r>
        <w:rPr>
          <w:rFonts w:ascii="Palatino Linotype" w:eastAsia="Palatino Linotype" w:hAnsi="Palatino Linotype" w:cs="Palatino Linotype"/>
          <w:i/>
        </w:rPr>
        <w:t xml:space="preserve">ablece el artículo 40 de la Constitución Local son elegibles para los cargos de diputadas y diputados a la </w:t>
      </w:r>
      <w:r>
        <w:rPr>
          <w:rFonts w:ascii="Palatino Linotype" w:eastAsia="Palatino Linotype" w:hAnsi="Palatino Linotype" w:cs="Palatino Linotype"/>
          <w:i/>
        </w:rPr>
        <w:lastRenderedPageBreak/>
        <w:t>Legislatura del Estado. Las ciudadanas y los ciudadanos que reúnan los requisitos establecidos en el artículo 119 y que no se encuentren en cualquier</w:t>
      </w:r>
      <w:r>
        <w:rPr>
          <w:rFonts w:ascii="Palatino Linotype" w:eastAsia="Palatino Linotype" w:hAnsi="Palatino Linotype" w:cs="Palatino Linotype"/>
          <w:i/>
        </w:rPr>
        <w:t>a de los supuestos previstos en el artículo 120 de la Constitución Local, son elegibles para ser miembros de los ayuntamientos. Las ciudadanas y los ciudadanos que se hayan separado de un cargo público para contender en un proceso electoral, podrán reincor</w:t>
      </w:r>
      <w:r>
        <w:rPr>
          <w:rFonts w:ascii="Palatino Linotype" w:eastAsia="Palatino Linotype" w:hAnsi="Palatino Linotype" w:cs="Palatino Linotype"/>
          <w:i/>
        </w:rPr>
        <w:t xml:space="preserve">porase al mismo, una vez que concluya la jornada electoral. </w:t>
      </w:r>
    </w:p>
    <w:p w:rsidR="00EE4545" w:rsidRDefault="001D2057">
      <w:pPr>
        <w:widowControl w:val="0"/>
        <w:tabs>
          <w:tab w:val="left" w:pos="1701"/>
          <w:tab w:val="left" w:pos="1843"/>
        </w:tabs>
        <w:spacing w:after="0" w:line="240" w:lineRule="auto"/>
        <w:ind w:left="851" w:right="990"/>
        <w:jc w:val="both"/>
        <w:rPr>
          <w:rFonts w:ascii="Palatino Linotype" w:eastAsia="Palatino Linotype" w:hAnsi="Palatino Linotype" w:cs="Palatino Linotype"/>
          <w:i/>
        </w:rPr>
      </w:pPr>
      <w:r>
        <w:rPr>
          <w:rFonts w:ascii="Palatino Linotype" w:eastAsia="Palatino Linotype" w:hAnsi="Palatino Linotype" w:cs="Palatino Linotype"/>
          <w:i/>
        </w:rPr>
        <w:t>Artículo 17. Además de los requisitos señalados en el artículo anterior, las ciudadanas y los ciudadanos que aspiren a las candidaturas a Gobernadora o Gobernador, Diputada, Diputado o integrante</w:t>
      </w:r>
      <w:r>
        <w:rPr>
          <w:rFonts w:ascii="Palatino Linotype" w:eastAsia="Palatino Linotype" w:hAnsi="Palatino Linotype" w:cs="Palatino Linotype"/>
          <w:i/>
        </w:rPr>
        <w:t xml:space="preserve"> de los ayuntamientos deberán satisfacer lo siguiente: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No ser magistrada o magistrado del Tribunal Superior de Justicia o del Tribunal Ele</w:t>
      </w:r>
      <w:r>
        <w:rPr>
          <w:rFonts w:ascii="Palatino Linotype" w:eastAsia="Palatino Linotype" w:hAnsi="Palatino Linotype" w:cs="Palatino Linotype"/>
          <w:i/>
        </w:rPr>
        <w:t xml:space="preserve">ctoral o funcionario de este, salvo que se separe del cargo dos años antes de la fecha de inicio del proceso electoral de que se trate.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No formar parte del servicio profesional electoral del Instituto, salvo que se separe del cargo dos años antes de la fe</w:t>
      </w:r>
      <w:r>
        <w:rPr>
          <w:rFonts w:ascii="Palatino Linotype" w:eastAsia="Palatino Linotype" w:hAnsi="Palatino Linotype" w:cs="Palatino Linotype"/>
          <w:i/>
        </w:rPr>
        <w:t xml:space="preserve">cha de inicio del proceso electoral de que se trate.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No ser consejera o consejero electoral en el consejo general, del Instituto ni secretario ejecutivo, salvo que se separe del cargo dos años antes de la fecha de inicio del proceso electoral de que se tr</w:t>
      </w:r>
      <w:r>
        <w:rPr>
          <w:rFonts w:ascii="Palatino Linotype" w:eastAsia="Palatino Linotype" w:hAnsi="Palatino Linotype" w:cs="Palatino Linotype"/>
          <w:i/>
        </w:rPr>
        <w:t xml:space="preserve">ate.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w:t>
      </w:r>
      <w:r>
        <w:rPr>
          <w:rFonts w:ascii="Palatino Linotype" w:eastAsia="Palatino Linotype" w:hAnsi="Palatino Linotype" w:cs="Palatino Linotype"/>
          <w:i/>
        </w:rPr>
        <w:t xml:space="preserve">del órgano de dirección de los organismos a los que la Constitución Local otorga autonomía, salvo que se separe del cargo dos años antes de la fecha de inicio del proceso electoral de que se trate; </w:t>
      </w:r>
    </w:p>
    <w:p w:rsidR="00EE4545" w:rsidRDefault="001D2057">
      <w:pPr>
        <w:widowControl w:val="0"/>
        <w:numPr>
          <w:ilvl w:val="0"/>
          <w:numId w:val="6"/>
        </w:numPr>
        <w:tabs>
          <w:tab w:val="left" w:pos="1418"/>
          <w:tab w:val="left" w:pos="1843"/>
        </w:tabs>
        <w:spacing w:after="0" w:line="240" w:lineRule="auto"/>
        <w:ind w:left="1134" w:right="990" w:firstLine="0"/>
        <w:jc w:val="both"/>
        <w:rPr>
          <w:rFonts w:ascii="Palatino Linotype" w:eastAsia="Palatino Linotype" w:hAnsi="Palatino Linotype" w:cs="Palatino Linotype"/>
          <w:i/>
        </w:rPr>
      </w:pPr>
      <w:r>
        <w:rPr>
          <w:rFonts w:ascii="Palatino Linotype" w:eastAsia="Palatino Linotype" w:hAnsi="Palatino Linotype" w:cs="Palatino Linotype"/>
          <w:i/>
        </w:rPr>
        <w:t>No ser secretaria, secretario o subsecretaria o subsecret</w:t>
      </w:r>
      <w:r>
        <w:rPr>
          <w:rFonts w:ascii="Palatino Linotype" w:eastAsia="Palatino Linotype" w:hAnsi="Palatino Linotype" w:cs="Palatino Linotype"/>
          <w:i/>
        </w:rPr>
        <w:t xml:space="preserve">ario de Estado, ni titular de los organismos públicos desconcentrados o descentralizados de la administración pública estatal, a menos que se separen noventa días antes de la elección, y </w:t>
      </w:r>
    </w:p>
    <w:p w:rsidR="00EE4545" w:rsidRDefault="001D2057">
      <w:pPr>
        <w:widowControl w:val="0"/>
        <w:tabs>
          <w:tab w:val="left" w:pos="1418"/>
          <w:tab w:val="left" w:pos="1843"/>
        </w:tabs>
        <w:spacing w:after="0" w:line="240" w:lineRule="auto"/>
        <w:ind w:left="1134" w:right="990"/>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Ser electo o designado candidata o candidato, de conformidad c</w:t>
      </w:r>
      <w:r>
        <w:rPr>
          <w:rFonts w:ascii="Palatino Linotype" w:eastAsia="Palatino Linotype" w:hAnsi="Palatino Linotype" w:cs="Palatino Linotype"/>
          <w:i/>
        </w:rPr>
        <w:t>on los procedimientos democráticos internos del partido político que lo postule” (Sic)</w:t>
      </w:r>
    </w:p>
    <w:p w:rsidR="00EE4545" w:rsidRDefault="00EE4545">
      <w:pPr>
        <w:widowControl w:val="0"/>
        <w:tabs>
          <w:tab w:val="left" w:pos="1701"/>
          <w:tab w:val="left" w:pos="1843"/>
        </w:tabs>
        <w:spacing w:after="0" w:line="360" w:lineRule="auto"/>
        <w:ind w:left="851" w:right="990"/>
        <w:jc w:val="both"/>
        <w:rPr>
          <w:rFonts w:ascii="Palatino Linotype" w:eastAsia="Palatino Linotype" w:hAnsi="Palatino Linotype" w:cs="Palatino Linotype"/>
        </w:rPr>
      </w:pPr>
    </w:p>
    <w:p w:rsidR="00EE4545" w:rsidRDefault="001D2057">
      <w:pPr>
        <w:widowControl w:val="0"/>
        <w:tabs>
          <w:tab w:val="left" w:pos="1701"/>
          <w:tab w:val="left" w:pos="1843"/>
        </w:tabs>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w:t>
      </w:r>
      <w:r>
        <w:rPr>
          <w:rFonts w:ascii="Palatino Linotype" w:eastAsia="Palatino Linotype" w:hAnsi="Palatino Linotype" w:cs="Palatino Linotype"/>
          <w:sz w:val="24"/>
          <w:szCs w:val="24"/>
        </w:rPr>
        <w:lastRenderedPageBreak/>
        <w:t>dispone que una vez rendidos los informes de los ayuntamientos en funciones, prev</w:t>
      </w:r>
      <w:r>
        <w:rPr>
          <w:rFonts w:ascii="Palatino Linotype" w:eastAsia="Palatino Linotype" w:hAnsi="Palatino Linotype" w:cs="Palatino Linotype"/>
          <w:sz w:val="24"/>
          <w:szCs w:val="24"/>
        </w:rPr>
        <w:t xml:space="preserve">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regidores</w:t>
      </w:r>
      <w:r>
        <w:rPr>
          <w:rFonts w:ascii="Palatino Linotype" w:eastAsia="Palatino Linotype" w:hAnsi="Palatino Linotype" w:cs="Palatino Linotype"/>
          <w:sz w:val="24"/>
          <w:szCs w:val="24"/>
        </w:rPr>
        <w:t xml:space="preserve">, sin que dicho plazo exceda el mes de diciembre </w:t>
      </w:r>
      <w:r>
        <w:rPr>
          <w:rFonts w:ascii="Palatino Linotype" w:eastAsia="Palatino Linotype" w:hAnsi="Palatino Linotype" w:cs="Palatino Linotype"/>
          <w:sz w:val="24"/>
          <w:szCs w:val="24"/>
        </w:rPr>
        <w:t xml:space="preserve">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w:t>
      </w:r>
      <w:r>
        <w:rPr>
          <w:rFonts w:ascii="Palatino Linotype" w:eastAsia="Palatino Linotype" w:hAnsi="Palatino Linotype" w:cs="Palatino Linotype"/>
          <w:b/>
          <w:sz w:val="24"/>
          <w:szCs w:val="24"/>
        </w:rPr>
        <w:t>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el Ejecutivo del Estado y a su vez, hará de inmediato lo 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EE4545" w:rsidRDefault="001D205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ostentan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requeridos por la persona solicitante,  tal y como lo manifestó la Directora de Administración,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de facto n</w:t>
      </w:r>
      <w:r>
        <w:rPr>
          <w:rFonts w:ascii="Palatino Linotype" w:eastAsia="Palatino Linotype" w:hAnsi="Palatino Linotype" w:cs="Palatino Linotype"/>
          <w:sz w:val="24"/>
          <w:szCs w:val="24"/>
        </w:rPr>
        <w:t>o sería posible entregar la información solicitada.</w:t>
      </w:r>
    </w:p>
    <w:p w:rsidR="00EE4545" w:rsidRDefault="001D205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se reitera que los Sujetos Obligados no están constreñidos a generar </w:t>
      </w:r>
      <w:r>
        <w:rPr>
          <w:rFonts w:ascii="Palatino Linotype" w:eastAsia="Palatino Linotype" w:hAnsi="Palatino Linotype" w:cs="Palatino Linotype"/>
          <w:sz w:val="24"/>
          <w:szCs w:val="24"/>
        </w:rPr>
        <w:lastRenderedPageBreak/>
        <w:t>documento ad hoc para satisfacer el derecho de acceso a la información, situación que contravendría al contenido sust</w:t>
      </w:r>
      <w:r>
        <w:rPr>
          <w:rFonts w:ascii="Palatino Linotype" w:eastAsia="Palatino Linotype" w:hAnsi="Palatino Linotype" w:cs="Palatino Linotype"/>
          <w:sz w:val="24"/>
          <w:szCs w:val="24"/>
        </w:rPr>
        <w:t xml:space="preserve">antivo del derecho de acceso a la información pública, sirviendo de sustento a este argumento el Criterio 03-17, emitido por el Instituto Nacional de Transparencia, Acceso a la Información y Protección de Datos Personales (INAI), que versa de la siguiente </w:t>
      </w:r>
      <w:r>
        <w:rPr>
          <w:rFonts w:ascii="Palatino Linotype" w:eastAsia="Palatino Linotype" w:hAnsi="Palatino Linotype" w:cs="Palatino Linotype"/>
          <w:sz w:val="24"/>
          <w:szCs w:val="24"/>
        </w:rPr>
        <w:t xml:space="preserve">manera: </w:t>
      </w:r>
    </w:p>
    <w:p w:rsidR="00EE4545" w:rsidRDefault="001D2057">
      <w:pPr>
        <w:spacing w:after="0" w:line="240" w:lineRule="auto"/>
        <w:ind w:left="851" w:right="99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w:t>
      </w:r>
      <w:r>
        <w:rPr>
          <w:rFonts w:ascii="Palatino Linotype" w:eastAsia="Palatino Linotype" w:hAnsi="Palatino Linotype" w:cs="Palatino Linotype"/>
          <w:i/>
        </w:rPr>
        <w:t>rencia y Acceso a la Información Pública, señalan que los sujetos obligados deberán otorgar acceso a los documentos que se encuentren en sus archivos o que estén obligados a documentar, de acuerdo con sus facultades, competencias o funciones, conforme a la</w:t>
      </w:r>
      <w:r>
        <w:rPr>
          <w:rFonts w:ascii="Palatino Linotype" w:eastAsia="Palatino Linotype" w:hAnsi="Palatino Linotype" w:cs="Palatino Linotype"/>
          <w:i/>
        </w:rPr>
        <w:t xml:space="preserve">s características físicas de la información o del lugar donde se encuentre. Por lo anterior, los sujetos obligados deben garantizar el derecho de acceso a la información del particular, proporcionando la información con la que cuentan en el formato en que </w:t>
      </w:r>
      <w:r>
        <w:rPr>
          <w:rFonts w:ascii="Palatino Linotype" w:eastAsia="Palatino Linotype" w:hAnsi="Palatino Linotype" w:cs="Palatino Linotype"/>
          <w:i/>
        </w:rPr>
        <w:t>la misma obre en sus archivos; sin necesidad de elaborar documentos ad hoc para atender las solicitudes de información.”</w:t>
      </w:r>
    </w:p>
    <w:p w:rsidR="00EE4545" w:rsidRDefault="001D2057">
      <w:pPr>
        <w:spacing w:before="240" w:after="240" w:line="360" w:lineRule="auto"/>
        <w:ind w:right="-3"/>
        <w:jc w:val="both"/>
        <w:rPr>
          <w:rFonts w:ascii="Palatino Linotype" w:eastAsia="Palatino Linotype" w:hAnsi="Palatino Linotype" w:cs="Palatino Linotype"/>
          <w:sz w:val="24"/>
          <w:szCs w:val="24"/>
        </w:rPr>
        <w:sectPr w:rsidR="00EE4545">
          <w:headerReference w:type="even" r:id="rId10"/>
          <w:headerReference w:type="default" r:id="rId11"/>
          <w:footerReference w:type="default" r:id="rId12"/>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 xml:space="preserve">Lo anterior expone razones suficientes para la emisión y presentación del presente </w:t>
      </w:r>
      <w:r>
        <w:rPr>
          <w:rFonts w:ascii="Palatino Linotype" w:eastAsia="Palatino Linotype" w:hAnsi="Palatino Linotype" w:cs="Palatino Linotype"/>
          <w:b/>
          <w:sz w:val="24"/>
          <w:szCs w:val="24"/>
        </w:rPr>
        <w:t xml:space="preserve">Voto Particular Concurrente, </w:t>
      </w:r>
      <w:r>
        <w:rPr>
          <w:rFonts w:ascii="Palatino Linotype" w:eastAsia="Palatino Linotype" w:hAnsi="Palatino Linotype" w:cs="Palatino Linotype"/>
          <w:sz w:val="24"/>
          <w:szCs w:val="24"/>
        </w:rPr>
        <w:t>relacionado con la resolución del Recurso de Revisión referido.</w:t>
      </w:r>
      <w:bookmarkStart w:id="2" w:name="_GoBack"/>
      <w:bookmarkEnd w:id="2"/>
    </w:p>
    <w:p w:rsidR="00EE4545" w:rsidRDefault="00EE4545">
      <w:pPr>
        <w:spacing w:before="240" w:after="240" w:line="360" w:lineRule="auto"/>
        <w:ind w:right="423"/>
        <w:jc w:val="both"/>
        <w:rPr>
          <w:rFonts w:ascii="Palatino Linotype" w:eastAsia="Palatino Linotype" w:hAnsi="Palatino Linotype" w:cs="Palatino Linotype"/>
        </w:rPr>
      </w:pPr>
    </w:p>
    <w:sectPr w:rsidR="00EE4545">
      <w:headerReference w:type="default" r:id="rId13"/>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2057">
      <w:pPr>
        <w:spacing w:after="0" w:line="240" w:lineRule="auto"/>
      </w:pPr>
      <w:r>
        <w:separator/>
      </w:r>
    </w:p>
  </w:endnote>
  <w:endnote w:type="continuationSeparator" w:id="0">
    <w:p w:rsidR="00000000" w:rsidRDefault="001D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45" w:rsidRDefault="001D205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901DDB">
      <w:rPr>
        <w:rFonts w:ascii="Arial" w:eastAsia="Arial" w:hAnsi="Arial" w:cs="Arial"/>
        <w:b/>
        <w:color w:val="000000"/>
        <w:sz w:val="20"/>
        <w:szCs w:val="20"/>
      </w:rPr>
      <w:fldChar w:fldCharType="separate"/>
    </w:r>
    <w:r>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901DDB">
      <w:rPr>
        <w:rFonts w:ascii="Arial" w:eastAsia="Arial" w:hAnsi="Arial" w:cs="Arial"/>
        <w:b/>
        <w:color w:val="000000"/>
        <w:sz w:val="20"/>
        <w:szCs w:val="20"/>
      </w:rPr>
      <w:fldChar w:fldCharType="separate"/>
    </w:r>
    <w:r>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EE4545" w:rsidRDefault="00EE454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2057">
      <w:pPr>
        <w:spacing w:after="0" w:line="240" w:lineRule="auto"/>
      </w:pPr>
      <w:r>
        <w:separator/>
      </w:r>
    </w:p>
  </w:footnote>
  <w:footnote w:type="continuationSeparator" w:id="0">
    <w:p w:rsidR="00000000" w:rsidRDefault="001D2057">
      <w:pPr>
        <w:spacing w:after="0" w:line="240" w:lineRule="auto"/>
      </w:pPr>
      <w:r>
        <w:continuationSeparator/>
      </w:r>
    </w:p>
  </w:footnote>
  <w:footnote w:id="1">
    <w:p w:rsidR="00EE4545" w:rsidRDefault="001D205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w:t>
      </w:r>
      <w:r>
        <w:rPr>
          <w:rFonts w:ascii="Palatino Linotype" w:eastAsia="Palatino Linotype" w:hAnsi="Palatino Linotype" w:cs="Palatino Linotype"/>
          <w:color w:val="000000"/>
          <w:sz w:val="16"/>
          <w:szCs w:val="16"/>
        </w:rPr>
        <w:t>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45" w:rsidRDefault="001D205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15055620" cy="15055620"/>
              <wp:effectExtent l="0" t="0" r="0" b="0"/>
              <wp:wrapNone/>
              <wp:docPr id="21"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EE4545" w:rsidRDefault="001D2057">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5055620" cy="15055620"/>
              <wp:effectExtent b="0" l="0" r="0" t="0"/>
              <wp:wrapNone/>
              <wp:docPr id="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055620" cy="1505562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45" w:rsidRDefault="001D205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-1115056</wp:posOffset>
          </wp:positionH>
          <wp:positionV relativeFrom="paragraph">
            <wp:posOffset>-433700</wp:posOffset>
          </wp:positionV>
          <wp:extent cx="7510628" cy="988377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EE4545" w:rsidRDefault="00EE45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E4545" w:rsidRDefault="00EE45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E4545" w:rsidRDefault="001D205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CONCURRENTE </w:t>
    </w:r>
  </w:p>
  <w:p w:rsidR="00EE4545" w:rsidRDefault="001D205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01165/IN</w:t>
    </w:r>
    <w:r>
      <w:rPr>
        <w:rFonts w:ascii="Palatino Linotype" w:eastAsia="Palatino Linotype" w:hAnsi="Palatino Linotype" w:cs="Palatino Linotype"/>
        <w:b/>
        <w:color w:val="000000"/>
        <w:sz w:val="20"/>
        <w:szCs w:val="20"/>
      </w:rPr>
      <w:t xml:space="preserve">FOEM/IP/RR/2023 </w:t>
    </w:r>
  </w:p>
  <w:p w:rsidR="00EE4545" w:rsidRDefault="00EE45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45" w:rsidRDefault="00EE45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E4545" w:rsidRDefault="00EE45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E4545" w:rsidRDefault="00EE45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EE4545" w:rsidRDefault="00EE45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40FA"/>
    <w:multiLevelType w:val="multilevel"/>
    <w:tmpl w:val="D9C89186"/>
    <w:lvl w:ilvl="0">
      <w:start w:val="4"/>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A7B2723"/>
    <w:multiLevelType w:val="multilevel"/>
    <w:tmpl w:val="606468B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1459A5"/>
    <w:multiLevelType w:val="multilevel"/>
    <w:tmpl w:val="B714260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nsid w:val="324300F6"/>
    <w:multiLevelType w:val="multilevel"/>
    <w:tmpl w:val="F25C456C"/>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F9C012A"/>
    <w:multiLevelType w:val="multilevel"/>
    <w:tmpl w:val="CE9CF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8F3663"/>
    <w:multiLevelType w:val="multilevel"/>
    <w:tmpl w:val="5CBE4C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56A59B1"/>
    <w:multiLevelType w:val="multilevel"/>
    <w:tmpl w:val="624C65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45"/>
    <w:rsid w:val="001772B5"/>
    <w:rsid w:val="001D2057"/>
    <w:rsid w:val="00901DDB"/>
    <w:rsid w:val="00EE4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37AF9-8528-4BC1-AA72-455FA45C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itas">
    <w:name w:val="Citas"/>
    <w:basedOn w:val="Normal"/>
    <w:qFormat/>
    <w:rsid w:val="006D308B"/>
    <w:pPr>
      <w:spacing w:before="240" w:line="360" w:lineRule="auto"/>
      <w:ind w:left="851" w:right="851"/>
      <w:jc w:val="both"/>
    </w:pPr>
    <w:rPr>
      <w:rFonts w:ascii="Palatino Linotype" w:eastAsiaTheme="minorHAnsi" w:hAnsi="Palatino Linotype" w:cs="Arial"/>
      <w: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enancingo.gob.mx/gaceta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AyuntamientoDeTenancingo20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K7TWCOWgBG9lu+1nnfIodaHIg==">CgMxLjAyCGguZ2pkZ3hzMg5oLnRrejl6MHh5a2pyODgAciExd1RUUHprX1FST25Hallrak96enRjbS1zcWprcE9jcVI=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2646</Words>
  <Characters>14553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INFOEM509</cp:lastModifiedBy>
  <cp:revision>4</cp:revision>
  <cp:lastPrinted>2023-12-04T21:57:00Z</cp:lastPrinted>
  <dcterms:created xsi:type="dcterms:W3CDTF">2023-12-04T03:25:00Z</dcterms:created>
  <dcterms:modified xsi:type="dcterms:W3CDTF">2023-12-04T22:02:00Z</dcterms:modified>
</cp:coreProperties>
</file>