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83F" w:rsidRDefault="00B74081">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DÉCIMA TERCERA SESIÓN ORDINARIA DEL DOCE DE ABRIL DE DOS MIL VEINTITRÉS, EN EL RECURSO DE REVISIÓN 15745/INFOEM/IP/RR/2022. </w:t>
      </w:r>
    </w:p>
    <w:p w:rsidR="005E583F" w:rsidRDefault="00B74081">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15745/INFOEM/IP/RR/2022 </w:t>
      </w:r>
      <w:r>
        <w:rPr>
          <w:rFonts w:ascii="Palatino Linotype" w:eastAsia="Palatino Linotype" w:hAnsi="Palatino Linotype" w:cs="Palatino Linotype"/>
          <w:sz w:val="24"/>
          <w:szCs w:val="24"/>
        </w:rPr>
        <w:t>pronunciada por el Pleno de este Instituto ante el proyecto presentado por el Comisionado Presidente José Martínez Vilchis , el cual se formuló, conforme al tenor siguiente:</w:t>
      </w:r>
    </w:p>
    <w:p w:rsidR="005E583F" w:rsidRDefault="00B74081">
      <w:pPr>
        <w:numPr>
          <w:ilvl w:val="0"/>
          <w:numId w:val="8"/>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5E583F" w:rsidRDefault="00B7408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de los apoyos otorgados por todas las dependencias, del primero de enero al diecinueve de septiembre de dos mil veintitrés, la siguiente información: </w:t>
      </w:r>
    </w:p>
    <w:p w:rsidR="005E583F" w:rsidRDefault="00B74081">
      <w:pPr>
        <w:numPr>
          <w:ilvl w:val="3"/>
          <w:numId w:val="8"/>
        </w:numPr>
        <w:pBdr>
          <w:top w:val="nil"/>
          <w:left w:val="nil"/>
          <w:bottom w:val="nil"/>
          <w:right w:val="nil"/>
          <w:between w:val="nil"/>
        </w:pBdr>
        <w:spacing w:before="240" w:after="0" w:line="360" w:lineRule="auto"/>
        <w:ind w:left="851" w:hanging="28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Relación de beneficiarios;  </w:t>
      </w:r>
    </w:p>
    <w:p w:rsidR="005E583F" w:rsidRDefault="00B74081">
      <w:pPr>
        <w:numPr>
          <w:ilvl w:val="3"/>
          <w:numId w:val="8"/>
        </w:numPr>
        <w:pBdr>
          <w:top w:val="nil"/>
          <w:left w:val="nil"/>
          <w:bottom w:val="nil"/>
          <w:right w:val="nil"/>
          <w:between w:val="nil"/>
        </w:pBdr>
        <w:spacing w:after="0" w:line="360" w:lineRule="auto"/>
        <w:ind w:left="851" w:hanging="28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Descripción o monto del apoyo;</w:t>
      </w:r>
    </w:p>
    <w:p w:rsidR="005E583F" w:rsidRDefault="00B74081">
      <w:pPr>
        <w:numPr>
          <w:ilvl w:val="3"/>
          <w:numId w:val="8"/>
        </w:numPr>
        <w:pBdr>
          <w:top w:val="nil"/>
          <w:left w:val="nil"/>
          <w:bottom w:val="nil"/>
          <w:right w:val="nil"/>
          <w:between w:val="nil"/>
        </w:pBdr>
        <w:spacing w:after="0" w:line="360" w:lineRule="auto"/>
        <w:ind w:left="851" w:hanging="28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Fondo o programa con el que se cubrió; y, </w:t>
      </w:r>
    </w:p>
    <w:p w:rsidR="005E583F" w:rsidRDefault="00B74081">
      <w:pPr>
        <w:numPr>
          <w:ilvl w:val="3"/>
          <w:numId w:val="8"/>
        </w:numPr>
        <w:pBdr>
          <w:top w:val="nil"/>
          <w:left w:val="nil"/>
          <w:bottom w:val="nil"/>
          <w:right w:val="nil"/>
          <w:between w:val="nil"/>
        </w:pBdr>
        <w:spacing w:after="240" w:line="360" w:lineRule="auto"/>
        <w:ind w:left="851" w:hanging="28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Póliza contable y la documentación soporte. </w:t>
      </w:r>
    </w:p>
    <w:p w:rsidR="005E583F" w:rsidRDefault="00B7408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presentado el requerimiento,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respondió a la solicitud,  en los términos siguientes: </w:t>
      </w:r>
    </w:p>
    <w:p w:rsidR="005E583F" w:rsidRDefault="00B74081">
      <w:pPr>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anexa la respuesta correspondiente emitida por los servidores públicos habilitados competentes. · Se anexa padrón de beneficiarios de INAPAM. PDF · Se anexa Acta del Comité de Transparencia. PDF · Se anexa padrón de beneficiarios de la Jefatura de Procuración de Fondos. PDF · Se anexa padrón de beneficiarios de la Coordinación de Nutricionales. PDF · Se anexa padrón de beneficiarios de la Coordinación de Horta – DIF. PDF · Se anexa lista de apoyos entregados por Tesorería. PDF Sin más quedo de usted” (Sic).</w:t>
      </w:r>
    </w:p>
    <w:p w:rsidR="005E583F" w:rsidRDefault="005E583F">
      <w:pPr>
        <w:spacing w:after="0" w:line="276" w:lineRule="auto"/>
        <w:ind w:left="567" w:right="567"/>
        <w:jc w:val="both"/>
        <w:rPr>
          <w:rFonts w:ascii="Palatino Linotype" w:eastAsia="Palatino Linotype" w:hAnsi="Palatino Linotype" w:cs="Palatino Linotype"/>
          <w:i/>
          <w:color w:val="000000"/>
        </w:rPr>
      </w:pPr>
    </w:p>
    <w:p w:rsidR="005E583F" w:rsidRDefault="00B7408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manifestado como motivo de inconformidad, lo siguiente: </w:t>
      </w:r>
    </w:p>
    <w:p w:rsidR="005E583F" w:rsidRDefault="00B74081">
      <w:pP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“Falta monto del apoyo y el fondo o programa con que se cubrió, así como la póliza contable y la documentación soporte ejemplo en el Programa Padrón Procuración de Fondos mencionan sillas estándar, andaderas, bastones, muletas láminas de los cuales no hacen mención de monto del apoyo y el fondo o programa con que se cubrió, así como la póliza contable y la documentación soporte Por otra parte el nombre de los programas es confuso como el de DEF, DEC y HORTA DIF no es especifico de que trata el programa y no hacen mención de monto del apoyo y el fondo o programa con que se cubrió, así como la póliza contable y la documentación soporte” (Sic).” (Sic)</w:t>
      </w:r>
    </w:p>
    <w:p w:rsidR="005E583F" w:rsidRDefault="005E583F">
      <w:pPr>
        <w:pBdr>
          <w:top w:val="nil"/>
          <w:left w:val="nil"/>
          <w:bottom w:val="nil"/>
          <w:right w:val="nil"/>
          <w:between w:val="nil"/>
        </w:pBdr>
        <w:spacing w:line="360" w:lineRule="auto"/>
        <w:jc w:val="both"/>
        <w:rPr>
          <w:rFonts w:ascii="Palatino Linotype" w:eastAsia="Palatino Linotype" w:hAnsi="Palatino Linotype" w:cs="Palatino Linotype"/>
        </w:rPr>
      </w:pPr>
    </w:p>
    <w:p w:rsidR="005E583F" w:rsidRDefault="00B74081">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interpuesto el recurso de revisión, de las constancias que obran en el expediente en el SAIMEX, se advierte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manifestó medularmente, a través de la Coordinación de Nutricionales que el costo del apoyo del Programa de Desarrollo Social Estado de México Nutrición Escolar, en su Modalidad Desayunos Escolares Fríos y Raciones Vespertinas, así como en su Modalidad Desayunos Calientes es cubierto con recursos propios de Gobierno del Estado de México a través del DIFEM, así como por Recursos Federales transferidos a través del FAM-AS. No podemos dar respuesta a la póliza contable y la documentación soporte, ya que este programa lo cubre DIF Estado de México, nosotros sólo hacemos recepción y dispersión. </w:t>
      </w:r>
    </w:p>
    <w:p w:rsidR="005E583F" w:rsidRDefault="00B74081">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w:t>
      </w:r>
      <w:proofErr w:type="gramStart"/>
      <w:r>
        <w:rPr>
          <w:rFonts w:ascii="Palatino Linotype" w:eastAsia="Palatino Linotype" w:hAnsi="Palatino Linotype" w:cs="Palatino Linotype"/>
          <w:sz w:val="24"/>
          <w:szCs w:val="24"/>
        </w:rPr>
        <w:t>consideró</w:t>
      </w:r>
      <w:proofErr w:type="gramEnd"/>
      <w:r>
        <w:rPr>
          <w:rFonts w:ascii="Palatino Linotype" w:eastAsia="Palatino Linotype" w:hAnsi="Palatino Linotype" w:cs="Palatino Linotype"/>
          <w:sz w:val="24"/>
          <w:szCs w:val="24"/>
        </w:rPr>
        <w:t xml:space="preserve">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resultan parcialmente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5E583F" w:rsidRDefault="00B74081">
      <w:pPr>
        <w:spacing w:after="0" w:line="276" w:lineRule="auto"/>
        <w:ind w:left="851" w:right="706"/>
        <w:rPr>
          <w:rFonts w:ascii="Palatino Linotype" w:eastAsia="Palatino Linotype" w:hAnsi="Palatino Linotype" w:cs="Palatino Linotype"/>
          <w:b/>
          <w:i/>
        </w:rPr>
      </w:pPr>
      <w:bookmarkStart w:id="1" w:name="_heading=h.30j0zll" w:colFirst="0" w:colLast="0"/>
      <w:bookmarkEnd w:id="1"/>
      <w:r>
        <w:rPr>
          <w:rFonts w:ascii="Palatino Linotype" w:eastAsia="Palatino Linotype" w:hAnsi="Palatino Linotype" w:cs="Palatino Linotype"/>
          <w:b/>
          <w:i/>
        </w:rPr>
        <w:t>“…</w:t>
      </w:r>
    </w:p>
    <w:p w:rsidR="005E583F" w:rsidRDefault="00B74081">
      <w:pPr>
        <w:spacing w:before="24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SEGUNDO.</w:t>
      </w:r>
      <w:r>
        <w:rPr>
          <w:rFonts w:ascii="Palatino Linotype" w:eastAsia="Palatino Linotype" w:hAnsi="Palatino Linotype" w:cs="Palatino Linotype"/>
          <w:i/>
        </w:rPr>
        <w:t xml:space="preserve"> Se </w:t>
      </w:r>
      <w:r>
        <w:rPr>
          <w:rFonts w:ascii="Palatino Linotype" w:eastAsia="Palatino Linotype" w:hAnsi="Palatino Linotype" w:cs="Palatino Linotype"/>
          <w:b/>
          <w:i/>
        </w:rPr>
        <w:t>ORDENA</w:t>
      </w:r>
      <w:r>
        <w:rPr>
          <w:rFonts w:ascii="Palatino Linotype" w:eastAsia="Palatino Linotype" w:hAnsi="Palatino Linotype" w:cs="Palatino Linotype"/>
          <w:i/>
        </w:rPr>
        <w:t xml:space="preserve"> al </w:t>
      </w:r>
      <w:r>
        <w:rPr>
          <w:rFonts w:ascii="Palatino Linotype" w:eastAsia="Palatino Linotype" w:hAnsi="Palatino Linotype" w:cs="Palatino Linotype"/>
          <w:b/>
          <w:i/>
        </w:rPr>
        <w:t>SUJETO OBLIGADO</w:t>
      </w:r>
      <w:r>
        <w:rPr>
          <w:rFonts w:ascii="Palatino Linotype" w:eastAsia="Palatino Linotype" w:hAnsi="Palatino Linotype" w:cs="Palatino Linotype"/>
          <w:i/>
        </w:rPr>
        <w:t xml:space="preserve"> haga entrega al</w:t>
      </w:r>
      <w:r>
        <w:rPr>
          <w:rFonts w:ascii="Palatino Linotype" w:eastAsia="Palatino Linotype" w:hAnsi="Palatino Linotype" w:cs="Palatino Linotype"/>
          <w:b/>
          <w:i/>
        </w:rPr>
        <w:t xml:space="preserve"> RECURRENTE </w:t>
      </w:r>
      <w:r>
        <w:rPr>
          <w:rFonts w:ascii="Palatino Linotype" w:eastAsia="Palatino Linotype" w:hAnsi="Palatino Linotype" w:cs="Palatino Linotype"/>
          <w:i/>
        </w:rPr>
        <w:t xml:space="preserve">en términos del Considerando </w:t>
      </w:r>
      <w:r>
        <w:rPr>
          <w:rFonts w:ascii="Palatino Linotype" w:eastAsia="Palatino Linotype" w:hAnsi="Palatino Linotype" w:cs="Palatino Linotype"/>
          <w:b/>
          <w:i/>
        </w:rPr>
        <w:t xml:space="preserve">CUARTO </w:t>
      </w:r>
      <w:r>
        <w:rPr>
          <w:rFonts w:ascii="Palatino Linotype" w:eastAsia="Palatino Linotype" w:hAnsi="Palatino Linotype" w:cs="Palatino Linotype"/>
          <w:i/>
        </w:rPr>
        <w:t>de esta resolución</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a través del Sistema de Acceso a la Información Mexiquense </w:t>
      </w:r>
      <w:r>
        <w:rPr>
          <w:rFonts w:ascii="Palatino Linotype" w:eastAsia="Palatino Linotype" w:hAnsi="Palatino Linotype" w:cs="Palatino Linotype"/>
          <w:b/>
          <w:i/>
        </w:rPr>
        <w:t xml:space="preserve">(SAIMEX), </w:t>
      </w:r>
      <w:r>
        <w:rPr>
          <w:rFonts w:ascii="Palatino Linotype" w:eastAsia="Palatino Linotype" w:hAnsi="Palatino Linotype" w:cs="Palatino Linotype"/>
          <w:i/>
        </w:rPr>
        <w:t xml:space="preserve">en versión pública de lo siguiente: </w:t>
      </w:r>
    </w:p>
    <w:p w:rsidR="005E583F" w:rsidRDefault="00B74081">
      <w:pPr>
        <w:numPr>
          <w:ilvl w:val="0"/>
          <w:numId w:val="9"/>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bookmarkStart w:id="2" w:name="_heading=h.1fob9te" w:colFirst="0" w:colLast="0"/>
      <w:bookmarkEnd w:id="2"/>
      <w:r>
        <w:rPr>
          <w:rFonts w:ascii="Palatino Linotype" w:eastAsia="Palatino Linotype" w:hAnsi="Palatino Linotype" w:cs="Palatino Linotype"/>
          <w:i/>
          <w:color w:val="000000"/>
        </w:rPr>
        <w:t>El Acuerdo que emita el Comité de Transparencia en el que se confirme la declaración de incompetencia del Sujeto Obligado respecto de la póliza contable y/o soporte documental, del periodo comprendido del uno de enero al diecinueve de septiembre de dos mil veintidós, de los siguientes programas y/o sus equivalentes:</w:t>
      </w:r>
    </w:p>
    <w:p w:rsidR="005E583F" w:rsidRDefault="00B74081">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Desayunos Escolares Fríos y raciones vespertinas</w:t>
      </w:r>
    </w:p>
    <w:p w:rsidR="005E583F" w:rsidRDefault="00B74081">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Desayunos Escolares Calientes </w:t>
      </w:r>
    </w:p>
    <w:p w:rsidR="005E583F" w:rsidRDefault="00B74081">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Programa de procuración de fondos (laminas)</w:t>
      </w:r>
    </w:p>
    <w:p w:rsidR="005E583F" w:rsidRDefault="00B74081">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Entrega de paquetes de hortaliza para el establecimiento de huertos</w:t>
      </w:r>
    </w:p>
    <w:p w:rsidR="005E583F" w:rsidRDefault="00B74081">
      <w:pPr>
        <w:numPr>
          <w:ilvl w:val="0"/>
          <w:numId w:val="9"/>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Póliza contable y/o soporte documental del Programa de credencialización INAPAM o equivalente, del periodo comprendido del uno de enero al diecinueve de septiembre de dos mil veintidós. </w:t>
      </w:r>
    </w:p>
    <w:p w:rsidR="005E583F" w:rsidRDefault="00B74081">
      <w:pPr>
        <w:numPr>
          <w:ilvl w:val="0"/>
          <w:numId w:val="9"/>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Póliza contable y/o soporte documental soporte respecto del Programa de procuración de fondos (andaderas, bastón, muletas, sillas, apoyo funerario, otros) y/o equivalente, correspondiente al primer y segundo trimestres del ejercicio dos mil veintidós. </w:t>
      </w:r>
    </w:p>
    <w:p w:rsidR="005E583F" w:rsidRDefault="00B74081">
      <w:pPr>
        <w:pBdr>
          <w:top w:val="nil"/>
          <w:left w:val="nil"/>
          <w:bottom w:val="nil"/>
          <w:right w:val="nil"/>
          <w:between w:val="nil"/>
        </w:pBdr>
        <w:spacing w:before="240"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referencia al numeral 2, una vez realizada la búsqueda exhaustiva y razonable para el caso de no contar con la información resulta procedente ordenar acuerdo de incompetencia. </w:t>
      </w:r>
    </w:p>
    <w:p w:rsidR="005E583F" w:rsidRDefault="00B74081">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5E583F" w:rsidRDefault="005E583F">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p>
    <w:p w:rsidR="005E583F" w:rsidRDefault="005E583F">
      <w:pPr>
        <w:pBdr>
          <w:top w:val="nil"/>
          <w:left w:val="nil"/>
          <w:bottom w:val="nil"/>
          <w:right w:val="nil"/>
          <w:between w:val="nil"/>
        </w:pBdr>
        <w:spacing w:after="0" w:line="240" w:lineRule="auto"/>
        <w:ind w:left="851"/>
        <w:jc w:val="both"/>
        <w:rPr>
          <w:color w:val="000000"/>
        </w:rPr>
      </w:pPr>
    </w:p>
    <w:p w:rsidR="005E583F" w:rsidRDefault="00B74081">
      <w:pPr>
        <w:numPr>
          <w:ilvl w:val="0"/>
          <w:numId w:val="8"/>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particular.</w:t>
      </w:r>
    </w:p>
    <w:p w:rsidR="005E583F" w:rsidRDefault="00B74081">
      <w:pPr>
        <w:spacing w:before="12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de forma parcial el sentido de la reso</w:t>
      </w:r>
      <w:r w:rsidR="000A34AA">
        <w:rPr>
          <w:rFonts w:ascii="Palatino Linotype" w:eastAsia="Palatino Linotype" w:hAnsi="Palatino Linotype" w:cs="Palatino Linotype"/>
          <w:sz w:val="24"/>
          <w:szCs w:val="24"/>
        </w:rPr>
        <w:t xml:space="preserve">lución, específicamente, sobre la información que se ordena en los numerales 1 y 2 del resolutivo segundo, relativos a: </w:t>
      </w:r>
    </w:p>
    <w:p w:rsidR="000A34AA" w:rsidRDefault="000A34AA" w:rsidP="000A34AA">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1. El Acuerdo que emita el Comité de Transparencia en el que se confirme la declaración de incompetencia del Sujeto Obligado respecto de la póliza contable y/o soporte documental, del periodo comprendido del uno de enero al diecinueve de septiembre de dos mil veintidós, de los siguientes programas y/o sus equivalentes:</w:t>
      </w:r>
    </w:p>
    <w:p w:rsidR="000A34AA" w:rsidRDefault="000A34AA" w:rsidP="000A34AA">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Desayunos Escolares Fríos y raciones vespertinas</w:t>
      </w:r>
    </w:p>
    <w:p w:rsidR="000A34AA" w:rsidRDefault="000A34AA" w:rsidP="000A34AA">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Desayunos Escolares Calientes </w:t>
      </w:r>
    </w:p>
    <w:p w:rsidR="000A34AA" w:rsidRDefault="000A34AA" w:rsidP="000A34AA">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Programa de procuración de fondos (laminas)</w:t>
      </w:r>
    </w:p>
    <w:p w:rsidR="000A34AA" w:rsidRDefault="000A34AA" w:rsidP="000A34AA">
      <w:pPr>
        <w:numPr>
          <w:ilvl w:val="0"/>
          <w:numId w:val="1"/>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Entrega de paquetes de hortaliza para el establecimiento de huertos</w:t>
      </w:r>
    </w:p>
    <w:p w:rsidR="000A34AA" w:rsidRPr="000A34AA" w:rsidRDefault="00EE674A" w:rsidP="00EE674A">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2. </w:t>
      </w:r>
      <w:r w:rsidR="000A34AA" w:rsidRPr="000A34AA">
        <w:rPr>
          <w:rFonts w:ascii="Palatino Linotype" w:eastAsia="Palatino Linotype" w:hAnsi="Palatino Linotype" w:cs="Palatino Linotype"/>
          <w:i/>
          <w:color w:val="000000"/>
        </w:rPr>
        <w:t xml:space="preserve">Póliza contable y/o soporte documental del Programa de credencialización INAPAM o equivalente, del periodo comprendido del uno de enero al diecinueve de septiembre de dos mil veintidós. </w:t>
      </w:r>
    </w:p>
    <w:p w:rsidR="000A34AA" w:rsidRDefault="000A34AA">
      <w:pPr>
        <w:spacing w:before="120" w:line="360" w:lineRule="auto"/>
        <w:ind w:right="139"/>
        <w:jc w:val="both"/>
        <w:rPr>
          <w:rFonts w:ascii="Palatino Linotype" w:eastAsia="Palatino Linotype" w:hAnsi="Palatino Linotype" w:cs="Palatino Linotype"/>
          <w:sz w:val="24"/>
          <w:szCs w:val="24"/>
        </w:rPr>
      </w:pPr>
    </w:p>
    <w:p w:rsidR="005E583F" w:rsidRDefault="00B74081">
      <w:pPr>
        <w:numPr>
          <w:ilvl w:val="0"/>
          <w:numId w:val="4"/>
        </w:numPr>
        <w:pBdr>
          <w:top w:val="nil"/>
          <w:left w:val="nil"/>
          <w:bottom w:val="nil"/>
          <w:right w:val="nil"/>
          <w:between w:val="nil"/>
        </w:pBdr>
        <w:tabs>
          <w:tab w:val="left" w:pos="142"/>
          <w:tab w:val="left" w:pos="284"/>
        </w:tabs>
        <w:spacing w:before="240" w:after="240" w:line="360" w:lineRule="auto"/>
        <w:ind w:right="13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Del acuerdo de incompetencia </w:t>
      </w:r>
    </w:p>
    <w:p w:rsidR="005E583F" w:rsidRDefault="00B74081">
      <w:pPr>
        <w:tabs>
          <w:tab w:val="left" w:pos="142"/>
          <w:tab w:val="left" w:pos="284"/>
        </w:tabs>
        <w:spacing w:before="240" w:after="240" w:line="360" w:lineRule="auto"/>
        <w:ind w:left="360" w:right="139"/>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la Declaración de Incompetencia la Ley de Transparencia y Acceso a la Información Pública del Estado de México, establece, en los artículos 49, fracción II y 167, lo siguiente: </w:t>
      </w:r>
    </w:p>
    <w:p w:rsidR="005E583F" w:rsidRDefault="00B74081">
      <w:pPr>
        <w:tabs>
          <w:tab w:val="left" w:pos="142"/>
          <w:tab w:val="left" w:pos="284"/>
        </w:tabs>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5E583F" w:rsidRDefault="00B74081">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5E583F" w:rsidRDefault="00B74081">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5E583F" w:rsidRDefault="00B74081">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5E583F" w:rsidRDefault="00B74081">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5E583F" w:rsidRDefault="005E583F">
      <w:pPr>
        <w:spacing w:before="120" w:after="120" w:line="240" w:lineRule="auto"/>
        <w:ind w:left="851" w:right="902"/>
        <w:jc w:val="both"/>
        <w:rPr>
          <w:rFonts w:ascii="Palatino Linotype" w:eastAsia="Palatino Linotype" w:hAnsi="Palatino Linotype" w:cs="Palatino Linotype"/>
        </w:rPr>
      </w:pPr>
    </w:p>
    <w:p w:rsidR="005E583F" w:rsidRDefault="00B74081">
      <w:pPr>
        <w:tabs>
          <w:tab w:val="left" w:pos="142"/>
          <w:tab w:val="left" w:pos="284"/>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 xml:space="preserve">De los preceptos citados se desprende que es atribución del Comité de Transparencia confirmar, modificar o revocar, en su caso, la declaración de incompetencia, </w:t>
      </w:r>
      <w:r>
        <w:rPr>
          <w:rFonts w:ascii="Palatino Linotype" w:eastAsia="Palatino Linotype" w:hAnsi="Palatino Linotype" w:cs="Palatino Linotype"/>
          <w:b/>
          <w:sz w:val="24"/>
          <w:szCs w:val="24"/>
        </w:rPr>
        <w:t xml:space="preserve">en aquellos casos en los que no se trate de una notoria incompetencia. </w:t>
      </w:r>
    </w:p>
    <w:p w:rsidR="005E583F" w:rsidRDefault="00B74081">
      <w:pPr>
        <w:tabs>
          <w:tab w:val="left" w:pos="142"/>
          <w:tab w:val="left" w:pos="284"/>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 </w:t>
      </w:r>
    </w:p>
    <w:p w:rsidR="005E583F" w:rsidRDefault="00B74081">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5E583F" w:rsidRDefault="00B74081">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Como sustento de lo anterior, resulta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5E583F" w:rsidRDefault="00B74081">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5E583F" w:rsidRDefault="00B74081">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w:t>
      </w:r>
      <w:r>
        <w:rPr>
          <w:rFonts w:ascii="Palatino Linotype" w:eastAsia="Palatino Linotype" w:hAnsi="Palatino Linotype" w:cs="Palatino Linotype"/>
          <w:i/>
        </w:rPr>
        <w:lastRenderedPageBreak/>
        <w:t>generar la información requerida; lo anterior, sin perjuicio de que pueda gestionar la colaboración de otro Sujeto Obligado competente para atender la solicitud.”</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la Ponencia que resolvió a partir de un cuadro de análisis que el Sujeto Obligado atendió parcialmente el punto relativo a Desayuno Escolar Frio y Raciones Vespertinas (DEF) toda vez no colmó el requerimiento consistente en la póliza contable y/o documento soporte, al no haber remitido el acuerdo de incompetencia, tal como se advierte en la siguiente imagen: </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5669280" cy="3683635"/>
            <wp:effectExtent l="0" t="0" r="0" b="0"/>
            <wp:docPr id="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69280" cy="3683635"/>
                    </a:xfrm>
                    <a:prstGeom prst="rect">
                      <a:avLst/>
                    </a:prstGeom>
                    <a:ln/>
                  </pic:spPr>
                </pic:pic>
              </a:graphicData>
            </a:graphic>
          </wp:inline>
        </w:drawing>
      </w:r>
    </w:p>
    <w:p w:rsidR="005E583F" w:rsidRDefault="00B74081">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sin realizar el análisis sobre la naturaleza jurídica de la información solicitada y el ámbito competencial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en la resolución se concluye: </w:t>
      </w:r>
    </w:p>
    <w:p w:rsidR="005E583F" w:rsidRDefault="00B74081">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“De tal forma que, resulta procedente ordenar una búsqueda </w:t>
      </w:r>
      <w:bookmarkStart w:id="3" w:name="_GoBack"/>
      <w:bookmarkEnd w:id="3"/>
      <w:r>
        <w:rPr>
          <w:rFonts w:ascii="Palatino Linotype" w:eastAsia="Palatino Linotype" w:hAnsi="Palatino Linotype" w:cs="Palatino Linotype"/>
          <w:i/>
          <w:color w:val="000000"/>
        </w:rPr>
        <w:t>exhaustiva y razonable, a efecto de hacer entrega de la siguiente información:</w:t>
      </w:r>
    </w:p>
    <w:p w:rsidR="005E583F" w:rsidRDefault="00B74081">
      <w:pPr>
        <w:numPr>
          <w:ilvl w:val="0"/>
          <w:numId w:val="3"/>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Acuerdo que emita el Comité de Transparencia en el que se confirme la declaración de incompetencia del Sujeto Obligado respecto de la póliza contable y/o soporte documental soporte del periodo comprendido del uno de enero al diecinueve de septiembre de dos mil veintidós, de los siguientes programas y/o sus equivalentes:</w:t>
      </w:r>
    </w:p>
    <w:p w:rsidR="005E583F" w:rsidRDefault="00B74081">
      <w:pPr>
        <w:numPr>
          <w:ilvl w:val="0"/>
          <w:numId w:val="2"/>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Desayunos Escolares Fríos y raciones vespertinas</w:t>
      </w:r>
    </w:p>
    <w:p w:rsidR="005E583F" w:rsidRDefault="00B74081">
      <w:pPr>
        <w:numPr>
          <w:ilvl w:val="0"/>
          <w:numId w:val="2"/>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Desayunos Escolares Calientes </w:t>
      </w:r>
    </w:p>
    <w:p w:rsidR="005E583F" w:rsidRDefault="00B74081">
      <w:pPr>
        <w:numPr>
          <w:ilvl w:val="0"/>
          <w:numId w:val="2"/>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Programa de procuración de fondos (laminas)</w:t>
      </w:r>
    </w:p>
    <w:p w:rsidR="005E583F" w:rsidRDefault="00B74081">
      <w:pPr>
        <w:numPr>
          <w:ilvl w:val="0"/>
          <w:numId w:val="2"/>
        </w:numPr>
        <w:pBdr>
          <w:top w:val="nil"/>
          <w:left w:val="nil"/>
          <w:bottom w:val="nil"/>
          <w:right w:val="nil"/>
          <w:between w:val="nil"/>
        </w:pBdr>
        <w:spacing w:before="24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Entrega de paquetes de hortaliza para el establecimiento de huertos</w:t>
      </w:r>
    </w:p>
    <w:p w:rsidR="005E583F" w:rsidRDefault="00B74081">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i/>
          <w:sz w:val="24"/>
          <w:szCs w:val="24"/>
        </w:rPr>
      </w:pPr>
      <w:bookmarkStart w:id="4" w:name="_heading=h.2et92p0" w:colFirst="0" w:colLast="0"/>
      <w:bookmarkEnd w:id="4"/>
      <w:r>
        <w:rPr>
          <w:rFonts w:ascii="Palatino Linotype" w:eastAsia="Palatino Linotype" w:hAnsi="Palatino Linotype" w:cs="Palatino Linotype"/>
          <w:sz w:val="24"/>
          <w:szCs w:val="24"/>
        </w:rPr>
        <w:t xml:space="preserve">Conforme a lo anterior, se determinó ordenar el Acuerdo de Incompetencia tomando en consideración únicamente el pronunciamiento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que mediante informe justificado manifestó  que:  “…</w:t>
      </w:r>
      <w:r>
        <w:rPr>
          <w:rFonts w:ascii="Palatino Linotype" w:eastAsia="Palatino Linotype" w:hAnsi="Palatino Linotype" w:cs="Palatino Linotype"/>
          <w:i/>
          <w:sz w:val="24"/>
          <w:szCs w:val="24"/>
        </w:rPr>
        <w:t xml:space="preserve">el costo del apoyo del Programa de Desarrollo Social Estado de México Nutrición Escolar, en su Modalidad Desayunos Escolares </w:t>
      </w:r>
      <w:proofErr w:type="spellStart"/>
      <w:r>
        <w:rPr>
          <w:rFonts w:ascii="Palatino Linotype" w:eastAsia="Palatino Linotype" w:hAnsi="Palatino Linotype" w:cs="Palatino Linotype"/>
          <w:i/>
          <w:sz w:val="24"/>
          <w:szCs w:val="24"/>
        </w:rPr>
        <w:t>Frios</w:t>
      </w:r>
      <w:proofErr w:type="spellEnd"/>
      <w:r>
        <w:rPr>
          <w:rFonts w:ascii="Palatino Linotype" w:eastAsia="Palatino Linotype" w:hAnsi="Palatino Linotype" w:cs="Palatino Linotype"/>
          <w:i/>
          <w:sz w:val="24"/>
          <w:szCs w:val="24"/>
        </w:rPr>
        <w:t xml:space="preserve"> y Raciones Vespertinas, así como en su Modalidad Desayunos Calientes es cubierto con recursos propios de Gobierno del Estado de México a través del DIFEM, así como por Recursos Federales transferidos a través del FAM-AS.” </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Es por ello la Suscrita estima que no es procedente ordenar la emisión del acuerdo de incompetencia</w:t>
      </w:r>
      <w:r>
        <w:rPr>
          <w:rFonts w:ascii="Palatino Linotype" w:eastAsia="Palatino Linotype" w:hAnsi="Palatino Linotype" w:cs="Palatino Linotype"/>
          <w:sz w:val="18"/>
          <w:szCs w:val="18"/>
        </w:rPr>
        <w:t>,</w:t>
      </w:r>
      <w:r>
        <w:rPr>
          <w:rFonts w:ascii="Palatino Linotype" w:eastAsia="Palatino Linotype" w:hAnsi="Palatino Linotype" w:cs="Palatino Linotype"/>
          <w:sz w:val="24"/>
          <w:szCs w:val="24"/>
        </w:rPr>
        <w:t xml:space="preserve"> aun cuando la Servidora Pública habilitada efectuó la declaración de la notoria incompetencia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atender favorablemente </w:t>
      </w:r>
      <w:r>
        <w:rPr>
          <w:rFonts w:ascii="Palatino Linotype" w:eastAsia="Palatino Linotype" w:hAnsi="Palatino Linotype" w:cs="Palatino Linotype"/>
          <w:sz w:val="24"/>
          <w:szCs w:val="24"/>
        </w:rPr>
        <w:lastRenderedPageBreak/>
        <w:t>la solicitud de información, de manera posterior a los tres días de haberse recibido la solicitud de información.</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la propia ponencia ha determinado 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 xml:space="preserve">encuentra constreñido a entregar la información requerida ante la falta de atribuciones para generar, poseer o administrar lo solicitado. </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en relación a la información requerida, consistente en la póliza contable y/o soporte del programa de credencialización del INAPAM o equivalente, del </w:t>
      </w:r>
      <w:r>
        <w:rPr>
          <w:rFonts w:ascii="Palatino Linotype" w:eastAsia="Palatino Linotype" w:hAnsi="Palatino Linotype" w:cs="Palatino Linotype"/>
          <w:sz w:val="24"/>
          <w:szCs w:val="24"/>
        </w:rPr>
        <w:lastRenderedPageBreak/>
        <w:t xml:space="preserve">periodo comprendido del uno de enero al diecinueve de septiembre de dos mil veintidós, se determinó lo siguiente: </w:t>
      </w:r>
    </w:p>
    <w:p w:rsidR="005E583F" w:rsidRDefault="00B74081">
      <w:pPr>
        <w:spacing w:before="240" w:after="24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“Finalmente, con relación al numeral 2 que será materia de cumplimiento, si bien es cierto que </w:t>
      </w:r>
      <w:r>
        <w:rPr>
          <w:rFonts w:ascii="Palatino Linotype" w:eastAsia="Palatino Linotype" w:hAnsi="Palatino Linotype" w:cs="Palatino Linotype"/>
          <w:b/>
          <w:i/>
        </w:rPr>
        <w:t xml:space="preserve">El Sujeto Obligado </w:t>
      </w:r>
      <w:r>
        <w:rPr>
          <w:rFonts w:ascii="Palatino Linotype" w:eastAsia="Palatino Linotype" w:hAnsi="Palatino Linotype" w:cs="Palatino Linotype"/>
          <w:i/>
        </w:rPr>
        <w:t xml:space="preserve">fue omiso en pronunciarse, lo cierto también es que no debe resultar desapercibido para este Órgano </w:t>
      </w:r>
      <w:proofErr w:type="spellStart"/>
      <w:r>
        <w:rPr>
          <w:rFonts w:ascii="Palatino Linotype" w:eastAsia="Palatino Linotype" w:hAnsi="Palatino Linotype" w:cs="Palatino Linotype"/>
          <w:i/>
        </w:rPr>
        <w:t>Resolutor</w:t>
      </w:r>
      <w:proofErr w:type="spellEnd"/>
      <w:r>
        <w:rPr>
          <w:rFonts w:ascii="Palatino Linotype" w:eastAsia="Palatino Linotype" w:hAnsi="Palatino Linotype" w:cs="Palatino Linotype"/>
          <w:i/>
        </w:rPr>
        <w:t xml:space="preserve"> el contenido del numeral 32, apartado I, fracción c) de la Ley Orgánica de la Administración Pública Federal, porción normativa que dispone a la literalidad lo siguiente:</w:t>
      </w:r>
    </w:p>
    <w:p w:rsidR="005E583F" w:rsidRDefault="00B74081">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32.- A la Secretaría de Bienestar corresponde el despacho de los siguientes asuntos: </w:t>
      </w:r>
    </w:p>
    <w:p w:rsidR="005E583F" w:rsidRDefault="00B74081">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Fortalecer el bienestar, el desarrollo, la inclusión y la cohesión social en el país mediante la instrumentación, coordinación, supervisión y seguimiento, en términos de ley y con los organismos respectivos, de las políticas siguientes:</w:t>
      </w:r>
    </w:p>
    <w:p w:rsidR="005E583F" w:rsidRDefault="00B74081">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5E583F" w:rsidRDefault="00B74081">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b/>
          <w:i/>
          <w:color w:val="000000"/>
          <w:u w:val="single"/>
        </w:rPr>
      </w:pPr>
      <w:r>
        <w:rPr>
          <w:rFonts w:ascii="Palatino Linotype" w:eastAsia="Palatino Linotype" w:hAnsi="Palatino Linotype" w:cs="Palatino Linotype"/>
          <w:b/>
          <w:i/>
          <w:color w:val="000000"/>
          <w:u w:val="single"/>
        </w:rPr>
        <w:t>c) Atención preponderante a los derechos de la niñez, de la juventud, de los adultos mayores, de los pueblos indígenas y de las personas con discapacidad;</w:t>
      </w:r>
    </w:p>
    <w:p w:rsidR="005E583F" w:rsidRDefault="00B74081">
      <w:pPr>
        <w:pBdr>
          <w:top w:val="nil"/>
          <w:left w:val="nil"/>
          <w:bottom w:val="nil"/>
          <w:right w:val="nil"/>
          <w:between w:val="nil"/>
        </w:pBdr>
        <w:spacing w:before="240" w:line="276" w:lineRule="auto"/>
        <w:ind w:left="851" w:right="706"/>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(Sic) </w:t>
      </w:r>
    </w:p>
    <w:p w:rsidR="005E583F" w:rsidRDefault="005E583F">
      <w:pPr>
        <w:spacing w:before="240" w:after="240" w:line="276" w:lineRule="auto"/>
        <w:ind w:left="851" w:right="706"/>
        <w:jc w:val="both"/>
        <w:rPr>
          <w:rFonts w:ascii="Palatino Linotype" w:eastAsia="Palatino Linotype" w:hAnsi="Palatino Linotype" w:cs="Palatino Linotype"/>
          <w:i/>
        </w:rPr>
      </w:pPr>
    </w:p>
    <w:p w:rsidR="005E583F" w:rsidRDefault="00B74081">
      <w:pPr>
        <w:spacing w:before="240" w:after="24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Por ello, la información referente a póliza contable y/o soporte documental con motivo de la expedición de la credencial INAPAM, redunda en información que pudiera obrar en los archivos del Instituto Nacional de las Personas Adultas Mayores (organismo público descentralizado de la </w:t>
      </w:r>
      <w:r>
        <w:rPr>
          <w:rFonts w:ascii="Palatino Linotype" w:eastAsia="Palatino Linotype" w:hAnsi="Palatino Linotype" w:cs="Palatino Linotype"/>
          <w:b/>
          <w:i/>
          <w:u w:val="single"/>
        </w:rPr>
        <w:t>Administración Pública Federal</w:t>
      </w:r>
      <w:r>
        <w:rPr>
          <w:rFonts w:ascii="Palatino Linotype" w:eastAsia="Palatino Linotype" w:hAnsi="Palatino Linotype" w:cs="Palatino Linotype"/>
          <w:i/>
        </w:rPr>
        <w:t xml:space="preserve">, con personalidad jurídica, patrimonio, autonomía técnica y de gestión) </w:t>
      </w:r>
    </w:p>
    <w:p w:rsidR="005E583F" w:rsidRDefault="00B74081">
      <w:pPr>
        <w:spacing w:before="240" w:after="240" w:line="276" w:lineRule="auto"/>
        <w:ind w:left="851" w:right="706"/>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En este sentido, para el caso de que no cuente con la información una vez realizada la búsqueda exhaustiva y razonable, resulta procedente ordenar acuerdo emitido por el Comité de Transparencia en el que se confirme la incompetencia.”</w:t>
      </w:r>
    </w:p>
    <w:p w:rsidR="005E583F" w:rsidRDefault="00B7408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Sobre este rubro, considero que la determinación, no da certeza a la Recurrente sobre la competencia o incompetencia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para generar, administrar o poseer la información, ya que el ordenamiento jurídico citado no es suficiente para determinar la incompetencia; tan es así que, la Ponencia ordena que se realice la búsqueda exhaustiva y razonable de la información solicitada y para el caso de que no cuente con la misma, emita el acuerdo del Comité de Transparencia que confirme la incompetencia.</w:t>
      </w:r>
    </w:p>
    <w:p w:rsidR="005E583F" w:rsidRDefault="005E583F">
      <w:pPr>
        <w:tabs>
          <w:tab w:val="left" w:pos="142"/>
          <w:tab w:val="left" w:pos="284"/>
        </w:tabs>
        <w:spacing w:before="240" w:after="240" w:line="360" w:lineRule="auto"/>
        <w:jc w:val="both"/>
        <w:rPr>
          <w:rFonts w:ascii="Palatino Linotype" w:eastAsia="Palatino Linotype" w:hAnsi="Palatino Linotype" w:cs="Palatino Linotype"/>
          <w:sz w:val="24"/>
          <w:szCs w:val="24"/>
        </w:rPr>
      </w:pPr>
    </w:p>
    <w:p w:rsidR="005E583F" w:rsidRDefault="00B74081">
      <w:pPr>
        <w:numPr>
          <w:ilvl w:val="0"/>
          <w:numId w:val="4"/>
        </w:num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De la vista a la Dirección General de Protección de Datos Personales. </w:t>
      </w: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través de la solicitud de acceso a la información que nos ocupa, el Particular requirió la relación de beneficiarios de los programas o apoyos otorgados, en respuesta, el Sujeto Obligado proporcionó diversos documentos con el listado de beneficiarios de los distintos programas y apoyos otorgados por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documentos sobre los cuales la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no manifestó inconformidad al momento de interponer el recurso de revisión. </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Derivado de lo anterior, la Ponencia </w:t>
      </w:r>
      <w:proofErr w:type="spellStart"/>
      <w:r>
        <w:rPr>
          <w:rFonts w:ascii="Palatino Linotype" w:eastAsia="Palatino Linotype" w:hAnsi="Palatino Linotype" w:cs="Palatino Linotype"/>
          <w:sz w:val="24"/>
          <w:szCs w:val="24"/>
        </w:rPr>
        <w:t>Resolutora</w:t>
      </w:r>
      <w:proofErr w:type="spellEnd"/>
      <w:r>
        <w:rPr>
          <w:rFonts w:ascii="Palatino Linotype" w:eastAsia="Palatino Linotype" w:hAnsi="Palatino Linotype" w:cs="Palatino Linotype"/>
          <w:sz w:val="24"/>
          <w:szCs w:val="24"/>
        </w:rPr>
        <w:t xml:space="preserve"> aplicó el criterio de actos consentidos, respecto de los documentos entregados en respuesta, por lo que, no se entró al fondo del asunto y se determinó sólo ordenar los documentos faltantes. No obstante, dentro </w:t>
      </w:r>
      <w:r>
        <w:rPr>
          <w:rFonts w:ascii="Palatino Linotype" w:eastAsia="Palatino Linotype" w:hAnsi="Palatino Linotype" w:cs="Palatino Linotype"/>
          <w:sz w:val="24"/>
          <w:szCs w:val="24"/>
        </w:rPr>
        <w:lastRenderedPageBreak/>
        <w:t xml:space="preserve">de la resolución emitida se determinó dar vista a la Dirección General de Datos, sin embargo, como ya se señaló, el Particular no se inconformó respecto de los listados de beneficiarios proporcionados por el </w:t>
      </w:r>
      <w:r>
        <w:rPr>
          <w:rFonts w:ascii="Palatino Linotype" w:eastAsia="Palatino Linotype" w:hAnsi="Palatino Linotype" w:cs="Palatino Linotype"/>
          <w:b/>
          <w:sz w:val="24"/>
          <w:szCs w:val="24"/>
        </w:rPr>
        <w:t xml:space="preserve">Sujeto Obligado. </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preciso mencionar que, si bien, se comparte el sentido de la Resolución emitida en virtud de que procede ordenar los documentos que dan cuenta de la información faltante, también lo es que, la vista a la Dirección General de Datos constituye el motivo para la emisión del presente Voto Particular,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rsidR="005E583F" w:rsidRDefault="005E583F">
      <w:pPr>
        <w:tabs>
          <w:tab w:val="left" w:pos="0"/>
        </w:tabs>
        <w:spacing w:after="0" w:line="360" w:lineRule="auto"/>
        <w:ind w:right="49"/>
        <w:jc w:val="both"/>
        <w:rPr>
          <w:rFonts w:ascii="Palatino Linotype" w:eastAsia="Palatino Linotype" w:hAnsi="Palatino Linotype" w:cs="Palatino Linotype"/>
          <w:sz w:val="24"/>
          <w:szCs w:val="24"/>
        </w:rPr>
      </w:pPr>
    </w:p>
    <w:p w:rsidR="005E583F" w:rsidRDefault="00B74081">
      <w:pPr>
        <w:shd w:val="clear" w:color="auto" w:fill="FFFFFF"/>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sentido, es de resaltar que el recurso de revisión es la garantía secundaria mediante la cual se pretende reparar cualquier posible afectación al derecho de acceso a la información pública, en donde las resoluciones de este Órgano Garante pueden:</w:t>
      </w:r>
    </w:p>
    <w:p w:rsidR="005E583F" w:rsidRDefault="00B74081">
      <w:pPr>
        <w:numPr>
          <w:ilvl w:val="0"/>
          <w:numId w:val="6"/>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Desechar o sobreseer el recurso</w:t>
      </w:r>
    </w:p>
    <w:p w:rsidR="005E583F" w:rsidRDefault="00B74081">
      <w:pPr>
        <w:numPr>
          <w:ilvl w:val="0"/>
          <w:numId w:val="6"/>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Confirma la respuesta del sujeto obligado</w:t>
      </w:r>
    </w:p>
    <w:p w:rsidR="005E583F" w:rsidRDefault="00B74081">
      <w:pPr>
        <w:numPr>
          <w:ilvl w:val="0"/>
          <w:numId w:val="6"/>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Revocar o modificar la respuesta del sujeto obligado; y </w:t>
      </w:r>
    </w:p>
    <w:p w:rsidR="005E583F" w:rsidRDefault="00B74081">
      <w:pPr>
        <w:numPr>
          <w:ilvl w:val="0"/>
          <w:numId w:val="6"/>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Ordenar la entrega de la información</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agregar que las resoluciones que pronuncie este Instituto deben contener cuatro aspectos importantes:</w:t>
      </w:r>
    </w:p>
    <w:p w:rsidR="005E583F" w:rsidRDefault="00B74081">
      <w:pPr>
        <w:numPr>
          <w:ilvl w:val="0"/>
          <w:numId w:val="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Lugar, fecha, el nombre del recurrente y del tercero interesado en su caso, sujeto obligado y un extracto de los hechos cuestionados;</w:t>
      </w:r>
    </w:p>
    <w:p w:rsidR="005E583F" w:rsidRDefault="00B74081">
      <w:pPr>
        <w:numPr>
          <w:ilvl w:val="0"/>
          <w:numId w:val="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preceptos en que se fundamenten y las consideraciones que las sustenten;</w:t>
      </w:r>
    </w:p>
    <w:p w:rsidR="005E583F" w:rsidRDefault="00B74081">
      <w:pPr>
        <w:numPr>
          <w:ilvl w:val="0"/>
          <w:numId w:val="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alcances y efectos de la resolución, fijando con precisión, en su caso, los sujetos y órganos obligados a cumplirla; y</w:t>
      </w:r>
    </w:p>
    <w:p w:rsidR="005E583F" w:rsidRDefault="00B74081">
      <w:pPr>
        <w:numPr>
          <w:ilvl w:val="0"/>
          <w:numId w:val="7"/>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puntos resolutivos.</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Sobre este punto, se considera de suma importancia mencionar que de la normatividad citada, se advierte que este Instituto está facultado entre otras cosas para:</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numPr>
          <w:ilvl w:val="0"/>
          <w:numId w:val="5"/>
        </w:num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lastRenderedPageBreak/>
        <w:t>Conocer y resolver los recursos de revisión interpuestos por los particulares en contra de las resoluciones de los sujetos obligados en el ámbito estatal;</w:t>
      </w:r>
    </w:p>
    <w:p w:rsidR="005E583F" w:rsidRDefault="005E583F">
      <w:pPr>
        <w:spacing w:after="0" w:line="360" w:lineRule="auto"/>
        <w:ind w:left="720"/>
        <w:jc w:val="both"/>
        <w:rPr>
          <w:rFonts w:ascii="Palatino Linotype" w:eastAsia="Palatino Linotype" w:hAnsi="Palatino Linotype" w:cs="Palatino Linotype"/>
          <w:i/>
          <w:sz w:val="24"/>
          <w:szCs w:val="24"/>
        </w:rPr>
      </w:pPr>
    </w:p>
    <w:p w:rsidR="005E583F" w:rsidRDefault="00B74081">
      <w:pPr>
        <w:numPr>
          <w:ilvl w:val="0"/>
          <w:numId w:val="5"/>
        </w:num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Realizar de oficio y a petición de parte, análisis y recomendaciones o en su caso, lineamientos en relación con presuntos incumplimientos a las disposiciones de la Ley, cuando existan elementos suficientes a juicio del Pleno del Instituto;</w:t>
      </w:r>
    </w:p>
    <w:p w:rsidR="005E583F" w:rsidRDefault="005E583F">
      <w:pPr>
        <w:spacing w:after="0" w:line="360" w:lineRule="auto"/>
        <w:ind w:left="720"/>
        <w:jc w:val="both"/>
        <w:rPr>
          <w:rFonts w:ascii="Palatino Linotype" w:eastAsia="Palatino Linotype" w:hAnsi="Palatino Linotype" w:cs="Palatino Linotype"/>
          <w:i/>
          <w:sz w:val="24"/>
          <w:szCs w:val="24"/>
        </w:rPr>
      </w:pPr>
    </w:p>
    <w:p w:rsidR="005E583F" w:rsidRDefault="00B74081">
      <w:pPr>
        <w:numPr>
          <w:ilvl w:val="0"/>
          <w:numId w:val="5"/>
        </w:num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Emitir comunicados públicos sobre el incumplimiento de sus resoluciones o por infracciones reiteradas a la Ley, en el ámbito de su competencia;</w:t>
      </w:r>
    </w:p>
    <w:p w:rsidR="005E583F" w:rsidRDefault="005E583F">
      <w:pPr>
        <w:spacing w:after="0" w:line="360" w:lineRule="auto"/>
        <w:ind w:left="720"/>
        <w:jc w:val="both"/>
        <w:rPr>
          <w:rFonts w:ascii="Palatino Linotype" w:eastAsia="Palatino Linotype" w:hAnsi="Palatino Linotype" w:cs="Palatino Linotype"/>
          <w:i/>
          <w:sz w:val="24"/>
          <w:szCs w:val="24"/>
        </w:rPr>
      </w:pPr>
    </w:p>
    <w:p w:rsidR="005E583F" w:rsidRDefault="00B74081">
      <w:pPr>
        <w:numPr>
          <w:ilvl w:val="0"/>
          <w:numId w:val="5"/>
        </w:num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Ordenar a los sujetos obligados la ejecutoría en la entrega de información en términos de la presente Ley;</w:t>
      </w:r>
    </w:p>
    <w:p w:rsidR="005E583F" w:rsidRDefault="005E583F">
      <w:pPr>
        <w:spacing w:after="0" w:line="360" w:lineRule="auto"/>
        <w:ind w:left="720"/>
        <w:jc w:val="both"/>
        <w:rPr>
          <w:rFonts w:ascii="Palatino Linotype" w:eastAsia="Palatino Linotype" w:hAnsi="Palatino Linotype" w:cs="Palatino Linotype"/>
          <w:i/>
          <w:sz w:val="24"/>
          <w:szCs w:val="24"/>
        </w:rPr>
      </w:pPr>
    </w:p>
    <w:p w:rsidR="005E583F" w:rsidRDefault="00B74081">
      <w:pPr>
        <w:numPr>
          <w:ilvl w:val="0"/>
          <w:numId w:val="5"/>
        </w:num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Imponer las medidas de apremio para asegurar el cumplimiento de sus determinaciones;</w:t>
      </w:r>
    </w:p>
    <w:p w:rsidR="005E583F" w:rsidRDefault="005E583F">
      <w:pPr>
        <w:spacing w:after="0" w:line="360" w:lineRule="auto"/>
        <w:ind w:left="720"/>
        <w:jc w:val="both"/>
        <w:rPr>
          <w:rFonts w:ascii="Palatino Linotype" w:eastAsia="Palatino Linotype" w:hAnsi="Palatino Linotype" w:cs="Palatino Linotype"/>
          <w:i/>
          <w:sz w:val="24"/>
          <w:szCs w:val="24"/>
        </w:rPr>
      </w:pPr>
    </w:p>
    <w:p w:rsidR="005E583F" w:rsidRDefault="00B74081">
      <w:pPr>
        <w:numPr>
          <w:ilvl w:val="0"/>
          <w:numId w:val="5"/>
        </w:num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u w:val="single"/>
        </w:rPr>
        <w:t>Hacer del conocimiento de la instancia competente la probable responsabilidad por el incumplimiento de las obligaciones</w:t>
      </w:r>
      <w:r>
        <w:rPr>
          <w:rFonts w:ascii="Palatino Linotype" w:eastAsia="Palatino Linotype" w:hAnsi="Palatino Linotype" w:cs="Palatino Linotype"/>
          <w:i/>
          <w:sz w:val="24"/>
          <w:szCs w:val="24"/>
        </w:rPr>
        <w:t xml:space="preserve"> previstas en la Ley y en las demás disposiciones aplicable.  </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Establecido lo anterior, debe tomarse en cuenta que la vista a la Dirección General de Datos de este Instituto, no debió incluirse en los resolutivos de la resolución referida, toda vez que, el Particular no se inconformó sobre la información proporcionada en </w:t>
      </w:r>
      <w:r>
        <w:rPr>
          <w:rFonts w:ascii="Palatino Linotype" w:eastAsia="Palatino Linotype" w:hAnsi="Palatino Linotype" w:cs="Palatino Linotype"/>
          <w:sz w:val="24"/>
          <w:szCs w:val="24"/>
        </w:rPr>
        <w:lastRenderedPageBreak/>
        <w:t>respuesta, es decir, no forma parte de la “</w:t>
      </w:r>
      <w:r>
        <w:rPr>
          <w:rFonts w:ascii="Palatino Linotype" w:eastAsia="Palatino Linotype" w:hAnsi="Palatino Linotype" w:cs="Palatino Linotype"/>
          <w:i/>
          <w:sz w:val="24"/>
          <w:szCs w:val="24"/>
        </w:rPr>
        <w:t xml:space="preserve">Litis” </w:t>
      </w:r>
      <w:r>
        <w:rPr>
          <w:rFonts w:ascii="Palatino Linotype" w:eastAsia="Palatino Linotype" w:hAnsi="Palatino Linotype" w:cs="Palatino Linotype"/>
          <w:sz w:val="24"/>
          <w:szCs w:val="24"/>
        </w:rPr>
        <w:t>( “</w:t>
      </w:r>
      <w:r>
        <w:rPr>
          <w:rFonts w:ascii="Palatino Linotype" w:eastAsia="Palatino Linotype" w:hAnsi="Palatino Linotype" w:cs="Palatino Linotype"/>
          <w:i/>
          <w:sz w:val="24"/>
          <w:szCs w:val="24"/>
        </w:rPr>
        <w:t xml:space="preserve">Litis”: </w:t>
      </w:r>
      <w:r>
        <w:rPr>
          <w:rFonts w:ascii="Palatino Linotype" w:eastAsia="Palatino Linotype" w:hAnsi="Palatino Linotype" w:cs="Palatino Linotype"/>
          <w:sz w:val="24"/>
          <w:szCs w:val="24"/>
        </w:rPr>
        <w:t xml:space="preserve">vocablo latino que en idioma español se traduce como litigio, significando disputa o controversia judicial; diferencia de intereses entre dos partes, llamadas litigantes, sometidas a decisión de un Juez) y, por lo tanto, no se debió analizar la documentación entregada, al haberse invocado actos consentidos, así en el presente asunto, la vista en mención debió realizarse y tramitarse por cuerda separada, en caso de advertirse necesario.  </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respecto de los actos consentidos, de conformidad con lo dispuesto en el artículo 195 de la Ley de Transparencia y Acceso a la Información Pública del Estado de México y Municipios, con relación con el diverso 195, fracción IV, del Código de Procedimientos Administrativos del Estado de México, se establece que </w:t>
      </w:r>
      <w:r>
        <w:rPr>
          <w:rFonts w:ascii="Palatino Linotype" w:eastAsia="Palatino Linotype" w:hAnsi="Palatino Linotype" w:cs="Palatino Linotype"/>
          <w:sz w:val="24"/>
          <w:szCs w:val="24"/>
          <w:u w:val="single"/>
        </w:rPr>
        <w:t>será improcedente el recurso</w:t>
      </w:r>
      <w:r>
        <w:rPr>
          <w:rFonts w:ascii="Palatino Linotype" w:eastAsia="Palatino Linotype" w:hAnsi="Palatino Linotype" w:cs="Palatino Linotype"/>
          <w:sz w:val="24"/>
          <w:szCs w:val="24"/>
        </w:rPr>
        <w:t xml:space="preserve"> contra los actos que se hayan consentido tácitamente, entendiéndose por estos cuando el recurso no se haya promovido en el plazo señalado para el efecto.</w:t>
      </w:r>
    </w:p>
    <w:p w:rsidR="005E583F" w:rsidRDefault="005E583F">
      <w:pPr>
        <w:spacing w:after="0" w:line="360" w:lineRule="auto"/>
        <w:jc w:val="both"/>
        <w:rPr>
          <w:rFonts w:ascii="Palatino Linotype" w:eastAsia="Palatino Linotype" w:hAnsi="Palatino Linotype" w:cs="Palatino Linotype"/>
          <w:sz w:val="24"/>
          <w:szCs w:val="24"/>
        </w:rPr>
      </w:pP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 misma manera resulta aplicable el criterio sostenido por el Poder Judicial de la Federación de rubro </w:t>
      </w:r>
      <w:r>
        <w:rPr>
          <w:rFonts w:ascii="Palatino Linotype" w:eastAsia="Palatino Linotype" w:hAnsi="Palatino Linotype" w:cs="Palatino Linotype"/>
          <w:b/>
          <w:sz w:val="24"/>
          <w:szCs w:val="24"/>
        </w:rPr>
        <w:t>ACTOS CONSENTIDOS TÁCITAMENTE</w:t>
      </w:r>
      <w:r>
        <w:rPr>
          <w:rFonts w:ascii="Palatino Linotype" w:eastAsia="Palatino Linotype" w:hAnsi="Palatino Linotype" w:cs="Palatino Linotype"/>
          <w:sz w:val="24"/>
          <w:szCs w:val="24"/>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005E583F" w:rsidRDefault="005E583F">
      <w:pPr>
        <w:spacing w:after="0" w:line="360" w:lineRule="auto"/>
        <w:jc w:val="both"/>
        <w:rPr>
          <w:rFonts w:ascii="Palatino Linotype" w:eastAsia="Palatino Linotype" w:hAnsi="Palatino Linotype" w:cs="Palatino Linotype"/>
        </w:rPr>
      </w:pPr>
    </w:p>
    <w:p w:rsidR="005E583F" w:rsidRDefault="00B7408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tal como fue realizado, sin embargo, al no haber inconformidad ni estudio sobre las documentales remitidas en respuesta, resulta innecesario la vista citada.</w:t>
      </w:r>
    </w:p>
    <w:p w:rsidR="005E583F" w:rsidRDefault="00B74081">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vertido en líneas anteriores que la Suscrita no comparte de forma parcial el sentido de la resolución, y formula el presente voto particular. </w:t>
      </w: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p w:rsidR="005E583F" w:rsidRDefault="005E583F">
      <w:pPr>
        <w:spacing w:before="240" w:after="240" w:line="360" w:lineRule="auto"/>
        <w:ind w:right="139"/>
        <w:jc w:val="both"/>
        <w:rPr>
          <w:rFonts w:ascii="Palatino Linotype" w:eastAsia="Palatino Linotype" w:hAnsi="Palatino Linotype" w:cs="Palatino Linotype"/>
          <w:sz w:val="24"/>
          <w:szCs w:val="24"/>
        </w:rPr>
      </w:pPr>
    </w:p>
    <w:sectPr w:rsidR="005E583F">
      <w:head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5D2" w:rsidRDefault="00A625D2">
      <w:pPr>
        <w:spacing w:after="0" w:line="240" w:lineRule="auto"/>
      </w:pPr>
      <w:r>
        <w:separator/>
      </w:r>
    </w:p>
  </w:endnote>
  <w:endnote w:type="continuationSeparator" w:id="0">
    <w:p w:rsidR="00A625D2" w:rsidRDefault="00A6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5D2" w:rsidRDefault="00A625D2">
      <w:pPr>
        <w:spacing w:after="0" w:line="240" w:lineRule="auto"/>
      </w:pPr>
      <w:r>
        <w:separator/>
      </w:r>
    </w:p>
  </w:footnote>
  <w:footnote w:type="continuationSeparator" w:id="0">
    <w:p w:rsidR="00A625D2" w:rsidRDefault="00A62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83F" w:rsidRDefault="00B740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-1341751</wp:posOffset>
          </wp:positionH>
          <wp:positionV relativeFrom="paragraph">
            <wp:posOffset>-453386</wp:posOffset>
          </wp:positionV>
          <wp:extent cx="7510145" cy="9883775"/>
          <wp:effectExtent l="0" t="0" r="0" b="0"/>
          <wp:wrapNone/>
          <wp:docPr id="9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5E583F" w:rsidRDefault="00B740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5E583F" w:rsidRDefault="00B740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RECURSOS DE REVISIÓN: 15745/INFOEM/IP/RR/2022 </w:t>
    </w:r>
  </w:p>
  <w:p w:rsidR="005E583F" w:rsidRDefault="005E583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6F07"/>
    <w:multiLevelType w:val="multilevel"/>
    <w:tmpl w:val="6D389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AD2DEF"/>
    <w:multiLevelType w:val="multilevel"/>
    <w:tmpl w:val="C85E3E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8B09CC"/>
    <w:multiLevelType w:val="multilevel"/>
    <w:tmpl w:val="1F0A1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176D0F"/>
    <w:multiLevelType w:val="multilevel"/>
    <w:tmpl w:val="5502C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775984"/>
    <w:multiLevelType w:val="multilevel"/>
    <w:tmpl w:val="B5ECA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D46AE7"/>
    <w:multiLevelType w:val="hybridMultilevel"/>
    <w:tmpl w:val="0D78FC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AF2DAA"/>
    <w:multiLevelType w:val="multilevel"/>
    <w:tmpl w:val="3EAE1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772C6F"/>
    <w:multiLevelType w:val="multilevel"/>
    <w:tmpl w:val="B9A457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204507F"/>
    <w:multiLevelType w:val="multilevel"/>
    <w:tmpl w:val="B150EA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1C2008"/>
    <w:multiLevelType w:val="multilevel"/>
    <w:tmpl w:val="1862A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0"/>
  </w:num>
  <w:num w:numId="4">
    <w:abstractNumId w:val="8"/>
  </w:num>
  <w:num w:numId="5">
    <w:abstractNumId w:val="9"/>
  </w:num>
  <w:num w:numId="6">
    <w:abstractNumId w:val="6"/>
  </w:num>
  <w:num w:numId="7">
    <w:abstractNumId w:val="4"/>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3F"/>
    <w:rsid w:val="000A34AA"/>
    <w:rsid w:val="005E583F"/>
    <w:rsid w:val="00741312"/>
    <w:rsid w:val="00A625D2"/>
    <w:rsid w:val="00B74081"/>
    <w:rsid w:val="00EE674A"/>
    <w:rsid w:val="00F86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1D325-5C75-4602-B1B7-6F5BD357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smOKv1/MPLmiPOEnmGsb18anog==">AMUW2mX/RI/lOtUqL9dw4y2gFYDhYitNRx1yASTIuQzzYy/ZAznwogxGbHwvctqCAlg5TGa6T9qv4D7lvc9eXgEiJx2nJlvLZj0+5HpklswpZAuLC7fVekVwbWBfIcGf2kcWBOf2WcfhsbKgvEXOBb70ghExErgvmEVPHGDoQkgOYXtP5Y3bngY=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3635</Words>
  <Characters>19993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2023-04-17T21:50:00Z</dcterms:created>
  <dcterms:modified xsi:type="dcterms:W3CDTF">2023-04-17T21:50:00Z</dcterms:modified>
</cp:coreProperties>
</file>