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5106" w:rsidRDefault="005279DB">
      <w:pPr>
        <w:widowControl w:val="0"/>
        <w:pBdr>
          <w:top w:val="nil"/>
          <w:left w:val="nil"/>
          <w:bottom w:val="nil"/>
          <w:right w:val="nil"/>
          <w:between w:val="nil"/>
        </w:pBdr>
        <w:spacing w:after="0" w:line="276" w:lineRule="auto"/>
      </w:pPr>
      <w:r>
        <w:pict w14:anchorId="1ABE85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50pt;height:50pt;z-index:251656704;visibility:hidden">
            <o:lock v:ext="edit" selection="t"/>
          </v:shape>
        </w:pict>
      </w:r>
      <w:r>
        <w:pict w14:anchorId="1A1FFE83">
          <v:shape id="_x0000_s1027" type="#_x0000_t136" style="position:absolute;margin-left:0;margin-top:0;width:50pt;height:50pt;z-index:251657728;visibility:hidden">
            <o:lock v:ext="edit" selection="t"/>
          </v:shape>
        </w:pict>
      </w:r>
      <w:r>
        <w:pict w14:anchorId="6A383CFF">
          <v:shape id="_x0000_s1026" type="#_x0000_t136" style="position:absolute;margin-left:0;margin-top:0;width:50pt;height:50pt;z-index:251658752;visibility:hidden">
            <o:lock v:ext="edit" selection="t"/>
          </v:shape>
        </w:pict>
      </w:r>
    </w:p>
    <w:p w:rsidR="00685106" w:rsidRDefault="00685106">
      <w:pPr>
        <w:widowControl w:val="0"/>
        <w:pBdr>
          <w:top w:val="nil"/>
          <w:left w:val="nil"/>
          <w:bottom w:val="nil"/>
          <w:right w:val="nil"/>
          <w:between w:val="nil"/>
        </w:pBdr>
        <w:spacing w:after="0" w:line="276" w:lineRule="auto"/>
      </w:pPr>
    </w:p>
    <w:p w:rsidR="00685106" w:rsidRDefault="007005FA">
      <w:pPr>
        <w:spacing w:after="0" w:line="360" w:lineRule="auto"/>
        <w:ind w:right="-93"/>
        <w:jc w:val="both"/>
        <w:rPr>
          <w:rFonts w:ascii="Palatino Linotype" w:eastAsia="Palatino Linotype" w:hAnsi="Palatino Linotype" w:cs="Palatino Linotype"/>
          <w:b/>
        </w:rPr>
      </w:pPr>
      <w:r>
        <w:rPr>
          <w:rFonts w:ascii="Palatino Linotype" w:eastAsia="Palatino Linotype" w:hAnsi="Palatino Linotype" w:cs="Palatino Linotype"/>
          <w:b/>
        </w:rPr>
        <w:t>VOTO PARTICULAR QUE FORMULA LA COMISIONADA GUADALUPE RAMÍREZ PEÑA CON RELACIÓN A LA RESOLUCIÓN EMITIDA POR EL PLENO DEL INSTITUTO DE TRANSPARENCIA, ACCESO A LA INFORMACIÓN PÚBLICA Y PROTECCIÓN DE DATOS PERSONALES DEL ESTADO DE MÉXICO Y MUNICIPIOS EN EL RECURSO DE REVISIÓN 01316/INFOEM/IP/RR/2023, PROMOVIDO EN CONTRA DEL ORGANISMO DESCENTRALIZADO PARA LA PRESTACIÓN DE LOS SERVICIOS DEL AGUA POTABLE ALCANTARILLADO Y SANEAMIENTO DE TECÁMAC.</w:t>
      </w:r>
    </w:p>
    <w:p w:rsidR="00685106" w:rsidRDefault="00685106">
      <w:pPr>
        <w:pBdr>
          <w:top w:val="nil"/>
          <w:left w:val="nil"/>
          <w:bottom w:val="nil"/>
          <w:right w:val="nil"/>
          <w:between w:val="nil"/>
        </w:pBdr>
        <w:tabs>
          <w:tab w:val="center" w:pos="4252"/>
          <w:tab w:val="right" w:pos="8504"/>
        </w:tabs>
        <w:spacing w:after="0" w:line="360" w:lineRule="auto"/>
        <w:ind w:right="49"/>
        <w:jc w:val="both"/>
        <w:rPr>
          <w:rFonts w:ascii="Palatino Linotype" w:eastAsia="Palatino Linotype" w:hAnsi="Palatino Linotype" w:cs="Palatino Linotype"/>
          <w:color w:val="000000"/>
        </w:rPr>
      </w:pPr>
    </w:p>
    <w:p w:rsidR="00685106" w:rsidRDefault="007005FA">
      <w:pPr>
        <w:spacing w:after="0" w:line="360" w:lineRule="auto"/>
        <w:ind w:right="-93"/>
        <w:jc w:val="both"/>
        <w:rPr>
          <w:rFonts w:ascii="Palatino Linotype" w:eastAsia="Palatino Linotype" w:hAnsi="Palatino Linotype" w:cs="Palatino Linotype"/>
        </w:rPr>
      </w:pPr>
      <w:r>
        <w:rPr>
          <w:rFonts w:ascii="Palatino Linotype" w:eastAsia="Palatino Linotype" w:hAnsi="Palatino Linotype" w:cs="Palatino Linotype"/>
        </w:rPr>
        <w:t xml:space="preserve">El Pleno del Instituto de Transparencia, Acceso a la Información Pública y Protección de Datos Personales del Estado de México resolvió por unanimidad de votos, la Resolución relativa al Recurso de Revisión </w:t>
      </w:r>
      <w:r>
        <w:rPr>
          <w:rFonts w:ascii="Palatino Linotype" w:eastAsia="Palatino Linotype" w:hAnsi="Palatino Linotype" w:cs="Palatino Linotype"/>
          <w:b/>
        </w:rPr>
        <w:t xml:space="preserve">01316/INFOEM/IP/RR/2023, </w:t>
      </w:r>
      <w:r>
        <w:rPr>
          <w:rFonts w:ascii="Palatino Linotype" w:eastAsia="Palatino Linotype" w:hAnsi="Palatino Linotype" w:cs="Palatino Linotype"/>
        </w:rPr>
        <w:t xml:space="preserve">presentada por el Comisionado Luis Gustavo Parra Noriega </w:t>
      </w:r>
      <w:r>
        <w:rPr>
          <w:rFonts w:ascii="Palatino Linotype" w:eastAsia="Palatino Linotype" w:hAnsi="Palatino Linotype" w:cs="Palatino Linotype"/>
          <w:b/>
        </w:rPr>
        <w:t>conforme al criterio mayoritario del Pleno</w:t>
      </w:r>
      <w:r>
        <w:rPr>
          <w:rFonts w:ascii="Palatino Linotype" w:eastAsia="Palatino Linotype" w:hAnsi="Palatino Linotype" w:cs="Palatino Linotype"/>
        </w:rPr>
        <w:t xml:space="preserve">, respecto de la cual, la que suscribe, emite </w:t>
      </w:r>
      <w:r>
        <w:rPr>
          <w:rFonts w:ascii="Palatino Linotype" w:eastAsia="Palatino Linotype" w:hAnsi="Palatino Linotype" w:cs="Palatino Linotype"/>
          <w:b/>
        </w:rPr>
        <w:t>VOTO PARTICULAR</w:t>
      </w:r>
      <w:r>
        <w:rPr>
          <w:rFonts w:ascii="Palatino Linotype" w:eastAsia="Palatino Linotype" w:hAnsi="Palatino Linotype" w:cs="Palatino Linotype"/>
        </w:rPr>
        <w:t>, con fundamento en los artículos 14, fracción XI, del Reglamento del Instituto de Transparencia, Acceso a la Información Pública y Protección de Personales Datos del Estado de México, así como 45 y 48, fracción I, de los Lineamientos para el funcionamiento del Pleno y las Comisiones del Instituto de Transparencia, Acceso a la Información Pública y Protección de Datos Personales del Estado de México y Municipios.</w:t>
      </w:r>
    </w:p>
    <w:p w:rsidR="00685106" w:rsidRDefault="00685106">
      <w:pPr>
        <w:spacing w:after="0" w:line="360" w:lineRule="auto"/>
        <w:jc w:val="both"/>
        <w:rPr>
          <w:rFonts w:ascii="Palatino Linotype" w:eastAsia="Palatino Linotype" w:hAnsi="Palatino Linotype" w:cs="Palatino Linotype"/>
        </w:rPr>
      </w:pPr>
    </w:p>
    <w:p w:rsidR="00685106" w:rsidRDefault="007005FA">
      <w:pPr>
        <w:spacing w:after="0" w:line="360" w:lineRule="auto"/>
        <w:jc w:val="both"/>
        <w:rPr>
          <w:rFonts w:ascii="Palatino Linotype" w:eastAsia="Palatino Linotype" w:hAnsi="Palatino Linotype" w:cs="Palatino Linotype"/>
          <w:i/>
        </w:rPr>
      </w:pPr>
      <w:r>
        <w:rPr>
          <w:rFonts w:ascii="Palatino Linotype" w:eastAsia="Palatino Linotype" w:hAnsi="Palatino Linotype" w:cs="Palatino Linotype"/>
        </w:rPr>
        <w:t xml:space="preserve">A través de la solicitud de acceso a la información que nos ocupa, el Particular requirió información documentación que acredite el último grado de estudios y cédula profesional del Director General, la Directora de Finanzas y Administración, Subdirección de Ingresos y Finanzas, Contabilidad y Presupuesto, Ingresos y Caja General y Subdirección de Egresos y Administración, en respuesta, el Sujeto Obligado proporcionó documentación que </w:t>
      </w:r>
      <w:r>
        <w:rPr>
          <w:rFonts w:ascii="Palatino Linotype" w:eastAsia="Palatino Linotype" w:hAnsi="Palatino Linotype" w:cs="Palatino Linotype"/>
        </w:rPr>
        <w:lastRenderedPageBreak/>
        <w:t>acredita el ultimo grado de estudios y  cédulas profesionales del Director General y de la Directora de Finanzas y Administración; así mismo, manifestó que: “…</w:t>
      </w:r>
      <w:r>
        <w:rPr>
          <w:rFonts w:ascii="Palatino Linotype" w:eastAsia="Palatino Linotype" w:hAnsi="Palatino Linotype" w:cs="Palatino Linotype"/>
          <w:i/>
        </w:rPr>
        <w:t xml:space="preserve">con base en los artículos 32, 96 de la Ley Orgánica Municipal del Estado de México, </w:t>
      </w:r>
      <w:r>
        <w:rPr>
          <w:rFonts w:ascii="Palatino Linotype" w:eastAsia="Palatino Linotype" w:hAnsi="Palatino Linotype" w:cs="Palatino Linotype"/>
          <w:i/>
          <w:u w:val="single"/>
        </w:rPr>
        <w:t>el Subdirector de Ingresos y Finanzas, Jefe de Cuenta Pública, y Subdirector de Egresos de la Administración</w:t>
      </w:r>
      <w:r>
        <w:rPr>
          <w:rFonts w:ascii="Palatino Linotype" w:eastAsia="Palatino Linotype" w:hAnsi="Palatino Linotype" w:cs="Palatino Linotype"/>
          <w:b/>
          <w:i/>
          <w:u w:val="single"/>
        </w:rPr>
        <w:t>, no son sujetos obligados a presentar Títulos y Cedula Profesional</w:t>
      </w:r>
      <w:r>
        <w:rPr>
          <w:rFonts w:ascii="Palatino Linotype" w:eastAsia="Palatino Linotype" w:hAnsi="Palatino Linotype" w:cs="Palatino Linotype"/>
          <w:i/>
        </w:rPr>
        <w:t>. (Sic)</w:t>
      </w:r>
    </w:p>
    <w:p w:rsidR="00685106" w:rsidRDefault="00685106">
      <w:pPr>
        <w:spacing w:after="0" w:line="360" w:lineRule="auto"/>
        <w:jc w:val="both"/>
        <w:rPr>
          <w:rFonts w:ascii="Palatino Linotype" w:eastAsia="Palatino Linotype" w:hAnsi="Palatino Linotype" w:cs="Palatino Linotype"/>
        </w:rPr>
      </w:pPr>
    </w:p>
    <w:p w:rsidR="00685106" w:rsidRDefault="007005FA">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Conocida la respuesta,  el entonces solicitante interpuso el recurso de revisión de mérito, en el que como razones o motivos de inconformidad manifestó lo siguiente: </w:t>
      </w:r>
    </w:p>
    <w:p w:rsidR="00685106" w:rsidRDefault="007005FA">
      <w:pPr>
        <w:spacing w:after="0" w:line="276" w:lineRule="auto"/>
        <w:ind w:left="567" w:right="567"/>
        <w:jc w:val="both"/>
        <w:rPr>
          <w:rFonts w:ascii="Palatino Linotype" w:eastAsia="Palatino Linotype" w:hAnsi="Palatino Linotype" w:cs="Palatino Linotype"/>
          <w:i/>
        </w:rPr>
      </w:pPr>
      <w:bookmarkStart w:id="0" w:name="_heading=h.30j0zll" w:colFirst="0" w:colLast="0"/>
      <w:bookmarkEnd w:id="0"/>
      <w:r>
        <w:rPr>
          <w:rFonts w:ascii="Palatino Linotype" w:eastAsia="Palatino Linotype" w:hAnsi="Palatino Linotype" w:cs="Palatino Linotype"/>
          <w:i/>
        </w:rPr>
        <w:t xml:space="preserve">“Que el requerimiento de información hecho mediante folio </w:t>
      </w:r>
      <w:proofErr w:type="spellStart"/>
      <w:r>
        <w:rPr>
          <w:rFonts w:ascii="Palatino Linotype" w:eastAsia="Palatino Linotype" w:hAnsi="Palatino Linotype" w:cs="Palatino Linotype"/>
          <w:i/>
        </w:rPr>
        <w:t>numero</w:t>
      </w:r>
      <w:proofErr w:type="spellEnd"/>
      <w:r>
        <w:rPr>
          <w:rFonts w:ascii="Palatino Linotype" w:eastAsia="Palatino Linotype" w:hAnsi="Palatino Linotype" w:cs="Palatino Linotype"/>
          <w:i/>
        </w:rPr>
        <w:t xml:space="preserve"> 00007/OASTECAMAC/IP/2023, indica que se entregue copia de los documentos que acrediten el grado de estudios y cedula profesional debidamente testados de las personas que ocupan los cargos de a) DIRECTOR GENERAL b) DIRECTORA DE FINANZAS Y ADMINISTRACIÓN c) SUBDIRECCIÓN DE INGRESOS Y FINANZAS d) CONTABILIDAD Y PRESUPUESTO e) INGRESOS Y CAJA GENERAL f) SUBDIRECCIÓN DE EGRESOS Y ADMINISTRACIÓN, siendo que dicha información corresponde a documentos que cada servidor </w:t>
      </w:r>
      <w:proofErr w:type="spellStart"/>
      <w:r>
        <w:rPr>
          <w:rFonts w:ascii="Palatino Linotype" w:eastAsia="Palatino Linotype" w:hAnsi="Palatino Linotype" w:cs="Palatino Linotype"/>
          <w:i/>
        </w:rPr>
        <w:t>publico</w:t>
      </w:r>
      <w:proofErr w:type="spellEnd"/>
      <w:r>
        <w:rPr>
          <w:rFonts w:ascii="Palatino Linotype" w:eastAsia="Palatino Linotype" w:hAnsi="Palatino Linotype" w:cs="Palatino Linotype"/>
          <w:i/>
        </w:rPr>
        <w:t xml:space="preserve"> debe de entregar en el momento de su contratación, como parte del perfil de cada cargo ocupado, en razón de lo establecido en la gaceta número 5 del año 2022 de fecha 1 de febrero de 2022, referente al CAPÍTULO IV “DE LA ADMINISTRACIÓN PUBLICA MUNICIPAL DESCENTRALIZADA” en su artículo 54, así mismo en lo establecido en el </w:t>
      </w:r>
      <w:proofErr w:type="spellStart"/>
      <w:r>
        <w:rPr>
          <w:rFonts w:ascii="Palatino Linotype" w:eastAsia="Palatino Linotype" w:hAnsi="Palatino Linotype" w:cs="Palatino Linotype"/>
          <w:i/>
        </w:rPr>
        <w:t>articulo</w:t>
      </w:r>
      <w:proofErr w:type="spellEnd"/>
      <w:r>
        <w:rPr>
          <w:rFonts w:ascii="Palatino Linotype" w:eastAsia="Palatino Linotype" w:hAnsi="Palatino Linotype" w:cs="Palatino Linotype"/>
          <w:i/>
        </w:rPr>
        <w:t xml:space="preserve"> 2.7 del CÓDIGO REGLAMENTARIO MUNICIPAL DE TECÁMAC fracción VIII que a la letra dice "...Para ingresar a la administración pública municipal, se requiere lo siguiente: ... VIII Comprobante de estudios..." </w:t>
      </w:r>
      <w:r>
        <w:rPr>
          <w:rFonts w:ascii="Palatino Linotype" w:eastAsia="Palatino Linotype" w:hAnsi="Palatino Linotype" w:cs="Palatino Linotype"/>
          <w:b/>
          <w:i/>
          <w:u w:val="single"/>
        </w:rPr>
        <w:t>En este sentido en la contestación hecha por la entidad municipal mediante oficio ODAS/DFA/SEA/DRH/43/2023, menciona que solo hace entrega de la documentación correspondiente al DIRECTOR GENERAL y DIRECTORA DE FINANZAS Y ADMINISTRACIÓN, indicando que solo estos son los obligados a entregar la documentación solicitada</w:t>
      </w:r>
      <w:r>
        <w:rPr>
          <w:rFonts w:ascii="Palatino Linotype" w:eastAsia="Palatino Linotype" w:hAnsi="Palatino Linotype" w:cs="Palatino Linotype"/>
          <w:i/>
        </w:rPr>
        <w:t xml:space="preserve">. Ahora bien, hago hincapié en manifestar que mi solicitud no </w:t>
      </w:r>
      <w:proofErr w:type="spellStart"/>
      <w:r>
        <w:rPr>
          <w:rFonts w:ascii="Palatino Linotype" w:eastAsia="Palatino Linotype" w:hAnsi="Palatino Linotype" w:cs="Palatino Linotype"/>
          <w:i/>
        </w:rPr>
        <w:t>esta</w:t>
      </w:r>
      <w:proofErr w:type="spellEnd"/>
      <w:r>
        <w:rPr>
          <w:rFonts w:ascii="Palatino Linotype" w:eastAsia="Palatino Linotype" w:hAnsi="Palatino Linotype" w:cs="Palatino Linotype"/>
          <w:i/>
        </w:rPr>
        <w:t xml:space="preserve"> basada en el marco del articulo 32 y 96 de la Ley Orgánica Municipal que deriva en los requisitos necesarios para ocupar los cargos de los titulares de las áreas administrativas del municipio, sino por el contrario mi solicitud esta encausada en la documentación que cada servidor </w:t>
      </w:r>
      <w:proofErr w:type="spellStart"/>
      <w:r>
        <w:rPr>
          <w:rFonts w:ascii="Palatino Linotype" w:eastAsia="Palatino Linotype" w:hAnsi="Palatino Linotype" w:cs="Palatino Linotype"/>
          <w:i/>
        </w:rPr>
        <w:t>publico</w:t>
      </w:r>
      <w:proofErr w:type="spellEnd"/>
      <w:r>
        <w:rPr>
          <w:rFonts w:ascii="Palatino Linotype" w:eastAsia="Palatino Linotype" w:hAnsi="Palatino Linotype" w:cs="Palatino Linotype"/>
          <w:i/>
        </w:rPr>
        <w:t xml:space="preserve"> en general tiene la obligación de entregar para su acceso e ingreso </w:t>
      </w:r>
      <w:r>
        <w:rPr>
          <w:rFonts w:ascii="Palatino Linotype" w:eastAsia="Palatino Linotype" w:hAnsi="Palatino Linotype" w:cs="Palatino Linotype"/>
          <w:i/>
        </w:rPr>
        <w:lastRenderedPageBreak/>
        <w:t xml:space="preserve">laboral en el servicio </w:t>
      </w:r>
      <w:proofErr w:type="spellStart"/>
      <w:r>
        <w:rPr>
          <w:rFonts w:ascii="Palatino Linotype" w:eastAsia="Palatino Linotype" w:hAnsi="Palatino Linotype" w:cs="Palatino Linotype"/>
          <w:i/>
        </w:rPr>
        <w:t>publico</w:t>
      </w:r>
      <w:proofErr w:type="spellEnd"/>
      <w:r>
        <w:rPr>
          <w:rFonts w:ascii="Palatino Linotype" w:eastAsia="Palatino Linotype" w:hAnsi="Palatino Linotype" w:cs="Palatino Linotype"/>
          <w:i/>
        </w:rPr>
        <w:t xml:space="preserve"> municipal de Tecámac, tal y como lo describe el CÓDIGO REGLAMENTARIO MUNICIPAL DE TECÁMAC y demás ordenanzas municipales. Por lo tanto el servidor </w:t>
      </w:r>
      <w:proofErr w:type="spellStart"/>
      <w:r>
        <w:rPr>
          <w:rFonts w:ascii="Palatino Linotype" w:eastAsia="Palatino Linotype" w:hAnsi="Palatino Linotype" w:cs="Palatino Linotype"/>
          <w:i/>
        </w:rPr>
        <w:t>publico</w:t>
      </w:r>
      <w:proofErr w:type="spellEnd"/>
      <w:r>
        <w:rPr>
          <w:rFonts w:ascii="Palatino Linotype" w:eastAsia="Palatino Linotype" w:hAnsi="Palatino Linotype" w:cs="Palatino Linotype"/>
          <w:i/>
        </w:rPr>
        <w:t xml:space="preserve"> encargado de entregar la información como lo es la Lic. Cecilia Hernández Gutiérrez, </w:t>
      </w:r>
      <w:r>
        <w:rPr>
          <w:rFonts w:ascii="Palatino Linotype" w:eastAsia="Palatino Linotype" w:hAnsi="Palatino Linotype" w:cs="Palatino Linotype"/>
          <w:b/>
          <w:i/>
          <w:u w:val="single"/>
        </w:rPr>
        <w:t>Jefa del Departamento de Recursos Humanos del ODAPAS Tecámac, se niega a entregar la documentación</w:t>
      </w:r>
      <w:r>
        <w:rPr>
          <w:rFonts w:ascii="Palatino Linotype" w:eastAsia="Palatino Linotype" w:hAnsi="Palatino Linotype" w:cs="Palatino Linotype"/>
          <w:i/>
        </w:rPr>
        <w:t xml:space="preserve"> que por norma y política laboral el área a su cargo tiene en resguardo, esto en el sentido de que todo trabajador que ingrese al servicio </w:t>
      </w:r>
      <w:proofErr w:type="spellStart"/>
      <w:r>
        <w:rPr>
          <w:rFonts w:ascii="Palatino Linotype" w:eastAsia="Palatino Linotype" w:hAnsi="Palatino Linotype" w:cs="Palatino Linotype"/>
          <w:i/>
        </w:rPr>
        <w:t>publico</w:t>
      </w:r>
      <w:proofErr w:type="spellEnd"/>
      <w:r>
        <w:rPr>
          <w:rFonts w:ascii="Palatino Linotype" w:eastAsia="Palatino Linotype" w:hAnsi="Palatino Linotype" w:cs="Palatino Linotype"/>
          <w:i/>
        </w:rPr>
        <w:t xml:space="preserve"> municipal deberá de entregar documentación que acredite su personalidad física, académica y de identificación, sin importar si son titulares o no; en tal caso la Lic. Cecilia Hernández Gutiérrez busca desvirtuar mi solicitud para evitar la entrega de la documentación solicitada, incumpliendo con sus atribuciones y obligaciones que la ley establece en su actuar.” (Sic.)</w:t>
      </w:r>
    </w:p>
    <w:p w:rsidR="00685106" w:rsidRDefault="00685106">
      <w:pPr>
        <w:spacing w:after="0" w:line="360" w:lineRule="auto"/>
        <w:jc w:val="both"/>
        <w:rPr>
          <w:rFonts w:ascii="Palatino Linotype" w:eastAsia="Palatino Linotype" w:hAnsi="Palatino Linotype" w:cs="Palatino Linotype"/>
        </w:rPr>
      </w:pPr>
    </w:p>
    <w:p w:rsidR="00685106" w:rsidRDefault="007005FA">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Derivado de lo anterior, se estima que el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no manifestó agravio respecto la documentación entregada del Director General y de la Directora de Finanzas y Administración por lo que la Ponencia </w:t>
      </w:r>
      <w:proofErr w:type="spellStart"/>
      <w:r>
        <w:rPr>
          <w:rFonts w:ascii="Palatino Linotype" w:eastAsia="Palatino Linotype" w:hAnsi="Palatino Linotype" w:cs="Palatino Linotype"/>
        </w:rPr>
        <w:t>Resolutora</w:t>
      </w:r>
      <w:proofErr w:type="spellEnd"/>
      <w:r>
        <w:rPr>
          <w:rFonts w:ascii="Palatino Linotype" w:eastAsia="Palatino Linotype" w:hAnsi="Palatino Linotype" w:cs="Palatino Linotype"/>
        </w:rPr>
        <w:t xml:space="preserve"> debió aplicar el criterio de actos consentidos, respecto de los documentos entregados en respuesta, tan es así que, no se entró al fondo del asunto respecto de las documentales remitidas y únicamente se determinó sólo ordenar los documentos faltantes. No obstante, dentro de la resolución emitida se determinó dar vista a la Dirección General de Datos, sin embargo, como ya se señaló, el Particular no se inconformó respecto de la información entregada sólo por la negativa del Sujeto Obligado para entregar el título y cédula profesional del Subdirector de Ingresos y Finanzas, Jefe de Cuenta Pública, Subdirector de Egresos de la Administración al manifestar que no son sujetos obligado a presentar los documentos que se solicitan de conformidad con los artículos 32 y 96 de la Ley Orgánica Municipal del Estado de México. </w:t>
      </w:r>
    </w:p>
    <w:p w:rsidR="00685106" w:rsidRDefault="00685106">
      <w:pPr>
        <w:spacing w:after="0" w:line="360" w:lineRule="auto"/>
        <w:jc w:val="both"/>
        <w:rPr>
          <w:rFonts w:ascii="Palatino Linotype" w:eastAsia="Palatino Linotype" w:hAnsi="Palatino Linotype" w:cs="Palatino Linotype"/>
        </w:rPr>
      </w:pPr>
    </w:p>
    <w:p w:rsidR="00685106" w:rsidRDefault="007005FA">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Al respecto, es preciso mencionar que, si bien, se comparte el sentido de la Resolución emitida en virtud de que procede ordenar los documentos que dan cuenta de la información faltante, también lo es que, la vista a la Dirección General de Datos constituye el motivo para la emisión del presente Voto Particular, toda vez, que conforme a los artículos 1°, 7°, 29, 36 </w:t>
      </w:r>
      <w:r>
        <w:rPr>
          <w:rFonts w:ascii="Palatino Linotype" w:eastAsia="Palatino Linotype" w:hAnsi="Palatino Linotype" w:cs="Palatino Linotype"/>
        </w:rPr>
        <w:lastRenderedPageBreak/>
        <w:t>fracciones II, XVI, XXI,XXII, XXVII y XXXVIII; 176, 185, 186, 188, 195, 198, 199, 200, 214, 216 y 220, fracción XIX de la Ley de Transparencia vigente en la Entidad, esta tiene por objeto establecer los principios, bases generales y procedimientos para tutelar y garantizar la transparencia y el derecho humano de acceso a la información pública en posesión de los sujetos obligados, del mismo modo precisa que este Instituto es un órgano público estatal constitucionalmente autónomo, especializado, independiente, imparcial y colegiado dotado de personalidad jurídica y patrimonio propio, con plena autonomía técnica, de gestión, capacidad para decidir sobre el ejercicio de su presupuesto y determinar su organización interna, responsable de garantizar el ejercicio de los derechos de acceso a la información pública conforme a los principios y bases establecidas en la Constitución Federal, Constitución Local, Ley General, así como lo previsto en esta Ley y demás disposiciones jurídicas aplicables.</w:t>
      </w:r>
    </w:p>
    <w:p w:rsidR="00685106" w:rsidRDefault="00685106">
      <w:pPr>
        <w:tabs>
          <w:tab w:val="left" w:pos="0"/>
        </w:tabs>
        <w:spacing w:after="0" w:line="360" w:lineRule="auto"/>
        <w:ind w:right="49"/>
        <w:jc w:val="both"/>
        <w:rPr>
          <w:rFonts w:ascii="Palatino Linotype" w:eastAsia="Palatino Linotype" w:hAnsi="Palatino Linotype" w:cs="Palatino Linotype"/>
        </w:rPr>
      </w:pPr>
    </w:p>
    <w:p w:rsidR="00685106" w:rsidRDefault="007005FA">
      <w:pPr>
        <w:shd w:val="clear" w:color="auto" w:fill="FFFFFF"/>
        <w:spacing w:after="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En ese sentido, es de resaltar que el recurso de revisión es la garantía secundaria mediante la cual se pretende reparar cualquier posible afectación al derecho de acceso a la información pública, en donde las resoluciones de este Órgano Garante pueden:</w:t>
      </w:r>
    </w:p>
    <w:p w:rsidR="00685106" w:rsidRDefault="00685106">
      <w:pPr>
        <w:shd w:val="clear" w:color="auto" w:fill="FFFFFF"/>
        <w:spacing w:after="0" w:line="360" w:lineRule="auto"/>
        <w:ind w:right="49"/>
        <w:jc w:val="both"/>
        <w:rPr>
          <w:rFonts w:ascii="Palatino Linotype" w:eastAsia="Palatino Linotype" w:hAnsi="Palatino Linotype" w:cs="Palatino Linotype"/>
        </w:rPr>
      </w:pPr>
    </w:p>
    <w:p w:rsidR="00685106" w:rsidRDefault="007005FA">
      <w:pPr>
        <w:numPr>
          <w:ilvl w:val="0"/>
          <w:numId w:val="1"/>
        </w:num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Desechar o sobreseer el recurso</w:t>
      </w:r>
    </w:p>
    <w:p w:rsidR="00685106" w:rsidRDefault="007005FA">
      <w:pPr>
        <w:numPr>
          <w:ilvl w:val="0"/>
          <w:numId w:val="1"/>
        </w:num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Confirma la respuesta del sujeto obligado</w:t>
      </w:r>
    </w:p>
    <w:p w:rsidR="00685106" w:rsidRDefault="007005FA">
      <w:pPr>
        <w:numPr>
          <w:ilvl w:val="0"/>
          <w:numId w:val="1"/>
        </w:num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Revocar o modificar la respuesta del sujeto obligado; y </w:t>
      </w:r>
    </w:p>
    <w:p w:rsidR="00685106" w:rsidRDefault="007005FA">
      <w:pPr>
        <w:numPr>
          <w:ilvl w:val="0"/>
          <w:numId w:val="1"/>
        </w:num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Ordenar la entrega de la información</w:t>
      </w:r>
    </w:p>
    <w:p w:rsidR="00685106" w:rsidRDefault="00685106">
      <w:pPr>
        <w:spacing w:after="0" w:line="360" w:lineRule="auto"/>
        <w:jc w:val="both"/>
        <w:rPr>
          <w:rFonts w:ascii="Palatino Linotype" w:eastAsia="Palatino Linotype" w:hAnsi="Palatino Linotype" w:cs="Palatino Linotype"/>
        </w:rPr>
      </w:pPr>
    </w:p>
    <w:p w:rsidR="00685106" w:rsidRDefault="007005FA">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Cabe agregar que las resoluciones que pronuncie este Instituto deben contener cuatro aspectos importantes:</w:t>
      </w:r>
    </w:p>
    <w:p w:rsidR="00685106" w:rsidRDefault="007005FA">
      <w:pPr>
        <w:numPr>
          <w:ilvl w:val="0"/>
          <w:numId w:val="2"/>
        </w:num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Lugar, fecha, el nombre del recurrente y del tercero interesado en su caso, sujeto obligado y un extracto de los hechos cuestionados;</w:t>
      </w:r>
    </w:p>
    <w:p w:rsidR="00685106" w:rsidRDefault="007005FA">
      <w:pPr>
        <w:numPr>
          <w:ilvl w:val="0"/>
          <w:numId w:val="2"/>
        </w:num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Los preceptos en que se fundamenten y las consideraciones que las sustenten;</w:t>
      </w:r>
    </w:p>
    <w:p w:rsidR="00685106" w:rsidRDefault="007005FA">
      <w:pPr>
        <w:numPr>
          <w:ilvl w:val="0"/>
          <w:numId w:val="2"/>
        </w:num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Los alcances y efectos de la resolución, fijando con precisión, en su caso, los sujetos y órganos obligados a cumplirla; y</w:t>
      </w:r>
    </w:p>
    <w:p w:rsidR="00685106" w:rsidRDefault="007005FA">
      <w:pPr>
        <w:numPr>
          <w:ilvl w:val="0"/>
          <w:numId w:val="2"/>
        </w:num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Los puntos resolutivos.</w:t>
      </w:r>
    </w:p>
    <w:p w:rsidR="00685106" w:rsidRDefault="00685106">
      <w:pPr>
        <w:spacing w:after="0" w:line="360" w:lineRule="auto"/>
        <w:jc w:val="both"/>
        <w:rPr>
          <w:rFonts w:ascii="Palatino Linotype" w:eastAsia="Palatino Linotype" w:hAnsi="Palatino Linotype" w:cs="Palatino Linotype"/>
        </w:rPr>
      </w:pPr>
    </w:p>
    <w:p w:rsidR="00685106" w:rsidRDefault="007005FA">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Sobre este punto, se considera de suma importancia mencionar que de la normatividad citada, se advierte que este Instituto está facultado entre otras cosas para:</w:t>
      </w:r>
    </w:p>
    <w:p w:rsidR="00685106" w:rsidRDefault="00685106">
      <w:pPr>
        <w:spacing w:after="0" w:line="360" w:lineRule="auto"/>
        <w:jc w:val="both"/>
        <w:rPr>
          <w:rFonts w:ascii="Palatino Linotype" w:eastAsia="Palatino Linotype" w:hAnsi="Palatino Linotype" w:cs="Palatino Linotype"/>
        </w:rPr>
      </w:pPr>
    </w:p>
    <w:p w:rsidR="00685106" w:rsidRDefault="007005FA">
      <w:pPr>
        <w:numPr>
          <w:ilvl w:val="0"/>
          <w:numId w:val="3"/>
        </w:numPr>
        <w:spacing w:after="0" w:line="360" w:lineRule="auto"/>
        <w:jc w:val="both"/>
        <w:rPr>
          <w:rFonts w:ascii="Palatino Linotype" w:eastAsia="Palatino Linotype" w:hAnsi="Palatino Linotype" w:cs="Palatino Linotype"/>
          <w:i/>
        </w:rPr>
      </w:pPr>
      <w:r>
        <w:rPr>
          <w:rFonts w:ascii="Palatino Linotype" w:eastAsia="Palatino Linotype" w:hAnsi="Palatino Linotype" w:cs="Palatino Linotype"/>
          <w:i/>
        </w:rPr>
        <w:t>Conocer y resolver los recursos de revisión interpuestos por los particulares en contra de las resoluciones de los sujetos obligados en el ámbito estatal;</w:t>
      </w:r>
    </w:p>
    <w:p w:rsidR="00685106" w:rsidRDefault="00685106">
      <w:pPr>
        <w:spacing w:after="0" w:line="360" w:lineRule="auto"/>
        <w:ind w:left="720"/>
        <w:jc w:val="both"/>
        <w:rPr>
          <w:rFonts w:ascii="Palatino Linotype" w:eastAsia="Palatino Linotype" w:hAnsi="Palatino Linotype" w:cs="Palatino Linotype"/>
          <w:i/>
          <w:sz w:val="10"/>
          <w:szCs w:val="10"/>
        </w:rPr>
      </w:pPr>
    </w:p>
    <w:p w:rsidR="00685106" w:rsidRDefault="007005FA">
      <w:pPr>
        <w:numPr>
          <w:ilvl w:val="0"/>
          <w:numId w:val="3"/>
        </w:numPr>
        <w:spacing w:after="0" w:line="360" w:lineRule="auto"/>
        <w:jc w:val="both"/>
        <w:rPr>
          <w:rFonts w:ascii="Palatino Linotype" w:eastAsia="Palatino Linotype" w:hAnsi="Palatino Linotype" w:cs="Palatino Linotype"/>
          <w:i/>
        </w:rPr>
      </w:pPr>
      <w:r>
        <w:rPr>
          <w:rFonts w:ascii="Palatino Linotype" w:eastAsia="Palatino Linotype" w:hAnsi="Palatino Linotype" w:cs="Palatino Linotype"/>
          <w:i/>
        </w:rPr>
        <w:t>Realizar de oficio y a petición de parte, análisis y recomendaciones o en su caso, lineamientos en relación con presuntos incumplimientos a las disposiciones de la Ley, cuando existan elementos suficientes a juicio del Pleno del Instituto;</w:t>
      </w:r>
    </w:p>
    <w:p w:rsidR="00685106" w:rsidRDefault="00685106">
      <w:pPr>
        <w:spacing w:after="0" w:line="360" w:lineRule="auto"/>
        <w:ind w:left="720"/>
        <w:jc w:val="both"/>
        <w:rPr>
          <w:rFonts w:ascii="Palatino Linotype" w:eastAsia="Palatino Linotype" w:hAnsi="Palatino Linotype" w:cs="Palatino Linotype"/>
          <w:i/>
          <w:sz w:val="10"/>
          <w:szCs w:val="10"/>
        </w:rPr>
      </w:pPr>
    </w:p>
    <w:p w:rsidR="00685106" w:rsidRDefault="007005FA">
      <w:pPr>
        <w:numPr>
          <w:ilvl w:val="0"/>
          <w:numId w:val="3"/>
        </w:numPr>
        <w:spacing w:after="0" w:line="360" w:lineRule="auto"/>
        <w:jc w:val="both"/>
        <w:rPr>
          <w:rFonts w:ascii="Palatino Linotype" w:eastAsia="Palatino Linotype" w:hAnsi="Palatino Linotype" w:cs="Palatino Linotype"/>
          <w:i/>
        </w:rPr>
      </w:pPr>
      <w:r>
        <w:rPr>
          <w:rFonts w:ascii="Palatino Linotype" w:eastAsia="Palatino Linotype" w:hAnsi="Palatino Linotype" w:cs="Palatino Linotype"/>
          <w:i/>
        </w:rPr>
        <w:t>Emitir comunicados públicos sobre el incumplimiento de sus resoluciones o por infracciones reiteradas a la Ley, en el ámbito de su competencia;</w:t>
      </w:r>
    </w:p>
    <w:p w:rsidR="00685106" w:rsidRDefault="00685106">
      <w:pPr>
        <w:spacing w:after="0" w:line="360" w:lineRule="auto"/>
        <w:ind w:left="720"/>
        <w:jc w:val="both"/>
        <w:rPr>
          <w:rFonts w:ascii="Palatino Linotype" w:eastAsia="Palatino Linotype" w:hAnsi="Palatino Linotype" w:cs="Palatino Linotype"/>
          <w:i/>
          <w:sz w:val="10"/>
          <w:szCs w:val="10"/>
        </w:rPr>
      </w:pPr>
    </w:p>
    <w:p w:rsidR="00685106" w:rsidRDefault="007005FA">
      <w:pPr>
        <w:numPr>
          <w:ilvl w:val="0"/>
          <w:numId w:val="3"/>
        </w:numPr>
        <w:spacing w:after="0" w:line="360" w:lineRule="auto"/>
        <w:jc w:val="both"/>
        <w:rPr>
          <w:rFonts w:ascii="Palatino Linotype" w:eastAsia="Palatino Linotype" w:hAnsi="Palatino Linotype" w:cs="Palatino Linotype"/>
          <w:i/>
        </w:rPr>
      </w:pPr>
      <w:r>
        <w:rPr>
          <w:rFonts w:ascii="Palatino Linotype" w:eastAsia="Palatino Linotype" w:hAnsi="Palatino Linotype" w:cs="Palatino Linotype"/>
          <w:i/>
        </w:rPr>
        <w:t>Ordenar a los sujetos obligados la ejecutoría en la entrega de información en términos de la presente Ley;</w:t>
      </w:r>
    </w:p>
    <w:p w:rsidR="00685106" w:rsidRDefault="00685106">
      <w:pPr>
        <w:spacing w:after="0" w:line="360" w:lineRule="auto"/>
        <w:ind w:left="720"/>
        <w:jc w:val="both"/>
        <w:rPr>
          <w:rFonts w:ascii="Palatino Linotype" w:eastAsia="Palatino Linotype" w:hAnsi="Palatino Linotype" w:cs="Palatino Linotype"/>
          <w:i/>
          <w:sz w:val="10"/>
          <w:szCs w:val="10"/>
        </w:rPr>
      </w:pPr>
    </w:p>
    <w:p w:rsidR="00685106" w:rsidRDefault="007005FA">
      <w:pPr>
        <w:numPr>
          <w:ilvl w:val="0"/>
          <w:numId w:val="3"/>
        </w:numPr>
        <w:spacing w:after="0" w:line="360" w:lineRule="auto"/>
        <w:jc w:val="both"/>
        <w:rPr>
          <w:rFonts w:ascii="Palatino Linotype" w:eastAsia="Palatino Linotype" w:hAnsi="Palatino Linotype" w:cs="Palatino Linotype"/>
          <w:i/>
        </w:rPr>
      </w:pPr>
      <w:r>
        <w:rPr>
          <w:rFonts w:ascii="Palatino Linotype" w:eastAsia="Palatino Linotype" w:hAnsi="Palatino Linotype" w:cs="Palatino Linotype"/>
          <w:i/>
        </w:rPr>
        <w:t>Imponer las medidas de apremio para asegurar el cumplimiento de sus determinaciones;</w:t>
      </w:r>
    </w:p>
    <w:p w:rsidR="00685106" w:rsidRDefault="00685106">
      <w:pPr>
        <w:spacing w:after="0" w:line="360" w:lineRule="auto"/>
        <w:ind w:left="720"/>
        <w:jc w:val="both"/>
        <w:rPr>
          <w:rFonts w:ascii="Palatino Linotype" w:eastAsia="Palatino Linotype" w:hAnsi="Palatino Linotype" w:cs="Palatino Linotype"/>
          <w:i/>
          <w:sz w:val="10"/>
          <w:szCs w:val="10"/>
        </w:rPr>
      </w:pPr>
    </w:p>
    <w:p w:rsidR="00685106" w:rsidRDefault="007005FA">
      <w:pPr>
        <w:numPr>
          <w:ilvl w:val="0"/>
          <w:numId w:val="3"/>
        </w:numPr>
        <w:spacing w:after="0" w:line="360" w:lineRule="auto"/>
        <w:jc w:val="both"/>
        <w:rPr>
          <w:rFonts w:ascii="Palatino Linotype" w:eastAsia="Palatino Linotype" w:hAnsi="Palatino Linotype" w:cs="Palatino Linotype"/>
          <w:i/>
        </w:rPr>
      </w:pPr>
      <w:r>
        <w:rPr>
          <w:rFonts w:ascii="Palatino Linotype" w:eastAsia="Palatino Linotype" w:hAnsi="Palatino Linotype" w:cs="Palatino Linotype"/>
          <w:b/>
          <w:i/>
          <w:u w:val="single"/>
        </w:rPr>
        <w:t>Hacer del conocimiento de la instancia competente la probable responsabilidad por el incumplimiento de las obligaciones</w:t>
      </w:r>
      <w:r>
        <w:rPr>
          <w:rFonts w:ascii="Palatino Linotype" w:eastAsia="Palatino Linotype" w:hAnsi="Palatino Linotype" w:cs="Palatino Linotype"/>
          <w:i/>
        </w:rPr>
        <w:t xml:space="preserve"> previstas en la Ley y en las demás disposiciones aplicable.  </w:t>
      </w:r>
    </w:p>
    <w:p w:rsidR="00685106" w:rsidRDefault="00685106">
      <w:pPr>
        <w:spacing w:after="0" w:line="360" w:lineRule="auto"/>
        <w:jc w:val="both"/>
        <w:rPr>
          <w:rFonts w:ascii="Palatino Linotype" w:eastAsia="Palatino Linotype" w:hAnsi="Palatino Linotype" w:cs="Palatino Linotype"/>
        </w:rPr>
      </w:pPr>
    </w:p>
    <w:p w:rsidR="00685106" w:rsidRDefault="007005FA">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Establecido lo anterior, debe tomarse en cuenta que la vista a la Dirección General de Datos de este Instituto, no debió incluirse en los resolutivos de la resolución referida, toda vez que, </w:t>
      </w:r>
      <w:r>
        <w:rPr>
          <w:rFonts w:ascii="Palatino Linotype" w:eastAsia="Palatino Linotype" w:hAnsi="Palatino Linotype" w:cs="Palatino Linotype"/>
        </w:rPr>
        <w:lastRenderedPageBreak/>
        <w:t>el Particular no se inconformó sobre la información proporcionada en respuesta, es decir, no forma parte de la “</w:t>
      </w:r>
      <w:r>
        <w:rPr>
          <w:rFonts w:ascii="Palatino Linotype" w:eastAsia="Palatino Linotype" w:hAnsi="Palatino Linotype" w:cs="Palatino Linotype"/>
          <w:i/>
        </w:rPr>
        <w:t xml:space="preserve">Litis” </w:t>
      </w:r>
      <w:r>
        <w:rPr>
          <w:rFonts w:ascii="Palatino Linotype" w:eastAsia="Palatino Linotype" w:hAnsi="Palatino Linotype" w:cs="Palatino Linotype"/>
        </w:rPr>
        <w:t>( “</w:t>
      </w:r>
      <w:r>
        <w:rPr>
          <w:rFonts w:ascii="Palatino Linotype" w:eastAsia="Palatino Linotype" w:hAnsi="Palatino Linotype" w:cs="Palatino Linotype"/>
          <w:i/>
        </w:rPr>
        <w:t xml:space="preserve">Litis”: </w:t>
      </w:r>
      <w:r>
        <w:rPr>
          <w:rFonts w:ascii="Palatino Linotype" w:eastAsia="Palatino Linotype" w:hAnsi="Palatino Linotype" w:cs="Palatino Linotype"/>
        </w:rPr>
        <w:t xml:space="preserve">vocablo latino que en idioma español se traduce como litigio, significando disputa o controversia judicial; diferencia de intereses entre dos partes, llamadas litigantes, sometidas a decisión de un Juez) y, por lo tanto, no se debió analizar la documentación entregada y considerar actos consentidos, así en el presente asunto, la vista en mención debió realizarse y tramitarse por cuerda separada, en caso de advertirse necesario.  </w:t>
      </w:r>
    </w:p>
    <w:p w:rsidR="00685106" w:rsidRDefault="00685106">
      <w:pPr>
        <w:spacing w:after="0" w:line="360" w:lineRule="auto"/>
        <w:jc w:val="both"/>
        <w:rPr>
          <w:rFonts w:ascii="Palatino Linotype" w:eastAsia="Palatino Linotype" w:hAnsi="Palatino Linotype" w:cs="Palatino Linotype"/>
        </w:rPr>
      </w:pPr>
    </w:p>
    <w:p w:rsidR="00685106" w:rsidRDefault="007005FA">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Aunado a lo anterior, respecto de los actos consentidos, de conformidad con lo dispuesto en el artículo 195 de la Ley de Transparencia y Acceso a la Información Pública del Estado de México y Municipios, con relación con el diverso 195, fracción IV, del Código de Procedimientos Administrativos del Estado de México, se establece que </w:t>
      </w:r>
      <w:r>
        <w:rPr>
          <w:rFonts w:ascii="Palatino Linotype" w:eastAsia="Palatino Linotype" w:hAnsi="Palatino Linotype" w:cs="Palatino Linotype"/>
          <w:u w:val="single"/>
        </w:rPr>
        <w:t>será improcedente el recurso</w:t>
      </w:r>
      <w:r>
        <w:rPr>
          <w:rFonts w:ascii="Palatino Linotype" w:eastAsia="Palatino Linotype" w:hAnsi="Palatino Linotype" w:cs="Palatino Linotype"/>
        </w:rPr>
        <w:t xml:space="preserve"> contra los actos que se hayan consentido tácitamente, entendiéndose por estos cuando el recurso no se haya promovido en el plazo señalado para el efecto.</w:t>
      </w:r>
    </w:p>
    <w:p w:rsidR="00685106" w:rsidRDefault="00685106">
      <w:pPr>
        <w:spacing w:after="0" w:line="360" w:lineRule="auto"/>
        <w:jc w:val="both"/>
        <w:rPr>
          <w:rFonts w:ascii="Palatino Linotype" w:eastAsia="Palatino Linotype" w:hAnsi="Palatino Linotype" w:cs="Palatino Linotype"/>
        </w:rPr>
      </w:pPr>
    </w:p>
    <w:p w:rsidR="00685106" w:rsidRDefault="007005FA">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la misma manera resulta aplicable el criterio sostenido por el Poder Judicial de la Federación de rubro </w:t>
      </w:r>
      <w:r>
        <w:rPr>
          <w:rFonts w:ascii="Palatino Linotype" w:eastAsia="Palatino Linotype" w:hAnsi="Palatino Linotype" w:cs="Palatino Linotype"/>
          <w:b/>
        </w:rPr>
        <w:t>ACTOS CONSENTIDOS TÁCITAMENTE</w:t>
      </w:r>
      <w:r>
        <w:rPr>
          <w:rFonts w:ascii="Palatino Linotype" w:eastAsia="Palatino Linotype" w:hAnsi="Palatino Linotype" w:cs="Palatino Linotype"/>
        </w:rPr>
        <w:t>, Tesis VI.2o. J/21, emitida en la novena época, por el Segundo Tribunal Colegiado del Sexto Circuito, publicada en la Gaceta del Semanario Judicial de la Federación en agosto de 1995, página 291 y número de registro 204707, del que se desprende que cuando no se reclaman los actos de autoridad en la vía y plazos establecidos en la Ley, se presume que el particular está conforme con los mismos.</w:t>
      </w:r>
    </w:p>
    <w:p w:rsidR="00685106" w:rsidRDefault="00685106">
      <w:pPr>
        <w:spacing w:after="0" w:line="360" w:lineRule="auto"/>
        <w:jc w:val="both"/>
        <w:rPr>
          <w:rFonts w:ascii="Palatino Linotype" w:eastAsia="Palatino Linotype" w:hAnsi="Palatino Linotype" w:cs="Palatino Linotype"/>
        </w:rPr>
      </w:pPr>
    </w:p>
    <w:p w:rsidR="00685106" w:rsidRDefault="007005FA">
      <w:pPr>
        <w:spacing w:after="0" w:line="360" w:lineRule="auto"/>
        <w:jc w:val="both"/>
        <w:rPr>
          <w:rFonts w:ascii="Palatino Linotype" w:eastAsia="Palatino Linotype" w:hAnsi="Palatino Linotype" w:cs="Palatino Linotype"/>
        </w:rPr>
      </w:pPr>
      <w:bookmarkStart w:id="1" w:name="_heading=h.gjdgxs" w:colFirst="0" w:colLast="0"/>
      <w:bookmarkEnd w:id="1"/>
      <w:r>
        <w:rPr>
          <w:rFonts w:ascii="Palatino Linotype" w:eastAsia="Palatino Linotype" w:hAnsi="Palatino Linotype" w:cs="Palatino Linotype"/>
        </w:rPr>
        <w:t xml:space="preserve">En ese sentido, en el caso de que el Particular no haya manifestado su inconformidad en contra del acto en su totalidad o en cualquiera de sus partes, se tendrá por consentido al no haber realizado argumento alguno que formulara un agravio en su contra, por lo que, en la </w:t>
      </w:r>
      <w:r>
        <w:rPr>
          <w:rFonts w:ascii="Palatino Linotype" w:eastAsia="Palatino Linotype" w:hAnsi="Palatino Linotype" w:cs="Palatino Linotype"/>
        </w:rPr>
        <w:lastRenderedPageBreak/>
        <w:t>especie, se valida la respuesta respecto de los puntos no controvertidos y se arriba a la conclusión de que estos quedaron firmes, tal como fue realizado, sin embargo, al no haber inconformidad sobre las documentales remitidas en respuesta, resulta innecesario la vista citada.</w:t>
      </w:r>
    </w:p>
    <w:p w:rsidR="00685106" w:rsidRDefault="00685106">
      <w:pPr>
        <w:spacing w:after="0" w:line="360" w:lineRule="auto"/>
        <w:jc w:val="both"/>
        <w:rPr>
          <w:rFonts w:ascii="Palatino Linotype" w:eastAsia="Palatino Linotype" w:hAnsi="Palatino Linotype" w:cs="Palatino Linotype"/>
        </w:rPr>
      </w:pPr>
    </w:p>
    <w:p w:rsidR="00685106" w:rsidRDefault="007005FA">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Lo anterior expone razones suficientes para la emisión y presentación del presente </w:t>
      </w:r>
      <w:r>
        <w:rPr>
          <w:rFonts w:ascii="Palatino Linotype" w:eastAsia="Palatino Linotype" w:hAnsi="Palatino Linotype" w:cs="Palatino Linotype"/>
          <w:b/>
        </w:rPr>
        <w:t>Voto Particular</w:t>
      </w:r>
      <w:r>
        <w:rPr>
          <w:rFonts w:ascii="Palatino Linotype" w:eastAsia="Palatino Linotype" w:hAnsi="Palatino Linotype" w:cs="Palatino Linotype"/>
        </w:rPr>
        <w:t>, relacionado con la resolución del Recurso de Revisión referido. ---------------------</w:t>
      </w:r>
    </w:p>
    <w:p w:rsidR="00685106" w:rsidRDefault="00685106">
      <w:pPr>
        <w:spacing w:after="0" w:line="360" w:lineRule="auto"/>
        <w:jc w:val="both"/>
        <w:rPr>
          <w:rFonts w:ascii="Palatino Linotype" w:eastAsia="Palatino Linotype" w:hAnsi="Palatino Linotype" w:cs="Palatino Linotype"/>
        </w:rPr>
      </w:pPr>
    </w:p>
    <w:p w:rsidR="00685106" w:rsidRDefault="00685106">
      <w:pPr>
        <w:spacing w:after="0" w:line="360" w:lineRule="auto"/>
        <w:jc w:val="both"/>
        <w:rPr>
          <w:rFonts w:ascii="Palatino Linotype" w:eastAsia="Palatino Linotype" w:hAnsi="Palatino Linotype" w:cs="Palatino Linotype"/>
        </w:rPr>
      </w:pPr>
    </w:p>
    <w:p w:rsidR="00685106" w:rsidRDefault="00685106">
      <w:pPr>
        <w:spacing w:after="0" w:line="360" w:lineRule="auto"/>
        <w:jc w:val="both"/>
        <w:rPr>
          <w:rFonts w:ascii="Palatino Linotype" w:eastAsia="Palatino Linotype" w:hAnsi="Palatino Linotype" w:cs="Palatino Linotype"/>
        </w:rPr>
      </w:pPr>
    </w:p>
    <w:p w:rsidR="00685106" w:rsidRDefault="00685106">
      <w:pPr>
        <w:spacing w:after="0" w:line="360" w:lineRule="auto"/>
        <w:jc w:val="both"/>
        <w:rPr>
          <w:rFonts w:ascii="Palatino Linotype" w:eastAsia="Palatino Linotype" w:hAnsi="Palatino Linotype" w:cs="Palatino Linotype"/>
        </w:rPr>
      </w:pPr>
    </w:p>
    <w:p w:rsidR="00685106" w:rsidRDefault="00685106">
      <w:pPr>
        <w:spacing w:after="0" w:line="360" w:lineRule="auto"/>
        <w:jc w:val="both"/>
        <w:rPr>
          <w:rFonts w:ascii="Palatino Linotype" w:eastAsia="Palatino Linotype" w:hAnsi="Palatino Linotype" w:cs="Palatino Linotype"/>
        </w:rPr>
      </w:pPr>
    </w:p>
    <w:p w:rsidR="00685106" w:rsidRDefault="00685106">
      <w:pPr>
        <w:spacing w:after="0" w:line="360" w:lineRule="auto"/>
        <w:jc w:val="both"/>
        <w:rPr>
          <w:rFonts w:ascii="Palatino Linotype" w:eastAsia="Palatino Linotype" w:hAnsi="Palatino Linotype" w:cs="Palatino Linotype"/>
        </w:rPr>
      </w:pPr>
    </w:p>
    <w:p w:rsidR="00685106" w:rsidRDefault="00685106">
      <w:pPr>
        <w:spacing w:after="0" w:line="360" w:lineRule="auto"/>
        <w:jc w:val="both"/>
        <w:rPr>
          <w:rFonts w:ascii="Palatino Linotype" w:eastAsia="Palatino Linotype" w:hAnsi="Palatino Linotype" w:cs="Palatino Linotype"/>
        </w:rPr>
      </w:pPr>
    </w:p>
    <w:p w:rsidR="00685106" w:rsidRDefault="00685106">
      <w:pPr>
        <w:spacing w:after="0" w:line="360" w:lineRule="auto"/>
        <w:jc w:val="both"/>
        <w:rPr>
          <w:rFonts w:ascii="Palatino Linotype" w:eastAsia="Palatino Linotype" w:hAnsi="Palatino Linotype" w:cs="Palatino Linotype"/>
        </w:rPr>
      </w:pPr>
    </w:p>
    <w:p w:rsidR="00685106" w:rsidRDefault="00685106">
      <w:pPr>
        <w:spacing w:after="0" w:line="360" w:lineRule="auto"/>
        <w:jc w:val="both"/>
        <w:rPr>
          <w:rFonts w:ascii="Palatino Linotype" w:eastAsia="Palatino Linotype" w:hAnsi="Palatino Linotype" w:cs="Palatino Linotype"/>
        </w:rPr>
      </w:pPr>
    </w:p>
    <w:p w:rsidR="00685106" w:rsidRDefault="00685106">
      <w:pPr>
        <w:spacing w:after="0" w:line="360" w:lineRule="auto"/>
        <w:jc w:val="both"/>
        <w:rPr>
          <w:rFonts w:ascii="Palatino Linotype" w:eastAsia="Palatino Linotype" w:hAnsi="Palatino Linotype" w:cs="Palatino Linotype"/>
        </w:rPr>
      </w:pPr>
    </w:p>
    <w:p w:rsidR="00685106" w:rsidRDefault="00685106">
      <w:pPr>
        <w:spacing w:after="0" w:line="360" w:lineRule="auto"/>
        <w:jc w:val="both"/>
        <w:rPr>
          <w:rFonts w:ascii="Palatino Linotype" w:eastAsia="Palatino Linotype" w:hAnsi="Palatino Linotype" w:cs="Palatino Linotype"/>
        </w:rPr>
      </w:pPr>
    </w:p>
    <w:p w:rsidR="00685106" w:rsidRDefault="00685106">
      <w:pPr>
        <w:spacing w:after="0" w:line="360" w:lineRule="auto"/>
        <w:jc w:val="both"/>
        <w:rPr>
          <w:rFonts w:ascii="Palatino Linotype" w:eastAsia="Palatino Linotype" w:hAnsi="Palatino Linotype" w:cs="Palatino Linotype"/>
        </w:rPr>
      </w:pPr>
    </w:p>
    <w:p w:rsidR="00685106" w:rsidRDefault="00685106">
      <w:pPr>
        <w:spacing w:after="0" w:line="360" w:lineRule="auto"/>
        <w:jc w:val="both"/>
        <w:rPr>
          <w:rFonts w:ascii="Palatino Linotype" w:eastAsia="Palatino Linotype" w:hAnsi="Palatino Linotype" w:cs="Palatino Linotype"/>
        </w:rPr>
      </w:pPr>
    </w:p>
    <w:p w:rsidR="00685106" w:rsidRDefault="00685106">
      <w:pPr>
        <w:spacing w:after="0" w:line="360" w:lineRule="auto"/>
        <w:jc w:val="both"/>
        <w:rPr>
          <w:rFonts w:ascii="Palatino Linotype" w:eastAsia="Palatino Linotype" w:hAnsi="Palatino Linotype" w:cs="Palatino Linotype"/>
        </w:rPr>
      </w:pPr>
    </w:p>
    <w:p w:rsidR="00685106" w:rsidRDefault="00685106">
      <w:pPr>
        <w:spacing w:after="0" w:line="360" w:lineRule="auto"/>
        <w:jc w:val="both"/>
        <w:rPr>
          <w:rFonts w:ascii="Palatino Linotype" w:eastAsia="Palatino Linotype" w:hAnsi="Palatino Linotype" w:cs="Palatino Linotype"/>
        </w:rPr>
      </w:pPr>
    </w:p>
    <w:p w:rsidR="00685106" w:rsidRDefault="00685106">
      <w:pPr>
        <w:spacing w:after="0" w:line="360" w:lineRule="auto"/>
        <w:jc w:val="both"/>
        <w:rPr>
          <w:rFonts w:ascii="Palatino Linotype" w:eastAsia="Palatino Linotype" w:hAnsi="Palatino Linotype" w:cs="Palatino Linotype"/>
        </w:rPr>
      </w:pPr>
    </w:p>
    <w:p w:rsidR="00685106" w:rsidRDefault="00685106">
      <w:pPr>
        <w:spacing w:after="0" w:line="360" w:lineRule="auto"/>
        <w:jc w:val="both"/>
        <w:rPr>
          <w:rFonts w:ascii="Palatino Linotype" w:eastAsia="Palatino Linotype" w:hAnsi="Palatino Linotype" w:cs="Palatino Linotype"/>
        </w:rPr>
      </w:pPr>
    </w:p>
    <w:p w:rsidR="00685106" w:rsidRDefault="00685106">
      <w:pPr>
        <w:spacing w:after="0" w:line="360" w:lineRule="auto"/>
        <w:jc w:val="both"/>
        <w:rPr>
          <w:rFonts w:ascii="Palatino Linotype" w:eastAsia="Palatino Linotype" w:hAnsi="Palatino Linotype" w:cs="Palatino Linotype"/>
        </w:rPr>
      </w:pPr>
    </w:p>
    <w:p w:rsidR="00685106" w:rsidRDefault="00685106">
      <w:pPr>
        <w:spacing w:after="0" w:line="360" w:lineRule="auto"/>
        <w:jc w:val="both"/>
      </w:pPr>
      <w:bookmarkStart w:id="2" w:name="_GoBack"/>
      <w:bookmarkEnd w:id="2"/>
    </w:p>
    <w:sectPr w:rsidR="00685106">
      <w:headerReference w:type="even" r:id="rId8"/>
      <w:headerReference w:type="default" r:id="rId9"/>
      <w:footerReference w:type="default" r:id="rId10"/>
      <w:headerReference w:type="first" r:id="rId11"/>
      <w:pgSz w:w="12240" w:h="15840"/>
      <w:pgMar w:top="1417" w:right="1701" w:bottom="1417" w:left="1701" w:header="426"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79DB" w:rsidRDefault="005279DB">
      <w:pPr>
        <w:spacing w:after="0" w:line="240" w:lineRule="auto"/>
      </w:pPr>
      <w:r>
        <w:separator/>
      </w:r>
    </w:p>
  </w:endnote>
  <w:endnote w:type="continuationSeparator" w:id="0">
    <w:p w:rsidR="005279DB" w:rsidRDefault="005279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5106" w:rsidRDefault="007005FA">
    <w:pPr>
      <w:pBdr>
        <w:top w:val="nil"/>
        <w:left w:val="nil"/>
        <w:bottom w:val="nil"/>
        <w:right w:val="nil"/>
        <w:between w:val="nil"/>
      </w:pBdr>
      <w:tabs>
        <w:tab w:val="center" w:pos="4252"/>
        <w:tab w:val="right" w:pos="8504"/>
      </w:tabs>
      <w:spacing w:after="0" w:line="240" w:lineRule="auto"/>
      <w:jc w:val="center"/>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4E3477">
      <w:rPr>
        <w:b/>
        <w:noProof/>
        <w:color w:val="000000"/>
        <w:sz w:val="24"/>
        <w:szCs w:val="24"/>
      </w:rPr>
      <w:t>7</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4E3477">
      <w:rPr>
        <w:b/>
        <w:noProof/>
        <w:color w:val="000000"/>
        <w:sz w:val="24"/>
        <w:szCs w:val="24"/>
      </w:rPr>
      <w:t>7</w:t>
    </w:r>
    <w:r>
      <w:rPr>
        <w:b/>
        <w:color w:val="000000"/>
        <w:sz w:val="24"/>
        <w:szCs w:val="24"/>
      </w:rPr>
      <w:fldChar w:fldCharType="end"/>
    </w:r>
  </w:p>
  <w:p w:rsidR="00685106" w:rsidRDefault="00685106">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79DB" w:rsidRDefault="005279DB">
      <w:pPr>
        <w:spacing w:after="0" w:line="240" w:lineRule="auto"/>
      </w:pPr>
      <w:r>
        <w:separator/>
      </w:r>
    </w:p>
  </w:footnote>
  <w:footnote w:type="continuationSeparator" w:id="0">
    <w:p w:rsidR="005279DB" w:rsidRDefault="005279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5106" w:rsidRDefault="005279DB">
    <w:pPr>
      <w:pBdr>
        <w:top w:val="nil"/>
        <w:left w:val="nil"/>
        <w:bottom w:val="nil"/>
        <w:right w:val="nil"/>
        <w:between w:val="nil"/>
      </w:pBdr>
      <w:tabs>
        <w:tab w:val="center" w:pos="4252"/>
        <w:tab w:val="right" w:pos="8504"/>
      </w:tabs>
      <w:spacing w:after="0" w:line="240" w:lineRule="auto"/>
      <w:rPr>
        <w:color w:val="000000"/>
      </w:rPr>
    </w:pPr>
    <w:r>
      <w:rPr>
        <w:color w:val="00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margin-left:0;margin-top:0;width:541.8pt;height:81.25pt;rotation:315;z-index:-251657728;visibility:visible;mso-position-horizontal:center;mso-position-horizontal-relative:margin;mso-position-vertical:center;mso-position-vertical-relative:margin" fillcolor="silver" stroked="f">
          <v:fill opacity=".5"/>
          <v:textpath style="font-family:&quot;&amp;quot&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5106" w:rsidRDefault="00685106">
    <w:pPr>
      <w:widowControl w:val="0"/>
      <w:pBdr>
        <w:top w:val="nil"/>
        <w:left w:val="nil"/>
        <w:bottom w:val="nil"/>
        <w:right w:val="nil"/>
        <w:between w:val="nil"/>
      </w:pBdr>
      <w:spacing w:after="0" w:line="276" w:lineRule="auto"/>
    </w:pPr>
  </w:p>
  <w:tbl>
    <w:tblPr>
      <w:tblStyle w:val="a0"/>
      <w:tblW w:w="8789"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3402"/>
      <w:gridCol w:w="5387"/>
    </w:tblGrid>
    <w:tr w:rsidR="00685106">
      <w:trPr>
        <w:trHeight w:val="1843"/>
      </w:trPr>
      <w:tc>
        <w:tcPr>
          <w:tcW w:w="3402" w:type="dxa"/>
          <w:vAlign w:val="bottom"/>
        </w:tcPr>
        <w:p w:rsidR="00685106" w:rsidRDefault="007005FA">
          <w:pPr>
            <w:pBdr>
              <w:top w:val="nil"/>
              <w:left w:val="nil"/>
              <w:bottom w:val="nil"/>
              <w:right w:val="nil"/>
              <w:between w:val="nil"/>
            </w:pBdr>
            <w:tabs>
              <w:tab w:val="center" w:pos="4252"/>
              <w:tab w:val="right" w:pos="8504"/>
              <w:tab w:val="center" w:pos="2614"/>
            </w:tabs>
            <w:ind w:left="-255"/>
            <w:rPr>
              <w:color w:val="000000"/>
            </w:rPr>
          </w:pPr>
          <w:r>
            <w:rPr>
              <w:noProof/>
              <w:lang w:val="es-MX"/>
            </w:rPr>
            <w:drawing>
              <wp:anchor distT="0" distB="0" distL="114300" distR="114300" simplePos="0" relativeHeight="251656704" behindDoc="0" locked="0" layoutInCell="1" hidden="0" allowOverlap="1">
                <wp:simplePos x="0" y="0"/>
                <wp:positionH relativeFrom="column">
                  <wp:posOffset>-329563</wp:posOffset>
                </wp:positionH>
                <wp:positionV relativeFrom="paragraph">
                  <wp:posOffset>-861058</wp:posOffset>
                </wp:positionV>
                <wp:extent cx="1873250" cy="1126490"/>
                <wp:effectExtent l="0" t="0" r="0" b="0"/>
                <wp:wrapNone/>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873250" cy="1126490"/>
                        </a:xfrm>
                        <a:prstGeom prst="rect">
                          <a:avLst/>
                        </a:prstGeom>
                        <a:ln/>
                      </pic:spPr>
                    </pic:pic>
                  </a:graphicData>
                </a:graphic>
              </wp:anchor>
            </w:drawing>
          </w:r>
        </w:p>
        <w:p w:rsidR="00685106" w:rsidRDefault="00685106">
          <w:pPr>
            <w:pBdr>
              <w:top w:val="nil"/>
              <w:left w:val="nil"/>
              <w:bottom w:val="nil"/>
              <w:right w:val="nil"/>
              <w:between w:val="nil"/>
            </w:pBdr>
            <w:tabs>
              <w:tab w:val="center" w:pos="4252"/>
              <w:tab w:val="right" w:pos="8504"/>
              <w:tab w:val="center" w:pos="2614"/>
            </w:tabs>
            <w:ind w:left="-255"/>
            <w:rPr>
              <w:color w:val="000000"/>
            </w:rPr>
          </w:pPr>
        </w:p>
      </w:tc>
      <w:tc>
        <w:tcPr>
          <w:tcW w:w="5387" w:type="dxa"/>
          <w:vAlign w:val="center"/>
        </w:tcPr>
        <w:p w:rsidR="00685106" w:rsidRDefault="007005FA">
          <w:pPr>
            <w:pBdr>
              <w:top w:val="nil"/>
              <w:left w:val="nil"/>
              <w:bottom w:val="nil"/>
              <w:right w:val="nil"/>
              <w:between w:val="nil"/>
            </w:pBdr>
            <w:tabs>
              <w:tab w:val="center" w:pos="4252"/>
              <w:tab w:val="right" w:pos="8504"/>
            </w:tabs>
            <w:ind w:left="-108" w:right="-250"/>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Voto Particular </w:t>
          </w:r>
        </w:p>
        <w:p w:rsidR="00685106" w:rsidRDefault="007005FA">
          <w:pPr>
            <w:pBdr>
              <w:top w:val="nil"/>
              <w:left w:val="nil"/>
              <w:bottom w:val="nil"/>
              <w:right w:val="nil"/>
              <w:between w:val="nil"/>
            </w:pBdr>
            <w:tabs>
              <w:tab w:val="center" w:pos="4252"/>
              <w:tab w:val="right" w:pos="8504"/>
            </w:tabs>
            <w:ind w:left="-108" w:right="37"/>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 xml:space="preserve">Recurso de Revisión: </w:t>
          </w:r>
          <w:r>
            <w:rPr>
              <w:rFonts w:ascii="Palatino Linotype" w:eastAsia="Palatino Linotype" w:hAnsi="Palatino Linotype" w:cs="Palatino Linotype"/>
              <w:color w:val="000000"/>
            </w:rPr>
            <w:t>01316/INFOEM/IP/RR/2023</w:t>
          </w:r>
        </w:p>
        <w:p w:rsidR="00685106" w:rsidRDefault="007005FA">
          <w:pPr>
            <w:pBdr>
              <w:top w:val="nil"/>
              <w:left w:val="nil"/>
              <w:bottom w:val="nil"/>
              <w:right w:val="nil"/>
              <w:between w:val="nil"/>
            </w:pBdr>
            <w:tabs>
              <w:tab w:val="center" w:pos="4252"/>
              <w:tab w:val="right" w:pos="8504"/>
            </w:tabs>
            <w:ind w:left="-108" w:right="37"/>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Organismo Descentralizado para la Prestación de Los Servicios del Agua Potable Alcantarillado y Saneamiento de Tecámac</w:t>
          </w:r>
        </w:p>
        <w:p w:rsidR="00685106" w:rsidRDefault="007005FA">
          <w:pPr>
            <w:pBdr>
              <w:top w:val="nil"/>
              <w:left w:val="nil"/>
              <w:bottom w:val="nil"/>
              <w:right w:val="nil"/>
              <w:between w:val="nil"/>
            </w:pBdr>
            <w:tabs>
              <w:tab w:val="center" w:pos="4252"/>
              <w:tab w:val="right" w:pos="8504"/>
            </w:tabs>
            <w:ind w:left="-108" w:right="-250"/>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 xml:space="preserve">Comisionado Ponente: </w:t>
          </w:r>
          <w:r>
            <w:rPr>
              <w:rFonts w:ascii="Palatino Linotype" w:eastAsia="Palatino Linotype" w:hAnsi="Palatino Linotype" w:cs="Palatino Linotype"/>
              <w:color w:val="000000"/>
            </w:rPr>
            <w:t>Guadalupe Ramírez Peña</w:t>
          </w:r>
        </w:p>
      </w:tc>
    </w:tr>
  </w:tbl>
  <w:p w:rsidR="00685106" w:rsidRDefault="00685106">
    <w:pPr>
      <w:pBdr>
        <w:top w:val="nil"/>
        <w:left w:val="nil"/>
        <w:bottom w:val="nil"/>
        <w:right w:val="nil"/>
        <w:between w:val="nil"/>
      </w:pBdr>
      <w:tabs>
        <w:tab w:val="center" w:pos="4252"/>
        <w:tab w:val="right" w:pos="8504"/>
      </w:tabs>
      <w:spacing w:after="0" w:line="240" w:lineRule="auto"/>
      <w:rPr>
        <w:color w:val="000000"/>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5106" w:rsidRDefault="005279DB">
    <w:pPr>
      <w:pBdr>
        <w:top w:val="nil"/>
        <w:left w:val="nil"/>
        <w:bottom w:val="nil"/>
        <w:right w:val="nil"/>
        <w:between w:val="nil"/>
      </w:pBdr>
      <w:tabs>
        <w:tab w:val="center" w:pos="4252"/>
        <w:tab w:val="right" w:pos="8504"/>
      </w:tabs>
      <w:spacing w:after="0" w:line="240" w:lineRule="auto"/>
      <w:rPr>
        <w:color w:val="000000"/>
      </w:rPr>
    </w:pPr>
    <w:r>
      <w:rPr>
        <w:color w:val="00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0" type="#_x0000_t136" style="position:absolute;margin-left:0;margin-top:0;width:541.8pt;height:81.25pt;rotation:315;z-index:-251658752;visibility:visible;mso-position-horizontal:center;mso-position-horizontal-relative:margin;mso-position-vertical:center;mso-position-vertical-relative:margin" fillcolor="silver" stroked="f">
          <v:fill opacity=".5"/>
          <v:textpath style="font-family:&quot;&amp;quot&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A94DB8"/>
    <w:multiLevelType w:val="multilevel"/>
    <w:tmpl w:val="BAE2F9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3977D5A"/>
    <w:multiLevelType w:val="multilevel"/>
    <w:tmpl w:val="76DA0A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CE34B8A"/>
    <w:multiLevelType w:val="multilevel"/>
    <w:tmpl w:val="80440F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106"/>
    <w:rsid w:val="004E3477"/>
    <w:rsid w:val="005279DB"/>
    <w:rsid w:val="00685106"/>
    <w:rsid w:val="007005FA"/>
    <w:rsid w:val="00CE481F"/>
    <w:rsid w:val="00F11F5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2303CFA4-E7A7-4C81-BB99-163F2B667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0C30"/>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A80C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0C30"/>
    <w:rPr>
      <w:lang w:val="es-ES"/>
    </w:rPr>
  </w:style>
  <w:style w:type="paragraph" w:styleId="Piedepgina">
    <w:name w:val="footer"/>
    <w:basedOn w:val="Normal"/>
    <w:link w:val="PiedepginaCar"/>
    <w:uiPriority w:val="99"/>
    <w:unhideWhenUsed/>
    <w:rsid w:val="00A80C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0C30"/>
    <w:rPr>
      <w:lang w:val="es-ES"/>
    </w:rPr>
  </w:style>
  <w:style w:type="table" w:styleId="Tablaconcuadrcula">
    <w:name w:val="Table Grid"/>
    <w:basedOn w:val="Tablanormal"/>
    <w:uiPriority w:val="59"/>
    <w:rsid w:val="00A80C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uiPriority w:val="22"/>
    <w:qFormat/>
    <w:rsid w:val="00A80C30"/>
    <w:rPr>
      <w:b/>
      <w:bCs/>
    </w:rPr>
  </w:style>
  <w:style w:type="paragraph" w:styleId="Textodeglobo">
    <w:name w:val="Balloon Text"/>
    <w:basedOn w:val="Normal"/>
    <w:link w:val="TextodegloboCar"/>
    <w:uiPriority w:val="99"/>
    <w:semiHidden/>
    <w:unhideWhenUsed/>
    <w:rsid w:val="007567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6729"/>
    <w:rPr>
      <w:rFonts w:ascii="Tahoma" w:hAnsi="Tahoma" w:cs="Tahoma"/>
      <w:sz w:val="16"/>
      <w:szCs w:val="16"/>
      <w:lang w:val="es-ES"/>
    </w:rPr>
  </w:style>
  <w:style w:type="character" w:styleId="Hipervnculo">
    <w:name w:val="Hyperlink"/>
    <w:basedOn w:val="Fuentedeprrafopredeter"/>
    <w:uiPriority w:val="99"/>
    <w:unhideWhenUsed/>
    <w:rsid w:val="00756729"/>
    <w:rPr>
      <w:color w:val="0563C1" w:themeColor="hyperlink"/>
      <w:u w:val="single"/>
    </w:rPr>
  </w:style>
  <w:style w:type="paragraph" w:styleId="NormalWeb">
    <w:name w:val="Normal (Web)"/>
    <w:basedOn w:val="Normal"/>
    <w:uiPriority w:val="99"/>
    <w:unhideWhenUsed/>
    <w:rsid w:val="00F84B95"/>
    <w:pPr>
      <w:spacing w:before="100" w:beforeAutospacing="1" w:after="100" w:afterAutospacing="1" w:line="240" w:lineRule="auto"/>
    </w:pPr>
    <w:rPr>
      <w:rFonts w:ascii="Times New Roman" w:eastAsia="Times New Roman" w:hAnsi="Times New Roman" w:cs="Times New Roman"/>
      <w:sz w:val="24"/>
      <w:szCs w:val="24"/>
      <w:lang w:val="es-MX"/>
    </w:rPr>
  </w:style>
  <w:style w:type="character" w:customStyle="1" w:styleId="normaltextrun">
    <w:name w:val="normaltextrun"/>
    <w:basedOn w:val="Fuentedeprrafopredeter"/>
    <w:rsid w:val="00FC3DE6"/>
  </w:style>
  <w:style w:type="character" w:customStyle="1" w:styleId="eop">
    <w:name w:val="eop"/>
    <w:basedOn w:val="Fuentedeprrafopredeter"/>
    <w:rsid w:val="004C7D91"/>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D5170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51704"/>
    <w:rPr>
      <w:lang w:val="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QFbIlpkSWvlxWiQKDF7WeGfi0Q==">CgMxLjAyCWguMzBqMHpsbDIIaC5namRneHM4AHIhMTJLZFAtRlR1VV9IdHprTVFRSlhNWjRVVGkwbF9JTUVP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1838</Words>
  <Characters>10109</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RF</dc:creator>
  <cp:lastModifiedBy>INFOEM415</cp:lastModifiedBy>
  <cp:revision>4</cp:revision>
  <cp:lastPrinted>2023-05-22T23:27:00Z</cp:lastPrinted>
  <dcterms:created xsi:type="dcterms:W3CDTF">2023-05-22T23:27:00Z</dcterms:created>
  <dcterms:modified xsi:type="dcterms:W3CDTF">2025-02-11T15:51:00Z</dcterms:modified>
</cp:coreProperties>
</file>