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0B03" w14:textId="4FCAB47D" w:rsidR="00326EEA" w:rsidRPr="003970EB" w:rsidRDefault="00642E0D" w:rsidP="007F24B9">
      <w:pPr>
        <w:spacing w:line="360" w:lineRule="auto"/>
        <w:jc w:val="both"/>
        <w:rPr>
          <w:rFonts w:ascii="Palatino Linotype" w:hAnsi="Palatino Linotype" w:cs="Arial"/>
          <w:b/>
        </w:rPr>
      </w:pPr>
      <w:r w:rsidRPr="003970EB">
        <w:rPr>
          <w:rFonts w:ascii="Palatino Linotype" w:hAnsi="Palatino Linotype" w:cs="Tahoma"/>
          <w:b/>
        </w:rPr>
        <w:t xml:space="preserve">VOTO PARTICULAR QUE FORMULA LA COMISIONADA MARÍA DEL ROSARIO MEJÍA AYALA, CON RELACIÓN A LA RESOLUCIÓN EMITIDA POR EL PLENO DEL INSTITUTO DE TRANSPARENCIA, ACCESO A LA INFORMACIÓN </w:t>
      </w:r>
      <w:r w:rsidR="00F1670B" w:rsidRPr="003970EB">
        <w:rPr>
          <w:rFonts w:ascii="Palatino Linotype" w:hAnsi="Palatino Linotype" w:cs="Tahoma"/>
          <w:b/>
        </w:rPr>
        <w:t xml:space="preserve">PÚBLICA Y PROTECCIÓN DE DATOS PERSONALES DEL ESTADO DE MÉXICO Y MUNICIPIOS AL RECURSO DE REVISIÓN </w:t>
      </w:r>
      <w:r w:rsidR="003970EB" w:rsidRPr="003970EB">
        <w:rPr>
          <w:rFonts w:ascii="Palatino Linotype" w:hAnsi="Palatino Linotype"/>
          <w:b/>
          <w:color w:val="000000"/>
        </w:rPr>
        <w:t>14351</w:t>
      </w:r>
      <w:r w:rsidR="002A790D" w:rsidRPr="003970EB">
        <w:rPr>
          <w:rFonts w:ascii="Palatino Linotype" w:hAnsi="Palatino Linotype"/>
          <w:b/>
          <w:color w:val="000000"/>
        </w:rPr>
        <w:t>/INFOEM/IP/RR/</w:t>
      </w:r>
      <w:r w:rsidR="003970EB">
        <w:rPr>
          <w:rFonts w:ascii="Palatino Linotype" w:hAnsi="Palatino Linotype"/>
          <w:b/>
          <w:color w:val="000000"/>
        </w:rPr>
        <w:t>2022</w:t>
      </w:r>
      <w:r w:rsidR="002A790D" w:rsidRPr="003970EB">
        <w:rPr>
          <w:rFonts w:ascii="Palatino Linotype" w:hAnsi="Palatino Linotype" w:cs="Arial"/>
          <w:b/>
          <w:bCs/>
          <w:color w:val="000000" w:themeColor="text1"/>
        </w:rPr>
        <w:t>,</w:t>
      </w:r>
      <w:r w:rsidR="002A790D" w:rsidRPr="003970EB">
        <w:rPr>
          <w:rFonts w:ascii="Palatino Linotype" w:hAnsi="Palatino Linotype" w:cs="Tahoma"/>
          <w:b/>
        </w:rPr>
        <w:t xml:space="preserve"> PROMOVIDO EN CONTRA DEL </w:t>
      </w:r>
      <w:r w:rsidR="002A790D" w:rsidRPr="003970EB">
        <w:rPr>
          <w:rFonts w:ascii="Palatino Linotype" w:hAnsi="Palatino Linotype" w:cs="Tahoma"/>
          <w:b/>
          <w:color w:val="0D0D0D" w:themeColor="text1" w:themeTint="F2"/>
        </w:rPr>
        <w:t xml:space="preserve">AYUNTAMIENTO DE </w:t>
      </w:r>
      <w:r w:rsidR="003970EB" w:rsidRPr="003970EB">
        <w:rPr>
          <w:rFonts w:ascii="Palatino Linotype" w:hAnsi="Palatino Linotype" w:cs="Tahoma"/>
          <w:b/>
          <w:color w:val="0D0D0D" w:themeColor="text1" w:themeTint="F2"/>
        </w:rPr>
        <w:t>TLALNEPANTLA DE BAZ</w:t>
      </w:r>
      <w:r w:rsidR="00396C2D">
        <w:rPr>
          <w:rFonts w:ascii="Palatino Linotype" w:hAnsi="Palatino Linotype" w:cs="Arial"/>
          <w:b/>
        </w:rPr>
        <w:t>.</w:t>
      </w:r>
    </w:p>
    <w:p w14:paraId="468825F3" w14:textId="77777777" w:rsidR="00F1670B" w:rsidRPr="000D7476" w:rsidRDefault="00F1670B"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39A7500B"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3970EB">
        <w:rPr>
          <w:b/>
          <w:color w:val="000000"/>
        </w:rPr>
        <w:t>14351</w:t>
      </w:r>
      <w:r w:rsidR="002A790D">
        <w:rPr>
          <w:b/>
          <w:color w:val="000000"/>
        </w:rPr>
        <w:t>/INFOEM/IP/RR/2022</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2A790D" w:rsidRPr="002A790D">
        <w:rPr>
          <w:rFonts w:ascii="Palatino Linotype" w:hAnsi="Palatino Linotype" w:cs="Arial"/>
        </w:rPr>
        <w:t xml:space="preserve">Ayuntamiento de </w:t>
      </w:r>
      <w:r w:rsidR="003970EB">
        <w:rPr>
          <w:rFonts w:ascii="Palatino Linotype" w:hAnsi="Palatino Linotype" w:cs="Arial"/>
        </w:rPr>
        <w:t>Tlalnepantla de Baz</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2E2FC16F" w14:textId="03ACD1AB" w:rsidR="002A790D" w:rsidRPr="003970EB" w:rsidRDefault="003970EB" w:rsidP="003970EB">
      <w:pPr>
        <w:spacing w:line="276" w:lineRule="auto"/>
        <w:ind w:left="567" w:right="567"/>
        <w:contextualSpacing/>
        <w:jc w:val="both"/>
        <w:rPr>
          <w:rFonts w:cs="Tahoma"/>
          <w:lang w:val="es-MX"/>
        </w:rPr>
      </w:pPr>
      <w:bookmarkStart w:id="1" w:name="_heading=h.gjdgxs" w:colFirst="0" w:colLast="0"/>
      <w:bookmarkEnd w:id="1"/>
      <w:r>
        <w:rPr>
          <w:rFonts w:ascii="Palatino Linotype" w:hAnsi="Palatino Linotype" w:cs="Arial"/>
          <w:bCs/>
          <w:i/>
          <w:iCs/>
          <w:sz w:val="22"/>
          <w:lang w:val="es-419"/>
        </w:rPr>
        <w:lastRenderedPageBreak/>
        <w:t>“</w:t>
      </w:r>
      <w:r w:rsidRPr="0038347A">
        <w:rPr>
          <w:rFonts w:ascii="Palatino Linotype" w:hAnsi="Palatino Linotype" w:cs="Arial"/>
          <w:bCs/>
          <w:i/>
          <w:iCs/>
          <w:sz w:val="22"/>
          <w:lang w:val="es-419"/>
        </w:rPr>
        <w:t>1.-SOLICITO SABER EL NOMBRE COMPLETO Y HORARIO DE LOS SERVIDORES PÚBLICOS QUE ACTUALMENTE INTEGRAN EL Departamento de Análisis Táctico y Operativo DE LA Comisaría General de Seguridad Pública y Transito Municipal DE TLALNEPANTLA. 2.-SOLICITO SABER EL HORARIO LABORAL DE LOS SERVIDORES PÚBLICOS QUE ACTUALMENTE INTEGRAN EL Departamento de Análisis Táctico y Operativo DE LA Comisaría General de Seguridad Pública y Transito Municipal DE TLALNEPANTLA. 3.-SOLCITO SABER LA CUANTOS SERVIDORES PUBLICOS LLEBAN MAS DE 5 AÑOS LABORANDO EN EL Departamento de Análisis Táctico y Operativo DE LA Comisaría General de Seguridad Pública y Transito Municipal DE TLALNEPANTLA. 4.-SOLICITO SABER CUANTAS PERSONAS SE ENCUENTRAN REALIZANDO ACTUALMENTE SU SERVICIO SOCIAL EN EL Departamento de Análisis Táctico y Operativo DE LA Comisaría General de Seguridad Pública y Transito Municipal TLALNEPANTLA 5.-SOLICITO SABER EL NOMBRE COMPLETO Y HORARIO DE LOS SERVIDORES PÚBLICOS QUE ACTUALMENTE INTEGRAN EL Departamento Mapas Georreferénciales, Información y Análisis Estadístico DE LA Comisaría General de Seguridad Pública y Transito Municipal DE TLALNEPANTLA. 6.-SOLICITO SABER EL HORARIO LABORAL DE LOS SERVIDORES PÚBLICOS QUE ACTUALMENTE INTEGRAN EL Departamento Mapas Georreferénciales, Información y Análisis Estadístico DE LA Comisaría General de Seguridad Pública y Transito Municipal DE TLALNEPANTLA. 7.-SOLCITO SABER CUANTOS SERVIDORES PUBLICOS LLEVAN MAS DE 5 AÑOS LABORANDO EN EL Departamento Mapas Georreferénciales, Información y Análisis Estadístico DE LA Comisaría General de Seguridad Pública y Transito Municipal DE TLALNEPANTLA. 8.-SOLICITO SABER CUANTAS PERSONAS SE ENCUENTRAN REALIZANDO ACTUALMENTE SU SERVICIO SOCIAL EN EL Departamento Mapas Georreferénciales, Información y Análisis Estadístico DE LA Comisaría General de Seguridad Pública y Transito Municipal TLALNEPANTLA.</w:t>
      </w:r>
      <w:r>
        <w:rPr>
          <w:rFonts w:ascii="Palatino Linotype" w:hAnsi="Palatino Linotype" w:cs="Arial"/>
          <w:bCs/>
          <w:i/>
          <w:iCs/>
          <w:sz w:val="22"/>
          <w:lang w:val="es-419"/>
        </w:rPr>
        <w:t>”</w:t>
      </w:r>
      <w:r>
        <w:rPr>
          <w:rFonts w:ascii="Palatino Linotype" w:hAnsi="Palatino Linotype" w:cs="Arial"/>
          <w:bCs/>
          <w:iCs/>
          <w:sz w:val="22"/>
          <w:lang w:val="es-419"/>
        </w:rPr>
        <w:t xml:space="preserve"> (Sic)</w:t>
      </w: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7A057D9D" w14:textId="06A9103F" w:rsidR="002A790D" w:rsidRDefault="002A790D" w:rsidP="003970EB">
      <w:pPr>
        <w:autoSpaceDE w:val="0"/>
        <w:autoSpaceDN w:val="0"/>
        <w:adjustRightInd w:val="0"/>
        <w:spacing w:line="360" w:lineRule="auto"/>
        <w:contextualSpacing/>
        <w:jc w:val="both"/>
        <w:rPr>
          <w:rFonts w:ascii="Palatino Linotype" w:hAnsi="Palatino Linotype" w:cs="Arial"/>
        </w:rPr>
      </w:pPr>
      <w:r w:rsidRPr="002A790D">
        <w:rPr>
          <w:rFonts w:ascii="Palatino Linotype" w:hAnsi="Palatino Linotype" w:cs="Arial"/>
        </w:rPr>
        <w:lastRenderedPageBreak/>
        <w:t xml:space="preserve">El trece de septiembre de dos mil veintidós el </w:t>
      </w:r>
      <w:r w:rsidR="003970EB">
        <w:rPr>
          <w:rFonts w:ascii="Palatino Linotype" w:hAnsi="Palatino Linotype" w:cs="Arial"/>
        </w:rPr>
        <w:t>Ayuntamiento de Tlalnepantla de Baz, dio atención a la solicitud de información a través de los siguientes documentos:</w:t>
      </w:r>
    </w:p>
    <w:p w14:paraId="0D20B615" w14:textId="77777777" w:rsidR="003970EB" w:rsidRPr="0038347A" w:rsidRDefault="003970EB" w:rsidP="003970EB">
      <w:pPr>
        <w:pStyle w:val="Prrafodelista"/>
        <w:numPr>
          <w:ilvl w:val="0"/>
          <w:numId w:val="10"/>
        </w:numPr>
        <w:spacing w:after="100" w:afterAutospacing="1" w:line="360" w:lineRule="auto"/>
        <w:ind w:left="1134"/>
        <w:jc w:val="both"/>
        <w:rPr>
          <w:rFonts w:ascii="Palatino Linotype" w:hAnsi="Palatino Linotype" w:cs="Arial"/>
        </w:rPr>
      </w:pPr>
      <w:r>
        <w:rPr>
          <w:rFonts w:ascii="Palatino Linotype" w:hAnsi="Palatino Linotype" w:cs="Arial"/>
        </w:rPr>
        <w:t xml:space="preserve">Oficio </w:t>
      </w:r>
      <w:r w:rsidRPr="0038347A">
        <w:rPr>
          <w:rFonts w:ascii="Palatino Linotype" w:hAnsi="Palatino Linotype" w:cs="Arial"/>
        </w:rPr>
        <w:t>del Director de Administración por el que informa que lo relativo a los requerimientos del personal de la Dirección de Seguridad se encuentra reservada; informa el horario de labores del Departamento de Mapas Georreferenciales, Info</w:t>
      </w:r>
      <w:r>
        <w:rPr>
          <w:rFonts w:ascii="Palatino Linotype" w:hAnsi="Palatino Linotype" w:cs="Arial"/>
        </w:rPr>
        <w:t>rmación y Análisis Estadístico;</w:t>
      </w:r>
    </w:p>
    <w:p w14:paraId="3AF60352" w14:textId="77777777" w:rsidR="003970EB" w:rsidRPr="0038347A" w:rsidRDefault="003970EB" w:rsidP="003970EB">
      <w:pPr>
        <w:pStyle w:val="Prrafodelista"/>
        <w:numPr>
          <w:ilvl w:val="0"/>
          <w:numId w:val="10"/>
        </w:numPr>
        <w:spacing w:after="100" w:afterAutospacing="1" w:line="360" w:lineRule="auto"/>
        <w:ind w:left="1134"/>
        <w:jc w:val="both"/>
        <w:rPr>
          <w:rFonts w:ascii="Palatino Linotype" w:hAnsi="Palatino Linotype" w:cs="Arial"/>
        </w:rPr>
      </w:pPr>
      <w:r w:rsidRPr="0038347A">
        <w:rPr>
          <w:rFonts w:ascii="Palatino Linotype" w:hAnsi="Palatino Linotype" w:cs="Arial"/>
        </w:rPr>
        <w:t>Acta del CT por el que confirma la clasificación como reservada de los nombres del personal adscrito a la Dir</w:t>
      </w:r>
      <w:r>
        <w:rPr>
          <w:rFonts w:ascii="Palatino Linotype" w:hAnsi="Palatino Linotype" w:cs="Arial"/>
        </w:rPr>
        <w:t>ección de Seguridad Pública; y</w:t>
      </w:r>
    </w:p>
    <w:p w14:paraId="0AEA2367" w14:textId="77777777" w:rsidR="003970EB" w:rsidRPr="0038347A" w:rsidRDefault="003970EB" w:rsidP="003970EB">
      <w:pPr>
        <w:pStyle w:val="Prrafodelista"/>
        <w:numPr>
          <w:ilvl w:val="0"/>
          <w:numId w:val="10"/>
        </w:numPr>
        <w:spacing w:after="100" w:afterAutospacing="1" w:line="360" w:lineRule="auto"/>
        <w:ind w:left="1134"/>
        <w:jc w:val="both"/>
        <w:rPr>
          <w:rFonts w:ascii="Palatino Linotype" w:hAnsi="Palatino Linotype" w:cs="Arial"/>
        </w:rPr>
      </w:pPr>
      <w:r w:rsidRPr="0038347A">
        <w:rPr>
          <w:rFonts w:ascii="Palatino Linotype" w:hAnsi="Palatino Linotype" w:cs="Arial"/>
        </w:rPr>
        <w:t>Oficio del Titular del Instituto Municipal de Educación por el que informa el número de estudiantes realizando servicio social en el Departamento de Análisis Táctico y el de Mapas Georreferenciales.</w:t>
      </w:r>
    </w:p>
    <w:p w14:paraId="053FC5FE" w14:textId="77777777" w:rsidR="00E73F61" w:rsidRDefault="00E73F61" w:rsidP="00E00020">
      <w:pPr>
        <w:tabs>
          <w:tab w:val="left" w:pos="426"/>
        </w:tabs>
        <w:spacing w:line="360" w:lineRule="auto"/>
        <w:contextualSpacing/>
        <w:jc w:val="both"/>
        <w:rPr>
          <w:rFonts w:ascii="Palatino Linotype" w:hAnsi="Palatino Linotype"/>
          <w:color w:val="000000" w:themeColor="text1"/>
          <w:lang w:val="es-MX"/>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1139B333" w14:textId="58F6287D" w:rsidR="002A790D" w:rsidRPr="003970EB" w:rsidRDefault="002A790D" w:rsidP="002A790D">
      <w:pPr>
        <w:spacing w:line="360" w:lineRule="auto"/>
        <w:ind w:left="567" w:right="567"/>
        <w:contextualSpacing/>
        <w:rPr>
          <w:b/>
          <w:bCs/>
          <w:iCs/>
          <w:sz w:val="20"/>
          <w:szCs w:val="20"/>
          <w:lang w:val="es-MX"/>
        </w:rPr>
      </w:pPr>
      <w:r w:rsidRPr="003970EB">
        <w:rPr>
          <w:b/>
          <w:bCs/>
          <w:iCs/>
          <w:sz w:val="20"/>
          <w:szCs w:val="20"/>
        </w:rPr>
        <w:t xml:space="preserve">ACTO IMPUGNADO </w:t>
      </w:r>
    </w:p>
    <w:p w14:paraId="6D9C5329" w14:textId="3E7CB3D2" w:rsidR="002A790D" w:rsidRDefault="003970EB" w:rsidP="002A790D">
      <w:pPr>
        <w:spacing w:line="360" w:lineRule="auto"/>
        <w:ind w:left="567" w:right="567"/>
        <w:contextualSpacing/>
        <w:rPr>
          <w:i/>
          <w:iCs/>
          <w:sz w:val="20"/>
          <w:szCs w:val="20"/>
        </w:rPr>
      </w:pPr>
      <w:r>
        <w:rPr>
          <w:i/>
          <w:iCs/>
          <w:sz w:val="20"/>
          <w:szCs w:val="20"/>
        </w:rPr>
        <w:t>“</w:t>
      </w:r>
      <w:r w:rsidRPr="0038347A">
        <w:rPr>
          <w:rFonts w:ascii="Palatino Linotype" w:hAnsi="Palatino Linotype"/>
          <w:i/>
          <w:iCs/>
          <w:sz w:val="22"/>
          <w:szCs w:val="22"/>
          <w:lang w:val="es-ES_tradnl"/>
        </w:rPr>
        <w:t>LA RESPUESTA A LA SOLICITUD CON NÚMERO DE FOLIO : 00734/TLALNEPA/IP/2022, EXPEDIDA POR el H. AYUNTAMIENTO DE TLALNEPANTLA DE BAZ</w:t>
      </w:r>
      <w:r w:rsidR="002A790D">
        <w:rPr>
          <w:i/>
          <w:iCs/>
          <w:sz w:val="20"/>
          <w:szCs w:val="20"/>
        </w:rPr>
        <w:t xml:space="preserve">” </w:t>
      </w:r>
      <w:r w:rsidR="002A790D" w:rsidRPr="003970EB">
        <w:rPr>
          <w:iCs/>
          <w:sz w:val="20"/>
          <w:szCs w:val="20"/>
        </w:rPr>
        <w:t>(Sic.)</w:t>
      </w:r>
      <w:r w:rsidR="002A790D">
        <w:rPr>
          <w:i/>
          <w:iCs/>
          <w:sz w:val="20"/>
          <w:szCs w:val="20"/>
        </w:rPr>
        <w:t xml:space="preserve"> </w:t>
      </w:r>
    </w:p>
    <w:p w14:paraId="212F4F79" w14:textId="77777777" w:rsidR="002A790D" w:rsidRDefault="002A790D" w:rsidP="002A790D">
      <w:pPr>
        <w:spacing w:line="360" w:lineRule="auto"/>
        <w:ind w:left="567" w:right="567"/>
        <w:contextualSpacing/>
        <w:rPr>
          <w:i/>
          <w:iCs/>
          <w:sz w:val="20"/>
          <w:szCs w:val="20"/>
        </w:rPr>
      </w:pPr>
    </w:p>
    <w:p w14:paraId="2F0886F0" w14:textId="767C3885" w:rsidR="002A790D" w:rsidRPr="003970EB" w:rsidRDefault="002A790D" w:rsidP="002A790D">
      <w:pPr>
        <w:spacing w:line="360" w:lineRule="auto"/>
        <w:ind w:left="567" w:right="567"/>
        <w:contextualSpacing/>
        <w:rPr>
          <w:b/>
          <w:bCs/>
          <w:iCs/>
          <w:sz w:val="20"/>
          <w:szCs w:val="20"/>
        </w:rPr>
      </w:pPr>
      <w:r w:rsidRPr="003970EB">
        <w:rPr>
          <w:b/>
          <w:bCs/>
          <w:iCs/>
          <w:sz w:val="20"/>
          <w:szCs w:val="20"/>
        </w:rPr>
        <w:t xml:space="preserve">RAZONES O MOTIVOS DE LA INCONFORMIDAD </w:t>
      </w:r>
    </w:p>
    <w:p w14:paraId="752D5E94" w14:textId="26884180" w:rsidR="002A790D" w:rsidRDefault="003970EB" w:rsidP="002A790D">
      <w:pPr>
        <w:spacing w:line="360" w:lineRule="auto"/>
        <w:ind w:left="567" w:right="567"/>
        <w:contextualSpacing/>
        <w:jc w:val="both"/>
        <w:rPr>
          <w:i/>
          <w:iCs/>
          <w:sz w:val="20"/>
          <w:szCs w:val="20"/>
        </w:rPr>
      </w:pPr>
      <w:r>
        <w:rPr>
          <w:i/>
          <w:iCs/>
          <w:sz w:val="20"/>
          <w:szCs w:val="20"/>
        </w:rPr>
        <w:t>“</w:t>
      </w:r>
      <w:r w:rsidRPr="0038347A">
        <w:rPr>
          <w:rFonts w:ascii="Palatino Linotype" w:hAnsi="Palatino Linotype"/>
          <w:i/>
          <w:sz w:val="22"/>
          <w:szCs w:val="22"/>
          <w:lang w:val="es-ES_tradnl"/>
        </w:rPr>
        <w:t xml:space="preserve">No se me proporciono información sustentable y razonable a la solicitud de información que se solicitó, ya que en relación al cuestionamiento 1 y 5 se maneja una información </w:t>
      </w:r>
      <w:r w:rsidRPr="0038347A">
        <w:rPr>
          <w:rFonts w:ascii="Palatino Linotype" w:hAnsi="Palatino Linotype"/>
          <w:i/>
          <w:sz w:val="22"/>
          <w:szCs w:val="22"/>
          <w:lang w:val="es-ES_tradnl"/>
        </w:rPr>
        <w:lastRenderedPageBreak/>
        <w:t>que se encuentra clasificada como reservada, sabiendo que debe de haber un registro de al menos nombre, cargo, fotografía, huella digital y clave de inscripción en el Registro Nacional de Personal de Seguridad Pública, así como, las medidas de seguridad que garanticen su autenticidad de acuerdo en los dispuesto en el artículo 42 de la Ley General Del Sistema Nacional De Seguridad Pública. Lo anterior aunado a que es opaco al no saber la autenticidad de los servidores públicos que están laborando, en dichas áreas mencionadas, lo cual se solicita en versión pública. Al no ser muy específico en la respuesta toda a su vez que dicha información es de ente público y violenta el articulo 6 constitucional, artículos 1, 7 ,11,12,17,48 de la ley Transparencia y Acceso a la información pública del Estado de México, en razón de que dicha información se entrego de manera incompleta, de igual manera se maneja como reservada dicha información.</w:t>
      </w:r>
      <w:r w:rsidR="002A790D">
        <w:rPr>
          <w:i/>
          <w:iCs/>
          <w:sz w:val="20"/>
          <w:szCs w:val="20"/>
        </w:rPr>
        <w:t xml:space="preserve">” </w:t>
      </w:r>
      <w:r w:rsidR="002A790D" w:rsidRPr="003970EB">
        <w:rPr>
          <w:iCs/>
          <w:sz w:val="20"/>
          <w:szCs w:val="20"/>
        </w:rPr>
        <w:t>(Sic)</w:t>
      </w:r>
    </w:p>
    <w:p w14:paraId="24773867" w14:textId="2D323A8B" w:rsidR="004030C4" w:rsidRPr="000D7476" w:rsidRDefault="004030C4" w:rsidP="007F24B9">
      <w:pPr>
        <w:tabs>
          <w:tab w:val="right" w:pos="8271"/>
        </w:tabs>
        <w:spacing w:line="360" w:lineRule="auto"/>
        <w:ind w:right="567"/>
        <w:jc w:val="both"/>
        <w:rPr>
          <w:rFonts w:ascii="Palatino Linotype" w:eastAsia="Calibri" w:hAnsi="Palatino Linotype"/>
          <w:i/>
          <w:color w:val="000000"/>
          <w:lang w:val="es-MX" w:eastAsia="en-US"/>
        </w:rPr>
      </w:pPr>
    </w:p>
    <w:p w14:paraId="6D8FD54F" w14:textId="77777777" w:rsidR="003970EB" w:rsidRPr="00F10A06" w:rsidRDefault="003970EB" w:rsidP="003970EB">
      <w:pPr>
        <w:spacing w:line="360" w:lineRule="auto"/>
        <w:jc w:val="both"/>
        <w:rPr>
          <w:rFonts w:ascii="Palatino Linotype" w:hAnsi="Palatino Linotype"/>
        </w:rPr>
      </w:pPr>
      <w:r w:rsidRPr="00BB071F">
        <w:rPr>
          <w:rFonts w:ascii="Palatino Linotype" w:hAnsi="Palatino Linotype"/>
        </w:rPr>
        <w:t>P</w:t>
      </w:r>
      <w:r>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Pr="00F47FB5">
        <w:rPr>
          <w:rFonts w:ascii="Palatino Linotype" w:hAnsi="Palatino Linotype"/>
        </w:rPr>
        <w:t>la resolución determin</w:t>
      </w:r>
      <w:r>
        <w:rPr>
          <w:rFonts w:ascii="Palatino Linotype" w:hAnsi="Palatino Linotype"/>
        </w:rPr>
        <w:t xml:space="preserve">ó </w:t>
      </w:r>
      <w:r>
        <w:rPr>
          <w:rFonts w:ascii="Palatino Linotype" w:eastAsia="Calibri" w:hAnsi="Palatino Linotype" w:cs="Arial"/>
          <w:b/>
        </w:rPr>
        <w:t xml:space="preserve">MODIFICAR </w:t>
      </w:r>
      <w:r>
        <w:rPr>
          <w:rFonts w:ascii="Palatino Linotype" w:eastAsia="Calibri" w:hAnsi="Palatino Linotype" w:cs="Arial"/>
        </w:rPr>
        <w:t xml:space="preserve">la respuesta proporcionada por </w:t>
      </w:r>
      <w:r w:rsidRPr="00F10A06">
        <w:rPr>
          <w:rFonts w:ascii="Palatino Linotype" w:hAnsi="Palatino Linotype"/>
        </w:rPr>
        <w:t xml:space="preserve">el </w:t>
      </w:r>
      <w:r>
        <w:rPr>
          <w:rFonts w:ascii="Palatino Linotype" w:hAnsi="Palatino Linotype"/>
        </w:rPr>
        <w:t xml:space="preserve">Ayuntamiento de Tlalnepantla de Baz a la solicitud de información </w:t>
      </w:r>
      <w:r>
        <w:rPr>
          <w:rFonts w:ascii="Palatino Linotype" w:eastAsia="Calibri" w:hAnsi="Palatino Linotype" w:cs="Arial"/>
          <w:b/>
        </w:rPr>
        <w:t>00734/TLALNEPA/IP/2022</w:t>
      </w:r>
      <w:r w:rsidRPr="00F10A06">
        <w:rPr>
          <w:rFonts w:ascii="Palatino Linotype" w:hAnsi="Palatino Linotype"/>
        </w:rPr>
        <w:t xml:space="preserve"> </w:t>
      </w:r>
      <w:r>
        <w:rPr>
          <w:rFonts w:ascii="Palatino Linotype" w:hAnsi="Palatino Linotype"/>
        </w:rPr>
        <w:t xml:space="preserve">y se </w:t>
      </w:r>
      <w:r>
        <w:rPr>
          <w:rFonts w:ascii="Palatino Linotype" w:hAnsi="Palatino Linotype"/>
          <w:b/>
        </w:rPr>
        <w:t>ordenó</w:t>
      </w:r>
      <w:r>
        <w:rPr>
          <w:rFonts w:ascii="Palatino Linotype" w:hAnsi="Palatino Linotype"/>
        </w:rPr>
        <w:t xml:space="preserve"> entregar, </w:t>
      </w:r>
      <w:r>
        <w:rPr>
          <w:rFonts w:ascii="Palatino Linotype" w:hAnsi="Palatino Linotype"/>
          <w:bCs/>
          <w:iCs/>
          <w:lang w:val="es-MX"/>
        </w:rPr>
        <w:t>vía SAIMEX</w:t>
      </w:r>
      <w:r w:rsidRPr="00CD2984">
        <w:rPr>
          <w:rFonts w:ascii="Palatino Linotype" w:hAnsi="Palatino Linotype"/>
          <w:bCs/>
          <w:iCs/>
          <w:lang w:val="es-MX"/>
        </w:rPr>
        <w:t>,</w:t>
      </w:r>
      <w:r>
        <w:rPr>
          <w:rFonts w:ascii="Palatino Linotype" w:hAnsi="Palatino Linotype"/>
          <w:bCs/>
          <w:iCs/>
          <w:lang w:val="es-MX"/>
        </w:rPr>
        <w:t xml:space="preserve"> la siguiente información</w:t>
      </w:r>
      <w:r w:rsidRPr="00F10A06">
        <w:rPr>
          <w:rFonts w:ascii="Palatino Linotype" w:hAnsi="Palatino Linotype"/>
        </w:rPr>
        <w:t>:</w:t>
      </w:r>
    </w:p>
    <w:p w14:paraId="41F72E29" w14:textId="77777777" w:rsidR="003970EB" w:rsidRDefault="003970EB" w:rsidP="003970EB">
      <w:pPr>
        <w:spacing w:line="360" w:lineRule="auto"/>
        <w:jc w:val="both"/>
        <w:rPr>
          <w:rFonts w:ascii="Palatino Linotype" w:hAnsi="Palatino Linotype" w:cs="Arial"/>
          <w:bCs/>
        </w:rPr>
      </w:pPr>
    </w:p>
    <w:p w14:paraId="42B2BB7A" w14:textId="77777777" w:rsidR="003970EB" w:rsidRPr="0038347A" w:rsidRDefault="003970EB" w:rsidP="003970EB">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B5B18">
        <w:rPr>
          <w:rFonts w:ascii="Palatino Linotype" w:eastAsia="Palatino Linotype" w:hAnsi="Palatino Linotype" w:cs="Palatino Linotype"/>
          <w:i/>
          <w:sz w:val="22"/>
          <w:szCs w:val="22"/>
        </w:rPr>
        <w:t>“</w:t>
      </w:r>
      <w:r w:rsidRPr="0038347A">
        <w:rPr>
          <w:rFonts w:ascii="Palatino Linotype" w:eastAsia="Palatino Linotype" w:hAnsi="Palatino Linotype" w:cs="Palatino Linotype"/>
          <w:i/>
          <w:sz w:val="22"/>
          <w:szCs w:val="22"/>
        </w:rPr>
        <w:t>1.</w:t>
      </w:r>
      <w:r w:rsidRPr="0038347A">
        <w:rPr>
          <w:rFonts w:ascii="Palatino Linotype" w:eastAsia="Palatino Linotype" w:hAnsi="Palatino Linotype" w:cs="Palatino Linotype"/>
          <w:i/>
          <w:sz w:val="22"/>
          <w:szCs w:val="22"/>
        </w:rPr>
        <w:tab/>
        <w:t xml:space="preserve">En su caso, en versión pública, el documento donde conste el nombre de aquellos que realicen funciones administrativas, de apoyo y de </w:t>
      </w:r>
      <w:r>
        <w:rPr>
          <w:rFonts w:ascii="Palatino Linotype" w:eastAsia="Palatino Linotype" w:hAnsi="Palatino Linotype" w:cs="Palatino Linotype"/>
          <w:i/>
          <w:sz w:val="22"/>
          <w:szCs w:val="22"/>
        </w:rPr>
        <w:t>mando (mando medio y superior); y</w:t>
      </w:r>
    </w:p>
    <w:p w14:paraId="6C987AA4" w14:textId="77777777" w:rsidR="003970EB" w:rsidRPr="0038347A" w:rsidRDefault="003970EB" w:rsidP="003970EB">
      <w:pPr>
        <w:widowControl w:val="0"/>
        <w:tabs>
          <w:tab w:val="left" w:pos="993"/>
          <w:tab w:val="left" w:pos="1843"/>
        </w:tabs>
        <w:spacing w:line="276" w:lineRule="auto"/>
        <w:ind w:left="567" w:right="567"/>
        <w:jc w:val="both"/>
        <w:rPr>
          <w:rFonts w:ascii="Palatino Linotype" w:eastAsia="Palatino Linotype" w:hAnsi="Palatino Linotype" w:cs="Palatino Linotype"/>
          <w:sz w:val="22"/>
          <w:szCs w:val="22"/>
        </w:rPr>
      </w:pPr>
      <w:r w:rsidRPr="0038347A">
        <w:rPr>
          <w:rFonts w:ascii="Palatino Linotype" w:eastAsia="Palatino Linotype" w:hAnsi="Palatino Linotype" w:cs="Palatino Linotype"/>
          <w:i/>
          <w:sz w:val="22"/>
          <w:szCs w:val="22"/>
        </w:rPr>
        <w:t>2.</w:t>
      </w:r>
      <w:r w:rsidRPr="0038347A">
        <w:rPr>
          <w:rFonts w:ascii="Palatino Linotype" w:eastAsia="Palatino Linotype" w:hAnsi="Palatino Linotype" w:cs="Palatino Linotype"/>
          <w:i/>
          <w:sz w:val="22"/>
          <w:szCs w:val="22"/>
        </w:rPr>
        <w:tab/>
        <w:t xml:space="preserve">Acuerdo de Clasificación donde el Comité de Transparencia, confirme la reserva del nombre de aquellos que realicen funciones operativas en materia de seguridad pública, en términos del Considerando QUINTO, así como, en su caso, los datos testados en la versión pública de los documentos que den cuenta del punto 1, de conformidad con los artículos 49, fracciones II y VIII, y 132, fracción II de la Ley de Transparencia y Acceso </w:t>
      </w:r>
      <w:r w:rsidRPr="0038347A">
        <w:rPr>
          <w:rFonts w:ascii="Palatino Linotype" w:eastAsia="Palatino Linotype" w:hAnsi="Palatino Linotype" w:cs="Palatino Linotype"/>
          <w:i/>
          <w:sz w:val="22"/>
          <w:szCs w:val="22"/>
        </w:rPr>
        <w:lastRenderedPageBreak/>
        <w:t>a la Información Pública del Estado de México y Municipios.</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(Sic)</w:t>
      </w:r>
    </w:p>
    <w:p w14:paraId="685A5C32" w14:textId="77777777" w:rsidR="003970EB" w:rsidRDefault="003970EB" w:rsidP="002A790D">
      <w:pPr>
        <w:spacing w:line="360" w:lineRule="auto"/>
        <w:contextualSpacing/>
        <w:rPr>
          <w:rFonts w:eastAsiaTheme="minorHAnsi" w:cs="Tahoma"/>
          <w:szCs w:val="22"/>
          <w:lang w:eastAsia="en-US"/>
        </w:rPr>
      </w:pPr>
    </w:p>
    <w:p w14:paraId="3850D54F" w14:textId="788FBFC3"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w:t>
      </w:r>
      <w:r w:rsidR="003970EB" w:rsidRPr="000D7476">
        <w:rPr>
          <w:rFonts w:ascii="Palatino Linotype" w:eastAsia="Calibri" w:hAnsi="Palatino Linotype" w:cs="Tahoma"/>
          <w:bCs/>
          <w:lang w:eastAsia="en-US"/>
        </w:rPr>
        <w:t xml:space="preserve">Acuerdo </w:t>
      </w:r>
      <w:r w:rsidRPr="000D7476">
        <w:rPr>
          <w:rFonts w:ascii="Palatino Linotype" w:eastAsia="Calibri" w:hAnsi="Palatino Linotype" w:cs="Tahoma"/>
          <w:bCs/>
          <w:lang w:eastAsia="en-US"/>
        </w:rPr>
        <w:t xml:space="preserve">de </w:t>
      </w:r>
      <w:r w:rsidR="003970EB" w:rsidRPr="000D7476">
        <w:rPr>
          <w:rFonts w:ascii="Palatino Linotype" w:eastAsia="Calibri" w:hAnsi="Palatino Linotype" w:cs="Tahoma"/>
          <w:bCs/>
          <w:lang w:eastAsia="en-US"/>
        </w:rPr>
        <w:t xml:space="preserve">Clasificación </w:t>
      </w:r>
      <w:r w:rsidRPr="000D7476">
        <w:rPr>
          <w:rFonts w:ascii="Palatino Linotype" w:eastAsia="Calibri" w:hAnsi="Palatino Linotype" w:cs="Tahoma"/>
          <w:bCs/>
          <w:lang w:eastAsia="en-US"/>
        </w:rPr>
        <w:t>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w:t>
      </w:r>
      <w:r w:rsidR="006F62BA" w:rsidRPr="000D7476">
        <w:rPr>
          <w:rFonts w:ascii="Palatino Linotype" w:eastAsia="Calibri" w:hAnsi="Palatino Linotype" w:cs="Tahoma"/>
          <w:bCs/>
          <w:lang w:eastAsia="en-US"/>
        </w:rPr>
        <w:lastRenderedPageBreak/>
        <w:t>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0D7476">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3970EB">
      <w:pPr>
        <w:pStyle w:val="Prrafodelista"/>
        <w:tabs>
          <w:tab w:val="left" w:pos="851"/>
        </w:tabs>
        <w:spacing w:line="276"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w:t>
      </w:r>
      <w:r w:rsidRPr="000D7476">
        <w:rPr>
          <w:rFonts w:ascii="Palatino Linotype" w:hAnsi="Palatino Linotype"/>
          <w:i/>
        </w:rPr>
        <w:lastRenderedPageBreak/>
        <w:t>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lastRenderedPageBreak/>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0D7476" w:rsidRDefault="00A66A81" w:rsidP="003970EB">
      <w:pPr>
        <w:tabs>
          <w:tab w:val="left" w:pos="8789"/>
          <w:tab w:val="left" w:pos="9639"/>
          <w:tab w:val="left" w:pos="9923"/>
        </w:tabs>
        <w:spacing w:line="276"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3970EB">
      <w:pPr>
        <w:tabs>
          <w:tab w:val="left" w:pos="8789"/>
          <w:tab w:val="left" w:pos="9639"/>
          <w:tab w:val="left" w:pos="9923"/>
        </w:tabs>
        <w:spacing w:line="276" w:lineRule="auto"/>
        <w:ind w:right="-425"/>
        <w:jc w:val="both"/>
        <w:rPr>
          <w:rFonts w:ascii="Palatino Linotype" w:hAnsi="Palatino Linotype" w:cs="Tahoma"/>
        </w:rPr>
      </w:pPr>
    </w:p>
    <w:p w14:paraId="45DD7B4F" w14:textId="77777777" w:rsidR="00A66A81" w:rsidRPr="000D7476" w:rsidRDefault="00A66A81" w:rsidP="003970EB">
      <w:pPr>
        <w:autoSpaceDE w:val="0"/>
        <w:autoSpaceDN w:val="0"/>
        <w:adjustRightInd w:val="0"/>
        <w:spacing w:line="276"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3970EB">
      <w:pPr>
        <w:spacing w:line="276" w:lineRule="auto"/>
        <w:ind w:left="567" w:right="567"/>
        <w:jc w:val="both"/>
        <w:rPr>
          <w:rFonts w:ascii="Palatino Linotype" w:hAnsi="Palatino Linotype" w:cs="Tahoma"/>
        </w:rPr>
      </w:pPr>
    </w:p>
    <w:p w14:paraId="59326BAF"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3970EB">
      <w:pPr>
        <w:spacing w:line="276" w:lineRule="auto"/>
        <w:ind w:left="567" w:right="567"/>
        <w:jc w:val="both"/>
        <w:rPr>
          <w:rFonts w:ascii="Palatino Linotype" w:hAnsi="Palatino Linotype" w:cs="Tahoma"/>
          <w:i/>
        </w:rPr>
      </w:pPr>
    </w:p>
    <w:p w14:paraId="5F47B50D"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3970EB">
      <w:pPr>
        <w:spacing w:line="276" w:lineRule="auto"/>
        <w:ind w:left="567" w:right="567"/>
        <w:jc w:val="both"/>
        <w:rPr>
          <w:rFonts w:ascii="Palatino Linotype" w:hAnsi="Palatino Linotype" w:cs="Tahoma"/>
          <w:i/>
        </w:rPr>
      </w:pPr>
    </w:p>
    <w:p w14:paraId="717B6826"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3970EB">
      <w:pPr>
        <w:spacing w:line="276" w:lineRule="auto"/>
        <w:ind w:left="567" w:right="567"/>
        <w:jc w:val="both"/>
        <w:rPr>
          <w:rFonts w:ascii="Palatino Linotype" w:hAnsi="Palatino Linotype" w:cs="Tahoma"/>
          <w:i/>
        </w:rPr>
      </w:pPr>
    </w:p>
    <w:p w14:paraId="01BA5577"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3970EB">
      <w:pPr>
        <w:spacing w:line="276" w:lineRule="auto"/>
        <w:ind w:left="567" w:right="567"/>
        <w:jc w:val="both"/>
        <w:rPr>
          <w:rFonts w:ascii="Palatino Linotype" w:hAnsi="Palatino Linotype" w:cs="Tahoma"/>
          <w:i/>
        </w:rPr>
      </w:pPr>
    </w:p>
    <w:p w14:paraId="53DEFD8A" w14:textId="77777777" w:rsidR="00A66A81" w:rsidRPr="000D7476" w:rsidRDefault="00A66A81" w:rsidP="003970EB">
      <w:pPr>
        <w:spacing w:line="276"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3970EB">
      <w:pPr>
        <w:spacing w:line="276" w:lineRule="auto"/>
        <w:ind w:left="567" w:right="567"/>
        <w:jc w:val="both"/>
        <w:rPr>
          <w:rFonts w:ascii="Palatino Linotype" w:hAnsi="Palatino Linotype" w:cs="Tahoma"/>
          <w:b/>
          <w:i/>
        </w:rPr>
      </w:pPr>
    </w:p>
    <w:p w14:paraId="4F695CCA"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3970EB">
      <w:pPr>
        <w:spacing w:line="276" w:lineRule="auto"/>
        <w:ind w:left="567" w:right="567"/>
        <w:jc w:val="both"/>
        <w:rPr>
          <w:rFonts w:ascii="Palatino Linotype" w:hAnsi="Palatino Linotype" w:cs="Tahoma"/>
          <w:i/>
        </w:rPr>
      </w:pPr>
    </w:p>
    <w:p w14:paraId="5CDF07C8"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3970EB">
      <w:pPr>
        <w:spacing w:line="276" w:lineRule="auto"/>
        <w:ind w:left="567" w:right="567"/>
        <w:jc w:val="both"/>
        <w:rPr>
          <w:rFonts w:ascii="Palatino Linotype" w:hAnsi="Palatino Linotype" w:cs="Tahoma"/>
          <w:i/>
        </w:rPr>
      </w:pPr>
    </w:p>
    <w:p w14:paraId="22A89139" w14:textId="77777777"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3970EB">
      <w:pPr>
        <w:spacing w:line="276" w:lineRule="auto"/>
        <w:ind w:left="567" w:right="567"/>
        <w:jc w:val="both"/>
        <w:rPr>
          <w:rFonts w:ascii="Palatino Linotype" w:hAnsi="Palatino Linotype" w:cs="Tahoma"/>
          <w:i/>
        </w:rPr>
      </w:pPr>
    </w:p>
    <w:p w14:paraId="31FE9A22" w14:textId="3161BFE0" w:rsidR="00A66A81" w:rsidRPr="000D7476" w:rsidRDefault="00A66A81" w:rsidP="003970EB">
      <w:pPr>
        <w:spacing w:line="276"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3970EB">
      <w:pPr>
        <w:spacing w:line="276" w:lineRule="auto"/>
        <w:ind w:left="567" w:right="567"/>
        <w:jc w:val="both"/>
        <w:rPr>
          <w:rFonts w:ascii="Palatino Linotype" w:hAnsi="Palatino Linotype" w:cs="Tahoma"/>
          <w:i/>
        </w:rPr>
      </w:pPr>
    </w:p>
    <w:p w14:paraId="29CC0E78" w14:textId="77777777" w:rsidR="00A66A81" w:rsidRPr="000D7476" w:rsidRDefault="00A66A81" w:rsidP="003970EB">
      <w:pPr>
        <w:spacing w:line="276"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1453DE8C" w14:textId="77777777" w:rsidR="00A66A81" w:rsidRPr="000D7476" w:rsidRDefault="00A66A81" w:rsidP="003970EB">
      <w:pPr>
        <w:spacing w:line="276" w:lineRule="auto"/>
        <w:ind w:left="567" w:right="567"/>
        <w:jc w:val="both"/>
        <w:rPr>
          <w:rFonts w:ascii="Palatino Linotype" w:hAnsi="Palatino Linotype" w:cs="Tahoma"/>
          <w:b/>
          <w:i/>
        </w:rPr>
      </w:pPr>
    </w:p>
    <w:p w14:paraId="7C0B34D4" w14:textId="77777777" w:rsidR="00A66A81" w:rsidRPr="000D7476" w:rsidRDefault="00A66A81" w:rsidP="003970EB">
      <w:pPr>
        <w:tabs>
          <w:tab w:val="left" w:pos="9495"/>
        </w:tabs>
        <w:spacing w:line="276" w:lineRule="auto"/>
        <w:ind w:left="567" w:right="567"/>
        <w:jc w:val="both"/>
        <w:rPr>
          <w:rFonts w:ascii="Palatino Linotype" w:hAnsi="Palatino Linotype" w:cs="Tahoma"/>
          <w:i/>
        </w:rPr>
      </w:pPr>
    </w:p>
    <w:p w14:paraId="4E1EFE89" w14:textId="77777777" w:rsidR="005C4513" w:rsidRPr="000D7476" w:rsidRDefault="005C4513" w:rsidP="003970EB">
      <w:pPr>
        <w:spacing w:line="276" w:lineRule="auto"/>
        <w:ind w:left="567" w:right="567"/>
        <w:jc w:val="both"/>
        <w:rPr>
          <w:rFonts w:ascii="Palatino Linotype" w:hAnsi="Palatino Linotype" w:cs="Tahoma"/>
          <w:i/>
        </w:rPr>
      </w:pPr>
    </w:p>
    <w:p w14:paraId="3F2AF02D" w14:textId="77777777" w:rsidR="006F62BA" w:rsidRPr="000D7476" w:rsidRDefault="006F62BA" w:rsidP="003970EB">
      <w:pPr>
        <w:tabs>
          <w:tab w:val="left" w:pos="9072"/>
        </w:tabs>
        <w:autoSpaceDE w:val="0"/>
        <w:autoSpaceDN w:val="0"/>
        <w:adjustRightInd w:val="0"/>
        <w:spacing w:line="276"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3970EB">
      <w:pPr>
        <w:tabs>
          <w:tab w:val="left" w:pos="9072"/>
        </w:tabs>
        <w:autoSpaceDE w:val="0"/>
        <w:autoSpaceDN w:val="0"/>
        <w:adjustRightInd w:val="0"/>
        <w:spacing w:line="276"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3970EB">
      <w:pPr>
        <w:tabs>
          <w:tab w:val="left" w:pos="9072"/>
        </w:tabs>
        <w:autoSpaceDE w:val="0"/>
        <w:autoSpaceDN w:val="0"/>
        <w:adjustRightInd w:val="0"/>
        <w:spacing w:line="276"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3970EB">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0D7476" w:rsidRDefault="006F62BA" w:rsidP="003970EB">
      <w:pPr>
        <w:spacing w:line="276"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3970EB">
      <w:pPr>
        <w:tabs>
          <w:tab w:val="left" w:pos="142"/>
        </w:tabs>
        <w:spacing w:line="276" w:lineRule="auto"/>
        <w:ind w:left="567" w:right="567"/>
        <w:jc w:val="both"/>
        <w:rPr>
          <w:rFonts w:ascii="Palatino Linotype" w:hAnsi="Palatino Linotype" w:cs="Tahoma"/>
          <w:i/>
        </w:rPr>
      </w:pPr>
    </w:p>
    <w:p w14:paraId="10867BAF" w14:textId="77777777" w:rsidR="00CB2F05" w:rsidRPr="000D7476" w:rsidRDefault="00CB2F05" w:rsidP="003970EB">
      <w:pPr>
        <w:tabs>
          <w:tab w:val="left" w:pos="142"/>
        </w:tabs>
        <w:spacing w:line="276"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3970EB">
      <w:pPr>
        <w:spacing w:line="276"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3970EB">
      <w:pPr>
        <w:tabs>
          <w:tab w:val="left" w:pos="142"/>
        </w:tabs>
        <w:spacing w:line="276" w:lineRule="auto"/>
        <w:ind w:left="567" w:right="567"/>
        <w:jc w:val="both"/>
        <w:rPr>
          <w:rFonts w:ascii="Palatino Linotype" w:hAnsi="Palatino Linotype" w:cs="Tahoma"/>
          <w:i/>
        </w:rPr>
      </w:pPr>
    </w:p>
    <w:p w14:paraId="7C6F292C" w14:textId="1243953C" w:rsidR="006F62BA" w:rsidRPr="000D7476" w:rsidRDefault="00CB2F05" w:rsidP="003970EB">
      <w:pPr>
        <w:tabs>
          <w:tab w:val="left" w:pos="142"/>
        </w:tabs>
        <w:spacing w:line="276"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lastRenderedPageBreak/>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3970EB">
      <w:pPr>
        <w:pStyle w:val="Prrafodelista"/>
        <w:tabs>
          <w:tab w:val="left" w:pos="851"/>
        </w:tabs>
        <w:spacing w:line="276"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3970EB">
      <w:pPr>
        <w:pStyle w:val="Prrafodelista"/>
        <w:tabs>
          <w:tab w:val="left" w:pos="851"/>
        </w:tabs>
        <w:spacing w:line="276"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3970EB">
      <w:pPr>
        <w:pStyle w:val="Prrafodelista"/>
        <w:tabs>
          <w:tab w:val="left" w:pos="851"/>
        </w:tabs>
        <w:spacing w:line="276"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w:t>
      </w:r>
      <w:r w:rsidRPr="000D7476">
        <w:rPr>
          <w:rFonts w:ascii="Palatino Linotype" w:hAnsi="Palatino Linotype"/>
          <w:i/>
        </w:rPr>
        <w:lastRenderedPageBreak/>
        <w:t>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b/>
          <w:i/>
        </w:rPr>
        <w:lastRenderedPageBreak/>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3970EB">
      <w:pPr>
        <w:tabs>
          <w:tab w:val="left" w:pos="851"/>
        </w:tabs>
        <w:spacing w:line="276"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En ese orden de ideas, no se niega que las </w:t>
      </w:r>
      <w:r w:rsidRPr="000D747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3970EB">
      <w:pPr>
        <w:tabs>
          <w:tab w:val="left" w:pos="851"/>
        </w:tabs>
        <w:spacing w:line="276"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w:t>
      </w:r>
      <w:r w:rsidRPr="000D7476">
        <w:rPr>
          <w:rFonts w:ascii="Palatino Linotype" w:hAnsi="Palatino Linotype"/>
          <w:i/>
          <w:lang w:val="es-MX"/>
        </w:rPr>
        <w:lastRenderedPageBreak/>
        <w:t>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w:t>
      </w:r>
      <w:r w:rsidRPr="000D7476">
        <w:rPr>
          <w:rFonts w:ascii="Palatino Linotype" w:hAnsi="Palatino Linotype"/>
        </w:rPr>
        <w:lastRenderedPageBreak/>
        <w:t xml:space="preserve">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0D7476">
        <w:rPr>
          <w:rFonts w:ascii="Palatino Linotype" w:hAnsi="Palatino Linotype"/>
        </w:rPr>
        <w:lastRenderedPageBreak/>
        <w:t>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786084E2" w14:textId="77777777" w:rsidR="003970EB" w:rsidRDefault="003970EB" w:rsidP="003722BF">
      <w:pPr>
        <w:spacing w:line="360" w:lineRule="auto"/>
        <w:jc w:val="both"/>
        <w:rPr>
          <w:rFonts w:ascii="Palatino Linotype" w:hAnsi="Palatino Linotype"/>
        </w:rPr>
      </w:pP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 lo anterior habría que añadir la necesidad no solamente de cantidad, sino de que los elementos policíacos estuvieran bien seleccionados, capacitados y equipados, por lo que el esfuerzo institucional y presupuestal tendiente a cumplir esa 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4352759E" w14:textId="436641C5" w:rsidR="008936B4" w:rsidRPr="006626A9" w:rsidRDefault="008936B4" w:rsidP="006626A9">
      <w:pPr>
        <w:pStyle w:val="Textoindependiente"/>
        <w:spacing w:line="360" w:lineRule="auto"/>
        <w:ind w:left="102"/>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r w:rsidR="003970EB">
        <w:rPr>
          <w:rFonts w:eastAsia="Times New Roman" w:cs="Times New Roman"/>
          <w:lang w:eastAsia="es-ES"/>
        </w:rPr>
        <w:t xml:space="preserve"> ---------------------------------------------------------------------------------------------------------------------------------------------------------------------------------------------------------------------------------------------------------------------------------------------------------------- </w:t>
      </w:r>
      <w:bookmarkStart w:id="3" w:name="_GoBack"/>
      <w:bookmarkEnd w:id="3"/>
    </w:p>
    <w:sectPr w:rsidR="008936B4" w:rsidRPr="006626A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05FBE" w14:textId="77777777" w:rsidR="0083650A" w:rsidRDefault="0083650A" w:rsidP="00C80F8C">
      <w:r>
        <w:separator/>
      </w:r>
    </w:p>
  </w:endnote>
  <w:endnote w:type="continuationSeparator" w:id="0">
    <w:p w14:paraId="484311AD" w14:textId="77777777" w:rsidR="0083650A" w:rsidRDefault="008365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6626A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626A9">
              <w:rPr>
                <w:b/>
                <w:bCs/>
                <w:noProof/>
              </w:rPr>
              <w:t>25</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FA889" w14:textId="77777777" w:rsidR="0083650A" w:rsidRDefault="0083650A" w:rsidP="00C80F8C">
      <w:r>
        <w:separator/>
      </w:r>
    </w:p>
  </w:footnote>
  <w:footnote w:type="continuationSeparator" w:id="0">
    <w:p w14:paraId="62DB2BAA" w14:textId="77777777" w:rsidR="0083650A" w:rsidRDefault="0083650A"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396C2D">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83650A">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0E1C38E">
          <wp:simplePos x="0" y="0"/>
          <wp:positionH relativeFrom="page">
            <wp:align>right</wp:align>
          </wp:positionH>
          <wp:positionV relativeFrom="paragraph">
            <wp:posOffset>-309880</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3650A">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E5740C0" w14:textId="11E399C6" w:rsidR="00F1670B" w:rsidRPr="00F1670B"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3970EB">
      <w:rPr>
        <w:rFonts w:ascii="Palatino Linotype" w:hAnsi="Palatino Linotype"/>
      </w:rPr>
      <w:t>14351/INFOEM/IP/RR/2022</w:t>
    </w:r>
  </w:p>
  <w:p w14:paraId="71104997" w14:textId="1ED0D544"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7801BE">
      <w:rPr>
        <w:rFonts w:cs="Tahoma"/>
        <w:color w:val="0D0D0D" w:themeColor="text1" w:themeTint="F2"/>
      </w:rPr>
      <w:t xml:space="preserve">Ayuntamiento de </w:t>
    </w:r>
    <w:r w:rsidR="003970EB">
      <w:rPr>
        <w:rFonts w:cs="Tahoma"/>
        <w:color w:val="0D0D0D" w:themeColor="text1" w:themeTint="F2"/>
      </w:rPr>
      <w:t>Tlalnepantla de Baz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83650A">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12C662A6"/>
    <w:multiLevelType w:val="hybridMultilevel"/>
    <w:tmpl w:val="12882C12"/>
    <w:lvl w:ilvl="0" w:tplc="21DA1C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2"/>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8542A"/>
    <w:rsid w:val="000B37D9"/>
    <w:rsid w:val="000B3FFD"/>
    <w:rsid w:val="000B53C6"/>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27B9A"/>
    <w:rsid w:val="00236FD8"/>
    <w:rsid w:val="002378AC"/>
    <w:rsid w:val="00266831"/>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96C2D"/>
    <w:rsid w:val="003970EB"/>
    <w:rsid w:val="003A3E61"/>
    <w:rsid w:val="003B75EE"/>
    <w:rsid w:val="003C6DAB"/>
    <w:rsid w:val="003D1F47"/>
    <w:rsid w:val="003F0929"/>
    <w:rsid w:val="003F528B"/>
    <w:rsid w:val="004030C4"/>
    <w:rsid w:val="00411692"/>
    <w:rsid w:val="00430304"/>
    <w:rsid w:val="0043105B"/>
    <w:rsid w:val="00435FF9"/>
    <w:rsid w:val="00445879"/>
    <w:rsid w:val="00463E0F"/>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3C94"/>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26A9"/>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69C7"/>
    <w:rsid w:val="007E70F8"/>
    <w:rsid w:val="007F24B9"/>
    <w:rsid w:val="00807750"/>
    <w:rsid w:val="00812F10"/>
    <w:rsid w:val="0081664E"/>
    <w:rsid w:val="00820022"/>
    <w:rsid w:val="00820034"/>
    <w:rsid w:val="0083108D"/>
    <w:rsid w:val="0083650A"/>
    <w:rsid w:val="008402B0"/>
    <w:rsid w:val="008421B8"/>
    <w:rsid w:val="00861117"/>
    <w:rsid w:val="00861A61"/>
    <w:rsid w:val="008853F9"/>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017A1"/>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E0FA6"/>
    <w:rsid w:val="00CE169C"/>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F1027"/>
    <w:rsid w:val="00EF3513"/>
    <w:rsid w:val="00F05A30"/>
    <w:rsid w:val="00F10A06"/>
    <w:rsid w:val="00F1205F"/>
    <w:rsid w:val="00F1670B"/>
    <w:rsid w:val="00F47FB5"/>
    <w:rsid w:val="00F614DA"/>
    <w:rsid w:val="00F616E4"/>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BD84-25AB-4F02-9741-13E874C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5606</Words>
  <Characters>30834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2023-10-31T01:24:00Z</cp:lastPrinted>
  <dcterms:created xsi:type="dcterms:W3CDTF">2024-03-21T20:46:00Z</dcterms:created>
  <dcterms:modified xsi:type="dcterms:W3CDTF">2024-03-21T20:46:00Z</dcterms:modified>
</cp:coreProperties>
</file>